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>27 October 2026</w:t>
      </w:r>
    </w:p>
    <w:p>
      <w:pPr>
        <w:spacing w:after="160" w:before="0"/>
      </w:pPr>
      <w:r>
        <w:t xml:space="preserve">Dear Hiring team,</w:t>
      </w:r>
    </w:p>
    <w:p>
      <w:pPr>
        <w:spacing w:after="160" w:before="0"/>
      </w:pPr>
      <w:r>
        <w:t xml:space="preserve">I’m applying for the Forward Deployed Engineer role. Getting LLM-powered agents working inside real client environments needs two things: hands-on AI skills, and the production discipline to keep a system running once it’s live. I’ve spent four years on the second, and I’m building the first.</w:t>
      </w:r>
    </w:p>
    <w:p>
      <w:pPr>
        <w:spacing w:after="160" w:before="0"/>
      </w:pPr>
      <w:r>
        <w:t xml:space="preserve">At Reward I build and run systems for UK and Middle East banking clients on AWS and Kubernetes, each with its own deployment: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planned testing for AWS SDK v3 and Node 22 runtime upgrades across repositories and multiple bank deployments, and wrote the engineering migration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designed audit logging of staff access to customer accounts across bank portals to meet each client’s security audit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I’m the go-to engineer for production incidents: I fixed a Kubernetes/Istio ingress outage and stopped recurring memory crashes in a high-volume ingestion service.</w:t>
      </w:r>
    </w:p>
    <w:p>
      <w:pPr>
        <w:spacing w:after="160" w:before="0"/>
      </w:pPr>
      <w:r>
        <w:t xml:space="preserve">On the AI side, I’m building Incident Copilot, an agentic triage service designed to retrieve runbook content with pgvector, suggest likely root causes, and use tool-calling to check live service status. The knowledge base and API are in place; retrieval and model integration are in progress. I moved it from AWS Bedrock to local models via Ollama to remove inference costs. I’m also preparing for the AWS Certified AI Practitioner exam in November.</w:t>
      </w:r>
    </w:p>
    <w:p>
      <w:pPr>
        <w:spacing w:after="160" w:before="0"/>
      </w:pPr>
      <w:r>
        <w:t xml:space="preserve">I’m based in Belfast, and I’d like to confirm that Northern Ireland meets the “based in Ireland” requirement. Thank you for considering my application.</w:t>
      </w:r>
    </w:p>
    <w:p>
      <w:pPr>
        <w:spacing w:after="160" w:before="0"/>
      </w:pPr>
      <w:r>
        <w:t xml:space="preserve">Kind regards,</w:t>
      </w:r>
    </w:p>
    <w:p>
      <w:pPr>
        <w:spacing w:after="160" w:before="0"/>
      </w:pPr>
      <w:r>
        <w:t xml:space="preserve">Padraig Lavery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2026-10-27T17:26:32.929Z</dcterms:created>
  <dcterms:modified xsi:type="dcterms:W3CDTF">2026-10-27T17:26:32.929Z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