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BD3F0D">
      <w:pPr>
        <w:spacing w:line="600" w:lineRule="exact"/>
        <w:outlineLvl w:val="0"/>
        <w:rPr>
          <w:rFonts w:hint="eastAsia" w:ascii="仿宋_GB2312" w:hAnsi="仿宋_GB2312" w:eastAsia="黑体" w:cs="仿宋_GB2312"/>
          <w:b/>
          <w:bCs/>
          <w:sz w:val="32"/>
          <w:szCs w:val="32"/>
        </w:rPr>
      </w:pPr>
      <w:r>
        <w:rPr>
          <w:rFonts w:hint="eastAsia" w:ascii="黑体" w:hAnsi="黑体" w:eastAsia="黑体" w:cs="仿宋_GB2312"/>
          <w:sz w:val="32"/>
          <w:szCs w:val="32"/>
        </w:rPr>
        <w:t>附件1</w:t>
      </w:r>
    </w:p>
    <w:p w14:paraId="747E62D7">
      <w:pPr>
        <w:spacing w:line="600" w:lineRule="exact"/>
        <w:jc w:val="center"/>
        <w:rPr>
          <w:rFonts w:hint="eastAsia" w:ascii="方正小标宋简体" w:hAnsi="宋体" w:eastAsia="方正小标宋简体" w:cs="宋体"/>
          <w:sz w:val="44"/>
          <w:szCs w:val="44"/>
        </w:rPr>
      </w:pPr>
    </w:p>
    <w:p w14:paraId="01CF8F09">
      <w:pPr>
        <w:spacing w:line="600" w:lineRule="exact"/>
        <w:jc w:val="center"/>
        <w:outlineLvl w:val="0"/>
        <w:rPr>
          <w:rFonts w:hint="eastAsia" w:ascii="方正小标宋简体" w:hAnsi="宋体" w:eastAsia="方正小标宋简体" w:cs="宋体"/>
          <w:sz w:val="44"/>
          <w:szCs w:val="44"/>
        </w:rPr>
      </w:pPr>
      <w:r>
        <w:rPr>
          <w:rFonts w:hint="eastAsia" w:ascii="方正小标宋简体" w:hAnsi="宋体" w:eastAsia="方正小标宋简体" w:cs="宋体"/>
          <w:sz w:val="44"/>
          <w:szCs w:val="44"/>
        </w:rPr>
        <w:t>山东省网络安全创新案例申报书</w:t>
      </w:r>
    </w:p>
    <w:p w14:paraId="760D58DB">
      <w:pPr>
        <w:spacing w:line="600" w:lineRule="exact"/>
        <w:jc w:val="center"/>
        <w:rPr>
          <w:rFonts w:hint="eastAsia" w:ascii="方正小标宋简体" w:hAnsi="宋体" w:eastAsia="方正小标宋简体" w:cs="宋体"/>
          <w:sz w:val="44"/>
          <w:szCs w:val="44"/>
        </w:rPr>
      </w:pPr>
    </w:p>
    <w:p w14:paraId="6BE91353">
      <w:pPr>
        <w:spacing w:line="600" w:lineRule="exact"/>
        <w:ind w:firstLine="640"/>
        <w:jc w:val="left"/>
        <w:outlineLvl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一、基本情况</w:t>
      </w:r>
    </w:p>
    <w:tbl>
      <w:tblPr>
        <w:tblStyle w:val="29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047"/>
        <w:gridCol w:w="1464"/>
        <w:gridCol w:w="377"/>
        <w:gridCol w:w="2133"/>
        <w:gridCol w:w="2516"/>
      </w:tblGrid>
      <w:tr w14:paraId="20193BA6">
        <w:trPr>
          <w:trHeight w:val="510" w:hRule="atLeast"/>
          <w:jc w:val="center"/>
        </w:trPr>
        <w:tc>
          <w:tcPr>
            <w:tcW w:w="911" w:type="dxa"/>
            <w:noWrap w:val="0"/>
            <w:vAlign w:val="center"/>
          </w:tcPr>
          <w:p w14:paraId="3EC29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pacing w:val="-10"/>
                <w:sz w:val="24"/>
              </w:rPr>
              <w:t>申报单位名称</w:t>
            </w:r>
          </w:p>
        </w:tc>
        <w:tc>
          <w:tcPr>
            <w:tcW w:w="6970" w:type="dxa"/>
            <w:gridSpan w:val="5"/>
            <w:noWrap w:val="0"/>
            <w:vAlign w:val="center"/>
          </w:tcPr>
          <w:p w14:paraId="18302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山东省创新发展研究院</w:t>
            </w:r>
          </w:p>
        </w:tc>
      </w:tr>
      <w:tr w14:paraId="790F381C">
        <w:trPr>
          <w:trHeight w:val="584" w:hRule="atLeast"/>
          <w:jc w:val="center"/>
        </w:trPr>
        <w:tc>
          <w:tcPr>
            <w:tcW w:w="911" w:type="dxa"/>
            <w:noWrap w:val="0"/>
            <w:vAlign w:val="center"/>
          </w:tcPr>
          <w:p w14:paraId="4A8C0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单位负责人</w:t>
            </w:r>
          </w:p>
        </w:tc>
        <w:tc>
          <w:tcPr>
            <w:tcW w:w="968" w:type="dxa"/>
            <w:noWrap w:val="0"/>
            <w:vAlign w:val="center"/>
          </w:tcPr>
          <w:p w14:paraId="1B46D1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姓名/职务</w:t>
            </w:r>
          </w:p>
        </w:tc>
        <w:tc>
          <w:tcPr>
            <w:tcW w:w="1703" w:type="dxa"/>
            <w:gridSpan w:val="2"/>
            <w:noWrap w:val="0"/>
            <w:vAlign w:val="center"/>
          </w:tcPr>
          <w:p w14:paraId="68A5A1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912" w:type="dxa"/>
            <w:noWrap w:val="0"/>
            <w:vAlign w:val="center"/>
          </w:tcPr>
          <w:p w14:paraId="3752C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联系电话/邮箱</w:t>
            </w:r>
          </w:p>
        </w:tc>
        <w:tc>
          <w:tcPr>
            <w:tcW w:w="999" w:type="dxa"/>
            <w:noWrap w:val="0"/>
            <w:vAlign w:val="center"/>
          </w:tcPr>
          <w:p w14:paraId="4DB462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6425E29F">
        <w:trPr>
          <w:trHeight w:val="630" w:hRule="atLeast"/>
          <w:jc w:val="center"/>
        </w:trPr>
        <w:tc>
          <w:tcPr>
            <w:tcW w:w="911" w:type="dxa"/>
            <w:noWrap w:val="0"/>
            <w:vAlign w:val="center"/>
          </w:tcPr>
          <w:p w14:paraId="6CF28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单位联系人</w:t>
            </w:r>
          </w:p>
        </w:tc>
        <w:tc>
          <w:tcPr>
            <w:tcW w:w="968" w:type="dxa"/>
            <w:noWrap w:val="0"/>
            <w:vAlign w:val="center"/>
          </w:tcPr>
          <w:p w14:paraId="0C0E1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姓名/职务</w:t>
            </w:r>
          </w:p>
        </w:tc>
        <w:tc>
          <w:tcPr>
            <w:tcW w:w="1703" w:type="dxa"/>
            <w:gridSpan w:val="2"/>
            <w:noWrap w:val="0"/>
            <w:vAlign w:val="center"/>
          </w:tcPr>
          <w:p w14:paraId="499825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912" w:type="dxa"/>
            <w:noWrap w:val="0"/>
            <w:vAlign w:val="center"/>
          </w:tcPr>
          <w:p w14:paraId="7EFFA5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联系电话/邮箱</w:t>
            </w:r>
          </w:p>
        </w:tc>
        <w:tc>
          <w:tcPr>
            <w:tcW w:w="999" w:type="dxa"/>
            <w:noWrap w:val="0"/>
            <w:vAlign w:val="center"/>
          </w:tcPr>
          <w:p w14:paraId="75794E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06829387">
        <w:trPr>
          <w:trHeight w:val="592" w:hRule="atLeast"/>
          <w:jc w:val="center"/>
        </w:trPr>
        <w:tc>
          <w:tcPr>
            <w:tcW w:w="911" w:type="dxa"/>
            <w:noWrap w:val="0"/>
            <w:vAlign w:val="center"/>
          </w:tcPr>
          <w:p w14:paraId="782FB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案例名称</w:t>
            </w:r>
          </w:p>
        </w:tc>
        <w:tc>
          <w:tcPr>
            <w:tcW w:w="6970" w:type="dxa"/>
            <w:gridSpan w:val="5"/>
            <w:noWrap w:val="0"/>
            <w:vAlign w:val="center"/>
          </w:tcPr>
          <w:p w14:paraId="39E8E4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highlight w:val="yellow"/>
              </w:rPr>
            </w:pPr>
          </w:p>
          <w:p w14:paraId="1A50F3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山东科技大市场平台网络安全保障体系创新案例</w:t>
            </w:r>
          </w:p>
          <w:p w14:paraId="2B4578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highlight w:val="yellow"/>
              </w:rPr>
            </w:pPr>
          </w:p>
        </w:tc>
      </w:tr>
      <w:tr w14:paraId="1EC8E6E3">
        <w:trPr>
          <w:trHeight w:val="649" w:hRule="atLeast"/>
          <w:jc w:val="center"/>
        </w:trPr>
        <w:tc>
          <w:tcPr>
            <w:tcW w:w="911" w:type="dxa"/>
            <w:noWrap w:val="0"/>
            <w:vAlign w:val="center"/>
          </w:tcPr>
          <w:p w14:paraId="531DB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案例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方向</w:t>
            </w:r>
          </w:p>
        </w:tc>
        <w:tc>
          <w:tcPr>
            <w:tcW w:w="6970" w:type="dxa"/>
            <w:gridSpan w:val="5"/>
            <w:noWrap w:val="0"/>
            <w:vAlign w:val="center"/>
          </w:tcPr>
          <w:p w14:paraId="300E3A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</w:pPr>
            <w:r>
              <w:rPr>
                <w:rFonts w:ascii="Wingdings" w:hAnsi="Wingdings" w:eastAsia="Wingdings" w:cs="Wingdings"/>
                <w:sz w:val="24"/>
                <w:highlight w:val="none"/>
              </w:rPr>
              <w:t>¨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 xml:space="preserve">新型智慧城市  </w:t>
            </w:r>
            <w:r>
              <w:rPr>
                <w:rFonts w:ascii="Wingdings" w:hAnsi="Wingdings" w:eastAsia="Wingdings" w:cs="Wingdings"/>
                <w:sz w:val="24"/>
                <w:highlight w:val="none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 xml:space="preserve">数字政府  </w:t>
            </w:r>
            <w:r>
              <w:rPr>
                <w:rFonts w:ascii="Wingdings" w:hAnsi="Wingdings" w:eastAsia="Wingdings" w:cs="Wingdings"/>
                <w:sz w:val="24"/>
                <w:highlight w:val="none"/>
              </w:rPr>
              <w:t>¨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重点行业领域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 xml:space="preserve"> </w:t>
            </w:r>
          </w:p>
          <w:p w14:paraId="60DC25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</w:pPr>
            <w:r>
              <w:rPr>
                <w:rFonts w:ascii="Wingdings" w:hAnsi="Wingdings" w:eastAsia="Wingdings" w:cs="Wingdings"/>
                <w:sz w:val="24"/>
                <w:szCs w:val="24"/>
                <w:highlight w:val="none"/>
              </w:rPr>
              <w:t>¨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  <w:t xml:space="preserve">新技术新应用  </w:t>
            </w:r>
            <w:r>
              <w:rPr>
                <w:rFonts w:ascii="Wingdings" w:hAnsi="Wingdings" w:eastAsia="Wingdings" w:cs="Wingdings"/>
                <w:sz w:val="24"/>
                <w:szCs w:val="24"/>
                <w:highlight w:val="none"/>
              </w:rPr>
              <w:t>¨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教育技术产业融合发展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 xml:space="preserve"> </w:t>
            </w:r>
            <w:r>
              <w:rPr>
                <w:rFonts w:ascii="Wingdings" w:hAnsi="Wingdings" w:eastAsia="Wingdings" w:cs="Wingdings"/>
                <w:sz w:val="24"/>
                <w:highlight w:val="none"/>
              </w:rPr>
              <w:t>¨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eastAsia="zh-CN"/>
              </w:rPr>
              <w:t>其他</w:t>
            </w:r>
          </w:p>
        </w:tc>
      </w:tr>
      <w:tr w14:paraId="74B5B61B">
        <w:trPr>
          <w:trHeight w:val="4842" w:hRule="atLeast"/>
          <w:jc w:val="center"/>
        </w:trPr>
        <w:tc>
          <w:tcPr>
            <w:tcW w:w="911" w:type="dxa"/>
            <w:noWrap w:val="0"/>
            <w:vAlign w:val="center"/>
          </w:tcPr>
          <w:p w14:paraId="71BFB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pacing w:val="-1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pacing w:val="-10"/>
                <w:sz w:val="24"/>
              </w:rPr>
              <w:t>案例介绍</w:t>
            </w:r>
          </w:p>
        </w:tc>
        <w:tc>
          <w:tcPr>
            <w:tcW w:w="6970" w:type="dxa"/>
            <w:gridSpan w:val="5"/>
            <w:noWrap w:val="0"/>
            <w:vAlign w:val="center"/>
          </w:tcPr>
          <w:p w14:paraId="2B860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23A0E416">
            <w:pPr>
              <w:widowControl/>
              <w:jc w:val="left"/>
              <w:rPr>
                <w:rFonts w:hint="eastAsia" w:ascii="仿宋_GB2312" w:hAnsi="仿宋_GB2312" w:eastAsia="仿宋_GB2312" w:cs="仿宋_GB2312"/>
                <w:sz w:val="24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highlight w:val="yellow"/>
              </w:rPr>
              <w:t>简述案例主要内容、解决的问题、实施成效、创新性及可推广性等，不超过1000字。</w:t>
            </w:r>
          </w:p>
          <w:p w14:paraId="5CFF6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山东省创新发展研究院是山东省政府直属、山东省科学技术厅管理的正厅级公益一类事业单位，以培育一流科技创新智库、一流科技创新服务平台、一流创新人才团队为核心，着力打造山东乃至全国创新驱动发展的重要科技战略力量。</w:t>
            </w:r>
          </w:p>
          <w:p w14:paraId="64DFF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一、案例主要内容</w:t>
            </w:r>
          </w:p>
          <w:p w14:paraId="39134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山东科技大市场是山东省数字政府建设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示范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平台，聚焦科技成果转化与技术交易服务，构建“三位一体”安全体系。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highlight w:val="none"/>
              </w:rPr>
              <w:t>网络安全方面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，部署威胁感知系统，实时监测并拦截网络攻击，建立零信任访问控制模型，阻断非法入侵。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highlight w:val="none"/>
              </w:rPr>
              <w:t>数据安全领域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，采用数据分类分级机制，对核心科技成果、交易信息实施动态脱敏与加密存储，搭建数据血缘追踪系统，确保全流程可溯源。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highlight w:val="none"/>
              </w:rPr>
              <w:t>密码应用层面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，深度集成SM2/SM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/SM4国密算法，通过数字证书实现多角色身份认证，采用国密SSL协议加密敏感数据传输，满足等保三级要求。平台上线后服务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于科创</w:t>
            </w:r>
            <w:r>
              <w:rPr>
                <w:rFonts w:hint="eastAsia" w:ascii="仿宋_GB2312" w:hAnsi="仿宋_GB2312" w:eastAsia="仿宋_GB2312" w:cs="仿宋_GB2312"/>
                <w:sz w:val="24"/>
                <w:highlight w:val="none"/>
              </w:rPr>
              <w:t>企业，实现网络安全零事故，为政务领域一体化安全防护提供创新范式。</w:t>
            </w:r>
          </w:p>
          <w:p w14:paraId="0F296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二、解决的问题</w:t>
            </w:r>
          </w:p>
          <w:p w14:paraId="43B04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网络安全风险：解决网络攻击（如DDoS、SQL注入）及数据泄露风险，构建零信任架构与威胁感知系统，实时拦截异常流量并动态验证用户身份，阻断非法访问。</w:t>
            </w:r>
          </w:p>
          <w:p w14:paraId="43968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‌数据安全风险‌：解决数据在采集、存储、传输、使用等环节面临的泄露、篡改、丢失等安全风险，特别是在涉及敏感数据时风险更为突出。</w:t>
            </w:r>
          </w:p>
          <w:p w14:paraId="7741B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‌合规性要求‌：确保数据处理活动符合《中华人民共和国数据安全法》《中华人民共和国个人信息保护法》等法律法规要求，降低法律风险。</w:t>
            </w:r>
          </w:p>
          <w:p w14:paraId="0DE3A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‌数据管理复杂性‌：解决数据分类分级不明确、访问控制不严格、数据备份与恢复机制不完善等问题，提高数据管理效率。</w:t>
            </w:r>
          </w:p>
          <w:p w14:paraId="23A28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‌业务连续性风险‌：确保在数据丢失或系统故障时能够快速恢复，保障业务的连续性和稳定性。</w:t>
            </w:r>
          </w:p>
          <w:p w14:paraId="23BDC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‌内部威胁‌：防范员工或内部人员的误操作、恶意行为导致的数据泄露或损坏。</w:t>
            </w:r>
          </w:p>
          <w:p w14:paraId="7AD2B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5C7CF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三、实施成效</w:t>
            </w:r>
          </w:p>
          <w:p w14:paraId="4AD09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‌安全能力显著提升‌：通过全生命周期安全防护和实时监控，未发生数据泄露事件和敏感数据违规访问事件。</w:t>
            </w:r>
          </w:p>
          <w:p w14:paraId="1F969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‌合规达标率‌：政府单位数据分类分级管理覆盖率、加密存储率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高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，完全满足相关法律法规要求。</w:t>
            </w:r>
          </w:p>
          <w:p w14:paraId="47430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‌业务效率优化‌：HDFS架构支持PB级数据存储，企业实现行业研究报告分析效率提升，数据调用响应时间短至秒级。</w:t>
            </w:r>
          </w:p>
          <w:p w14:paraId="75DC4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7292F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四、创新性</w:t>
            </w:r>
          </w:p>
          <w:p w14:paraId="355DE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highlight w:val="none"/>
                <w:lang w:val="en-US" w:eastAsia="zh-CN"/>
              </w:rPr>
              <w:t>智能的网络安全监测和防护：构建智能动态防御体系，融合流量行为分析与攻击链预测技术，实现网络威胁分钟级自动溯源与阻断，同步研发加密隧道智能切换机制，保障跨网传输自适应性安全。</w:t>
            </w:r>
          </w:p>
          <w:p w14:paraId="25177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‌全面的数据安全管理体系‌：从制度规范、组织架构、技术措施到监控审计，构建了全方位的数据安全管理体系。</w:t>
            </w:r>
          </w:p>
          <w:p w14:paraId="62D3E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‌先进的存储技术‌：采用HDFS架构作为存储技术，支持PB级数据的存储和处理，满足大规模数据存储的需求。</w:t>
            </w:r>
          </w:p>
          <w:p w14:paraId="2CBEF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‌强化的数据加密技术‌：使用国密算法对数据进行加密存储和传输，确保数据在传输和存储过程中的安全性。</w:t>
            </w:r>
          </w:p>
          <w:p w14:paraId="1E850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‌精细化的访问控制‌：实施基于角色的访问控制和多因素认证，根据用户角色和职责分配访问权限，防止数据泄露和滥用。</w:t>
            </w:r>
          </w:p>
          <w:p w14:paraId="21609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‌实时的数据安全监控‌：部署多种监控工具，实时监控用户对敏感数据的访问行为，及时发现和处理安全事件。</w:t>
            </w:r>
          </w:p>
          <w:p w14:paraId="37897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59F39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五、可推广性</w:t>
            </w:r>
          </w:p>
          <w:p w14:paraId="5EAA4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‌行业适用性广‌：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案例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适配政务、金融、医疗等高安全需求行业，其国密算法、零信任架构及动态密钥管理等核心模块，可快速移植至其他涉及敏感数据交互的领域，如公共信用、电子证照等场景。</w:t>
            </w:r>
          </w:p>
          <w:p w14:paraId="55464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‌场景拓展性‌：支持跨部门协同、云端数据交换等复杂场景，灵活适配混合云、多中心网络架构，可扩展至智慧城市、工业互联网等新型数字化场景。</w:t>
            </w:r>
          </w:p>
          <w:p w14:paraId="2813C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‌技术可复制性强‌：采用标准化的动态密钥管理系统、智能威胁感知模块等组件，兼容主流国产化软硬件生态，具备低代码接入特性，可快速在同类平台部署应用。</w:t>
            </w:r>
          </w:p>
        </w:tc>
      </w:tr>
      <w:tr w14:paraId="0355BD39">
        <w:trPr>
          <w:trHeight w:val="846" w:hRule="atLeast"/>
          <w:jc w:val="center"/>
        </w:trPr>
        <w:tc>
          <w:tcPr>
            <w:tcW w:w="911" w:type="dxa"/>
            <w:vMerge w:val="restart"/>
            <w:noWrap w:val="0"/>
            <w:vAlign w:val="center"/>
          </w:tcPr>
          <w:p w14:paraId="32269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主要</w:t>
            </w: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完成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人</w:t>
            </w:r>
          </w:p>
        </w:tc>
        <w:tc>
          <w:tcPr>
            <w:tcW w:w="2322" w:type="dxa"/>
            <w:gridSpan w:val="2"/>
            <w:noWrap w:val="0"/>
            <w:vAlign w:val="center"/>
          </w:tcPr>
          <w:p w14:paraId="328F35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姓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名</w:t>
            </w:r>
          </w:p>
        </w:tc>
        <w:tc>
          <w:tcPr>
            <w:tcW w:w="2322" w:type="dxa"/>
            <w:gridSpan w:val="2"/>
            <w:noWrap w:val="0"/>
            <w:vAlign w:val="center"/>
          </w:tcPr>
          <w:p w14:paraId="2D3553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职称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/职务</w:t>
            </w:r>
          </w:p>
        </w:tc>
        <w:tc>
          <w:tcPr>
            <w:tcW w:w="2326" w:type="dxa"/>
            <w:noWrap w:val="0"/>
            <w:vAlign w:val="center"/>
          </w:tcPr>
          <w:p w14:paraId="08E52E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联系方式</w:t>
            </w:r>
          </w:p>
        </w:tc>
      </w:tr>
      <w:tr w14:paraId="1E8CD5AB">
        <w:trPr>
          <w:trHeight w:val="846" w:hRule="atLeast"/>
          <w:jc w:val="center"/>
        </w:trPr>
        <w:tc>
          <w:tcPr>
            <w:tcW w:w="911" w:type="dxa"/>
            <w:vMerge w:val="continue"/>
            <w:noWrap w:val="0"/>
            <w:vAlign w:val="center"/>
          </w:tcPr>
          <w:p w14:paraId="5CBCD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2" w:type="dxa"/>
            <w:gridSpan w:val="2"/>
            <w:noWrap w:val="0"/>
            <w:vAlign w:val="center"/>
          </w:tcPr>
          <w:p w14:paraId="67A0DC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2" w:type="dxa"/>
            <w:gridSpan w:val="2"/>
            <w:noWrap w:val="0"/>
            <w:vAlign w:val="center"/>
          </w:tcPr>
          <w:p w14:paraId="3A414C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6" w:type="dxa"/>
            <w:noWrap w:val="0"/>
            <w:vAlign w:val="center"/>
          </w:tcPr>
          <w:p w14:paraId="50F097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445967C8">
        <w:trPr>
          <w:trHeight w:val="846" w:hRule="atLeast"/>
          <w:jc w:val="center"/>
        </w:trPr>
        <w:tc>
          <w:tcPr>
            <w:tcW w:w="911" w:type="dxa"/>
            <w:vMerge w:val="continue"/>
            <w:noWrap w:val="0"/>
            <w:vAlign w:val="center"/>
          </w:tcPr>
          <w:p w14:paraId="04ECA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2" w:type="dxa"/>
            <w:gridSpan w:val="2"/>
            <w:noWrap w:val="0"/>
            <w:vAlign w:val="center"/>
          </w:tcPr>
          <w:p w14:paraId="6B782A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2" w:type="dxa"/>
            <w:gridSpan w:val="2"/>
            <w:noWrap w:val="0"/>
            <w:vAlign w:val="center"/>
          </w:tcPr>
          <w:p w14:paraId="494D95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6" w:type="dxa"/>
            <w:noWrap w:val="0"/>
            <w:vAlign w:val="center"/>
          </w:tcPr>
          <w:p w14:paraId="7ED1FE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423EFD34">
        <w:trPr>
          <w:trHeight w:val="846" w:hRule="atLeast"/>
          <w:jc w:val="center"/>
        </w:trPr>
        <w:tc>
          <w:tcPr>
            <w:tcW w:w="911" w:type="dxa"/>
            <w:vMerge w:val="continue"/>
            <w:noWrap w:val="0"/>
            <w:vAlign w:val="center"/>
          </w:tcPr>
          <w:p w14:paraId="08C22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2" w:type="dxa"/>
            <w:gridSpan w:val="2"/>
            <w:noWrap w:val="0"/>
            <w:vAlign w:val="center"/>
          </w:tcPr>
          <w:p w14:paraId="324BBD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2" w:type="dxa"/>
            <w:gridSpan w:val="2"/>
            <w:noWrap w:val="0"/>
            <w:vAlign w:val="center"/>
          </w:tcPr>
          <w:p w14:paraId="49A6F6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2326" w:type="dxa"/>
            <w:noWrap w:val="0"/>
            <w:vAlign w:val="center"/>
          </w:tcPr>
          <w:p w14:paraId="0348F2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C828155">
        <w:trPr>
          <w:trHeight w:val="4130" w:hRule="atLeast"/>
          <w:jc w:val="center"/>
        </w:trPr>
        <w:tc>
          <w:tcPr>
            <w:tcW w:w="911" w:type="dxa"/>
            <w:noWrap w:val="0"/>
            <w:vAlign w:val="center"/>
          </w:tcPr>
          <w:p w14:paraId="6FC12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真实性承诺</w:t>
            </w:r>
          </w:p>
        </w:tc>
        <w:tc>
          <w:tcPr>
            <w:tcW w:w="6970" w:type="dxa"/>
            <w:gridSpan w:val="5"/>
            <w:noWrap w:val="0"/>
            <w:vAlign w:val="center"/>
          </w:tcPr>
          <w:p w14:paraId="3A9A5A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我单位提报的所有材料，均真实、完整，如有不实，愿承担相应的责任。</w:t>
            </w:r>
          </w:p>
          <w:p w14:paraId="5C1D43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08D97C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单位公章：           </w:t>
            </w:r>
          </w:p>
          <w:p w14:paraId="56A67C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225F7F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年   月   日 </w:t>
            </w:r>
          </w:p>
        </w:tc>
      </w:tr>
    </w:tbl>
    <w:p w14:paraId="26C13878">
      <w:pPr>
        <w:rPr>
          <w:rFonts w:hint="eastAsia" w:ascii="仿宋_GB2312" w:hAnsi="仿宋_GB2312" w:eastAsia="仿宋_GB2312" w:cs="仿宋_GB2312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szCs w:val="21"/>
          <w:highlight w:val="none"/>
        </w:rPr>
        <w:t>注：请完整填写本表</w:t>
      </w:r>
      <w:r>
        <w:rPr>
          <w:rFonts w:hint="eastAsia" w:ascii="仿宋_GB2312" w:hAnsi="仿宋_GB2312" w:eastAsia="仿宋_GB2312" w:cs="仿宋_GB2312"/>
          <w:szCs w:val="21"/>
          <w:highlight w:val="none"/>
          <w:lang w:val="en-US" w:eastAsia="zh-CN"/>
        </w:rPr>
        <w:t>，并</w:t>
      </w:r>
      <w:r>
        <w:rPr>
          <w:rFonts w:hint="eastAsia" w:ascii="仿宋_GB2312" w:hAnsi="仿宋_GB2312" w:eastAsia="仿宋_GB2312" w:cs="仿宋_GB2312"/>
          <w:szCs w:val="21"/>
          <w:highlight w:val="none"/>
        </w:rPr>
        <w:t>在相应处盖章。</w:t>
      </w:r>
    </w:p>
    <w:p w14:paraId="538FEC00">
      <w:pPr>
        <w:rPr>
          <w:rFonts w:hint="eastAsia" w:ascii="仿宋_GB2312" w:hAnsi="仿宋_GB2312" w:eastAsia="仿宋_GB2312" w:cs="仿宋_GB2312"/>
          <w:szCs w:val="21"/>
        </w:rPr>
      </w:pPr>
    </w:p>
    <w:p w14:paraId="0A26A55E">
      <w:pPr>
        <w:spacing w:line="600" w:lineRule="exact"/>
        <w:ind w:firstLine="640"/>
        <w:jc w:val="left"/>
        <w:outlineLvl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二、案例情况</w:t>
      </w:r>
    </w:p>
    <w:p w14:paraId="1F7E1D48">
      <w:pPr>
        <w:widowControl/>
        <w:ind w:firstLine="640"/>
        <w:jc w:val="left"/>
        <w:rPr>
          <w:rFonts w:hint="eastAsia" w:ascii="楷体_GB2312" w:hAnsi="楷体_GB2312" w:eastAsia="楷体_GB2312" w:cs="楷体_GB231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sz w:val="32"/>
          <w:szCs w:val="32"/>
          <w:highlight w:val="none"/>
        </w:rPr>
        <w:t>（一）案例名称</w:t>
      </w:r>
    </w:p>
    <w:p w14:paraId="25991DC7">
      <w:pPr>
        <w:widowControl/>
        <w:ind w:firstLine="640"/>
        <w:jc w:val="left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山东科技大市场平台网络安全保障体系创新案例</w:t>
      </w:r>
    </w:p>
    <w:p w14:paraId="34355F0C">
      <w:pPr>
        <w:widowControl/>
        <w:ind w:firstLine="640"/>
        <w:jc w:val="left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（二）案例概述（不超过1000字）</w:t>
      </w:r>
    </w:p>
    <w:p w14:paraId="3CA5340A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1.单位简介</w:t>
      </w:r>
    </w:p>
    <w:p w14:paraId="20D44B5B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山东省创新发展研究院是山东省政府直属、山东省科学技术厅管理的正厅级公益一类事业单位，以培育一流科技创新智库、一流科技创新服务平台、一流创新人才团队为核心，着力打造山东乃至全国创新驱动发展的重要科技战略力量。</w:t>
      </w:r>
    </w:p>
    <w:p w14:paraId="7BAF69FB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2.背景目的</w:t>
      </w:r>
    </w:p>
    <w:p w14:paraId="7F5BAFF4">
      <w:pPr>
        <w:widowControl/>
        <w:ind w:firstLine="640"/>
        <w:jc w:val="left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提供案例拟解决的痛点或关键问题，简要介绍背景、必要性和实施目标。</w:t>
      </w:r>
    </w:p>
    <w:p w14:paraId="678AED48">
      <w:pPr>
        <w:widowControl/>
        <w:ind w:firstLine="640"/>
        <w:jc w:val="left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default" w:ascii="仿宋_GB2312" w:hAnsi="仿宋_GB2312" w:eastAsia="仿宋_GB2312" w:cs="仿宋_GB2312"/>
          <w:b/>
          <w:bCs/>
          <w:sz w:val="32"/>
          <w:szCs w:val="32"/>
        </w:rPr>
        <w:t>项目背景</w:t>
      </w:r>
    </w:p>
    <w:p w14:paraId="3045426A">
      <w:pPr>
        <w:widowControl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  <w:t>山东科技大市场平台网络安全建设契合国家“统筹安全与发展”战略，积极响应《网络安全法》《数据安全法》及“十四五”数字中国规划要求。平台以《信息安全技术 信息系统密码应用基本要求》为基准，率先实践国密算法全域应用，落实国家密码自主可控方针；依托零信任架构与动态防御体系，强化政务数据跨域流转安全，呼应国家“数据要素市场化”改革中安全基座建设需求。同时，平台技术架构全面适配信创生态，符合国家关键信息基础设施国产化替代导向，其“主动防御+智能加密”模式为《数字政府建设整体布局规划》中“筑牢可信可控网络安全屏障”提供可复制路径，助推数字经济与实体经济安全融合发展。</w:t>
      </w:r>
    </w:p>
    <w:p w14:paraId="08F6E2D0">
      <w:pPr>
        <w:widowControl/>
        <w:ind w:firstLine="640"/>
        <w:jc w:val="left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red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red"/>
          <w:lang w:val="en-US" w:eastAsia="zh-CN"/>
        </w:rPr>
        <w:t>安全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red"/>
          <w:lang w:eastAsia="zh-CN"/>
        </w:rPr>
        <w:t>必要性</w:t>
      </w:r>
    </w:p>
    <w:p w14:paraId="189C15C5">
      <w:pPr>
        <w:widowControl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在数字化转型的浪潮中，数据已成为企业的无价之宝，而数据安全与网络安全则成为了守护这份宝贵财富的坚固防线。近年来，数据泄露、网络攻击、内部人员不当操作等安全事件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时有发生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，不仅严重损害了企业的经济利益和品牌形象，更可能波及国家安全、经济运行、社会秩序及公共利益。因此，制定一套系统化、综合性的数据安全方案，并融合网络安全策略，以确保数据的机密性、完整性和可用性，已成为企业亟需解决的关键问题。</w:t>
      </w:r>
    </w:p>
    <w:p w14:paraId="74393BD1">
      <w:pPr>
        <w:widowControl/>
        <w:ind w:firstLine="640" w:firstLineChars="200"/>
        <w:jc w:val="left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同时，随着国内外数据安全与网络安全法律法规的日益完善，企业更需建立一套符合法规要求的管理体系，以强化自身合规性，降低法律风险。这不仅是企业自身稳健发展的内在需求，更是履行社会责任、维护公共利益的法律义务。在此背景下，企业必须高度重视数据安全与网络安全，采取切实有效措施，筑牢信息安全屏障。</w:t>
      </w:r>
    </w:p>
    <w:p w14:paraId="411F1760">
      <w:pPr>
        <w:bidi w:val="0"/>
        <w:ind w:firstLine="643" w:firstLineChars="200"/>
        <w:rPr>
          <w:rFonts w:hint="eastAsia"/>
          <w:b/>
          <w:bCs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拟解决的痛点或关键问题</w:t>
      </w:r>
    </w:p>
    <w:p w14:paraId="6755F46E">
      <w:pPr>
        <w:bidi w:val="0"/>
        <w:ind w:firstLine="640" w:firstLineChars="200"/>
        <w:rPr>
          <w:rFonts w:hint="eastAsia"/>
          <w:b/>
          <w:bCs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（1）网络攻击风险：企业面临来自黑客、恶意软件等的网络攻击，可能导致数据被非法访问、窃取或篡改，严重影响企业信息安全，甚至造成重大经济损失和声誉损害。</w:t>
      </w:r>
    </w:p>
    <w:p w14:paraId="589973CD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</w:rPr>
        <w:t>安全风险：随着数据量的增加和数据类型的多样化，数据在采集、存储、传输、使用等环节面临泄露、篡改、丢失等安全风险，尤其是在涉及敏感数据（如个人信息、商业机密等）时，风险更为突出。</w:t>
      </w:r>
    </w:p>
    <w:p w14:paraId="76816A44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合规性要求：随着《中华人民共和国数据安全法》《中华人民共和国网络安全法》《中华人民共和国个人信息保护法》等法律法规的出台，企业在数据处理过程中必须遵守严格的合规要求，否则可能面临法律风险和罚款。</w:t>
      </w:r>
    </w:p>
    <w:p w14:paraId="074E0225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数据管理复杂性：数据分类分级不明确、访问控制不严格、数据备份与恢复机制不完善等问题，导致数据管理复杂且效率低下，增加了数据安全管理的难度。</w:t>
      </w:r>
    </w:p>
    <w:p w14:paraId="093BC23B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业务连续性风险：数据丢失或系统故障可能导致业务中断，影响企业的正常运营，尤其是在关键业务数据受损时，恢复成本高且耗时长。</w:t>
      </w:r>
    </w:p>
    <w:p w14:paraId="55974214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  <w:highlight w:val="red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内部威胁：员工或内部人员的误操作、恶意行为可能导致数据泄露或损坏，缺乏有效的监控和审计机制来防范内部威胁。</w:t>
      </w:r>
    </w:p>
    <w:p w14:paraId="726370AF">
      <w:pPr>
        <w:bidi w:val="0"/>
        <w:ind w:firstLine="643" w:firstLineChars="200"/>
        <w:rPr>
          <w:rFonts w:hint="eastAsia"/>
          <w:b/>
          <w:bCs/>
          <w:highlight w:val="red"/>
        </w:rPr>
      </w:pPr>
      <w:r>
        <w:rPr>
          <w:rFonts w:hint="eastAsia"/>
          <w:b/>
          <w:bCs/>
          <w:highlight w:val="red"/>
          <w:lang w:val="en-US" w:eastAsia="zh-CN"/>
        </w:rPr>
        <w:t>具体安全相关</w:t>
      </w:r>
      <w:r>
        <w:rPr>
          <w:rFonts w:hint="eastAsia"/>
          <w:b/>
          <w:bCs/>
          <w:highlight w:val="red"/>
        </w:rPr>
        <w:t>实施目标</w:t>
      </w:r>
    </w:p>
    <w:p w14:paraId="7FCA2003">
      <w:pPr>
        <w:widowControl/>
        <w:ind w:firstLine="640"/>
        <w:jc w:val="lef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网络安全防护体系：加强网络边界防护，部署高性能防火墙和入侵检测系统，防止外部攻击。实施定期的安全扫描和漏洞修复，确保系统无安全漏洞。采用加密技术保护网络传输数据，防止数据在传输过程中被窃取或篡改。建立网络安全事件应急响应机制，确保在安全事件发生时能够迅速响应并有效处置。</w:t>
      </w:r>
    </w:p>
    <w:p w14:paraId="7A3EB3BA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构建数据安全保障体系：通过制定分级分类的数据安全制度与规范，构建基于HDFS架构的数据安全技术，实施多维度数据安全保障措施，确保数据在全生命周期中得到有效保护。</w:t>
      </w:r>
    </w:p>
    <w:p w14:paraId="0FB434CC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提升数据安全合规性：确保数据处理活动符合《中华人民共和国数据安全法》《中华人民共和国网络安全法》《中华人民共和国个人信息保护法》等法律法规的要求，降低法律风险。</w:t>
      </w:r>
    </w:p>
    <w:p w14:paraId="6D94BCC8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增强数据访问控制：通过严格的用户身份认证与授权管理，确保只有经过授权的用户才能访问敏感数据，防止数据泄露和滥用。</w:t>
      </w:r>
    </w:p>
    <w:p w14:paraId="6708517F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确保业务连续性：通过完善的数据备份与恢复机制，确保在数据丢失或系统故障时能够快速恢复，保障业务的连续性和稳定性。</w:t>
      </w:r>
    </w:p>
    <w:p w14:paraId="596D7443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防范内部威胁：通过数据安全审计与监控，及时发现和处理内部人员的误操作或恶意行为，降低内部威胁带来的风险。</w:t>
      </w:r>
    </w:p>
    <w:p w14:paraId="2D35B96E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提升数据安全意识：通过数据安全培训和模拟演练，提升员工的数据安全意识和应急响应能力，确保数据安全管理措施的有效执行。</w:t>
      </w:r>
    </w:p>
    <w:p w14:paraId="78CD98BD">
      <w:pPr>
        <w:widowControl/>
        <w:ind w:firstLine="640"/>
        <w:jc w:val="left"/>
        <w:outlineLvl w:val="1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sz w:val="32"/>
          <w:szCs w:val="32"/>
        </w:rPr>
        <w:t>）做法情况（不超过2500字）</w:t>
      </w:r>
    </w:p>
    <w:p w14:paraId="42C36746">
      <w:pPr>
        <w:bidi w:val="0"/>
        <w:ind w:firstLine="643" w:firstLineChars="200"/>
        <w:outlineLvl w:val="2"/>
        <w:rPr>
          <w:rFonts w:hint="eastAsia"/>
          <w:b/>
          <w:bCs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1</w:t>
      </w:r>
      <w:r>
        <w:rPr>
          <w:rFonts w:hint="default"/>
          <w:b/>
          <w:bCs/>
          <w:highlight w:val="red"/>
          <w:lang w:val="en-US" w:eastAsia="zh-CN"/>
        </w:rPr>
        <w:t>.</w:t>
      </w:r>
      <w:r>
        <w:rPr>
          <w:rFonts w:hint="eastAsia"/>
          <w:b/>
          <w:bCs/>
          <w:highlight w:val="red"/>
          <w:lang w:val="en-US" w:eastAsia="zh-CN"/>
        </w:rPr>
        <w:t>应用范围</w:t>
      </w:r>
    </w:p>
    <w:p w14:paraId="68BB4420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提供案例涉及的使用单位、应用领域（如电子政务外网）等。</w:t>
      </w:r>
    </w:p>
    <w:p w14:paraId="7B7BA1B3">
      <w:pPr>
        <w:bidi w:val="0"/>
        <w:ind w:firstLine="640" w:firstLineChars="200"/>
        <w:rPr>
          <w:rFonts w:hint="eastAsia"/>
        </w:rPr>
      </w:pPr>
      <w:r>
        <w:rPr>
          <w:rFonts w:hint="eastAsia"/>
          <w:b w:val="0"/>
          <w:bCs w:val="0"/>
        </w:rPr>
        <w:t>使用单位</w:t>
      </w:r>
      <w:r>
        <w:rPr>
          <w:rFonts w:hint="eastAsia"/>
          <w:b w:val="0"/>
          <w:bCs w:val="0"/>
          <w:lang w:eastAsia="zh-CN"/>
        </w:rPr>
        <w:t>：</w:t>
      </w:r>
      <w:r>
        <w:rPr>
          <w:rFonts w:hint="eastAsia"/>
        </w:rPr>
        <w:t>山东省创发院及相关部门。</w:t>
      </w:r>
    </w:p>
    <w:p w14:paraId="129CC540">
      <w:pPr>
        <w:numPr>
          <w:ilvl w:val="0"/>
          <w:numId w:val="0"/>
        </w:numPr>
        <w:bidi w:val="0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/>
          <w:highlight w:val="none"/>
          <w:lang w:val="en-US" w:eastAsia="zh-CN"/>
        </w:rPr>
        <w:t>应用领域：主要应用于政府、金融、电信等关键信息基础设施领域。政府领域，通过集成先进的网络安全技术和策略，提供全面防护。金融领域，实现多层次防御，保障交易安全，促进监管部门信息共享。电信领域，构建DDoS防护体系，提供流量清洗和威胁情报共享，确保网络健壮稳定。通过综合应用这些措施，本案例有效提升了各领域网络安全防护水平，为社会的正常运转和人民生活便利提供了有力保障。</w:t>
      </w:r>
    </w:p>
    <w:p w14:paraId="3D18B5CB">
      <w:pPr>
        <w:widowControl/>
        <w:ind w:firstLine="640"/>
        <w:jc w:val="left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2.主要做法</w:t>
      </w:r>
    </w:p>
    <w:p w14:paraId="20085848">
      <w:pPr>
        <w:widowControl/>
        <w:ind w:firstLine="640"/>
        <w:jc w:val="left"/>
        <w:rPr>
          <w:rFonts w:hint="default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介绍案例中主要建设内容及特点、关键核心技术等情况。</w:t>
      </w:r>
    </w:p>
    <w:p w14:paraId="1EDDCB01">
      <w:pPr>
        <w:bidi w:val="0"/>
        <w:outlineLvl w:val="3"/>
        <w:rPr>
          <w:rFonts w:hint="eastAsia"/>
          <w:b/>
          <w:bCs/>
          <w:highlight w:val="red"/>
          <w:lang w:eastAsia="zh-CN"/>
        </w:rPr>
      </w:pPr>
      <w:r>
        <w:rPr>
          <w:rFonts w:hint="eastAsia"/>
          <w:b/>
          <w:bCs/>
          <w:highlight w:val="red"/>
          <w:lang w:val="en-US" w:eastAsia="zh-CN"/>
        </w:rPr>
        <w:t>项目</w:t>
      </w:r>
      <w:r>
        <w:rPr>
          <w:rFonts w:hint="eastAsia"/>
          <w:b/>
          <w:bCs/>
          <w:highlight w:val="red"/>
          <w:lang w:eastAsia="zh-CN"/>
        </w:rPr>
        <w:t>建设内容及特点</w:t>
      </w:r>
    </w:p>
    <w:p w14:paraId="3BDD8D1D">
      <w:pPr>
        <w:numPr>
          <w:ilvl w:val="0"/>
          <w:numId w:val="2"/>
        </w:numPr>
        <w:bidi w:val="0"/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网络安全</w:t>
      </w:r>
    </w:p>
    <w:p w14:paraId="2E0395B2">
      <w:pPr>
        <w:bidi w:val="0"/>
        <w:rPr>
          <w:rFonts w:hint="eastAsia"/>
          <w:b/>
          <w:bCs/>
        </w:rPr>
      </w:pPr>
      <w:r>
        <w:rPr>
          <w:rFonts w:hint="default"/>
          <w:lang w:val="en-US" w:eastAsia="zh-CN"/>
        </w:rPr>
        <w:t>在网络安全方面，集成了多种先进的网络安全技术和策略，包括防火墙、入侵检测系统、安全漏洞扫描等，形成了多层次、立体化的防御体系。这些措施的有效实施，大大增强了系统的抗攻击能力和自我修复能力，为项目的稳定运行提供了坚实保障。</w:t>
      </w:r>
    </w:p>
    <w:p w14:paraId="0633CCDE">
      <w:pPr>
        <w:bidi w:val="0"/>
        <w:outlineLvl w:val="3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数据服务</w:t>
      </w:r>
    </w:p>
    <w:p w14:paraId="7B0C72E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‌数据采集与整合‌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根据服务明细文件要求，采集并整合涵盖八大产业的基础数据、特殊基础数据、非结构化数据以及图谱数据。</w:t>
      </w:r>
    </w:p>
    <w:p w14:paraId="0790767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‌数据治理与交付‌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对采集到的数据进行质量检测和验证，确保数据的准确性、完整性和一致性，并按要求提供治理后的结构化数据、非结构化数据及原始数据。</w:t>
      </w:r>
    </w:p>
    <w:p w14:paraId="4325578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‌模型开发与适配‌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根据业务需求和数据特性，开发不同场景下的模型，并确保交付的数据与模型相适配。</w:t>
      </w:r>
    </w:p>
    <w:p w14:paraId="7CD9E28D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t>‌数据更新与维护‌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在项目服务期内及售后服务期内，持续提供数据更新服务，确保数据的时效性和连续性。</w:t>
      </w:r>
    </w:p>
    <w:p w14:paraId="1399C4F2">
      <w:pPr>
        <w:bidi w:val="0"/>
        <w:outlineLvl w:val="3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（3）安全建设</w:t>
      </w:r>
    </w:p>
    <w:p w14:paraId="371AB7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数据安全制度与规范‌。建立了完善的数据安全组织架构，明确了各级人员的安全职责，包括安全主管、安全管理员、安全审计员等。制定了数据分类分级管理制度、数据访问控制制度、数据导入导出管理制度等。</w:t>
      </w:r>
    </w:p>
    <w:p w14:paraId="41CF55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数据安全技术实施‌。采用HDFS架构作为存储技术，支持TB级结构化数据和非结构化数据的存储。实施数据加密技术，对敏感数据进行加密存储和传输。部署防火墙、WAF等网络安全防护措施，保护网络环境的安全。</w:t>
      </w:r>
    </w:p>
    <w:p w14:paraId="29D350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数据安全保障措施‌。从数据采集、存储、加工、应用、接口、交付等全生命周期实施安全保障措施。数据采集过程中的数据源风险规避与审查，存储过程中的数据加密存储，加工过程中的访问控制和申请机制，应用过程中的传输加密和访问控制等。</w:t>
      </w:r>
    </w:p>
    <w:p w14:paraId="40480E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‌数据安全监控与审计‌。部署日志管理、入侵检测、数据泄露防护等监控工具，实时监控用户对敏感数据的访问行为。定期进行日志审计和异常检测，确保数据的安全合规使用。</w:t>
      </w:r>
    </w:p>
    <w:p w14:paraId="6EEA10F1">
      <w:pPr>
        <w:bidi w:val="0"/>
        <w:rPr>
          <w:rFonts w:hint="eastAsia"/>
          <w:b/>
          <w:bCs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关键核心技术</w:t>
      </w:r>
    </w:p>
    <w:p w14:paraId="1FF96455">
      <w:pPr>
        <w:numPr>
          <w:ilvl w:val="0"/>
          <w:numId w:val="3"/>
        </w:numPr>
        <w:bidi w:val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‌HDFS架构‌。</w:t>
      </w:r>
    </w:p>
    <w:p w14:paraId="498F1119">
      <w:pPr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大规模数据的分布式存储和管理，具有高扩展性、高容错性和高吞吐量等优点。专为大规模数据设计的分布式存储架构，采用主从结构，支持横向扩展，通过数据分块、多副本冗余机制实现高容错性和高吞吐量。‌</w:t>
      </w:r>
    </w:p>
    <w:p w14:paraId="0D9A71B5">
      <w:pPr>
        <w:numPr>
          <w:ilvl w:val="0"/>
          <w:numId w:val="4"/>
        </w:numPr>
        <w:bidi w:val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‌国密算法</w:t>
      </w:r>
      <w:r>
        <w:rPr>
          <w:rFonts w:hint="eastAsia"/>
        </w:rPr>
        <w:t>‌SM2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SM3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SM4</w:t>
      </w:r>
      <w:r>
        <w:rPr>
          <w:rFonts w:hint="eastAsia"/>
          <w:lang w:val="en-US" w:eastAsia="zh-CN"/>
        </w:rPr>
        <w:t>应用</w:t>
      </w:r>
    </w:p>
    <w:p w14:paraId="78F6AF78">
      <w:pPr>
        <w:numPr>
          <w:ilvl w:val="0"/>
          <w:numId w:val="0"/>
        </w:numPr>
        <w:bidi w:val="0"/>
        <w:ind w:firstLine="640" w:firstLineChars="200"/>
        <w:rPr>
          <w:rFonts w:hint="eastAsia"/>
        </w:rPr>
      </w:pPr>
      <w:r>
        <w:rPr>
          <w:rFonts w:hint="eastAsia"/>
        </w:rPr>
        <w:t>用于数据加密、数据签名和完整性校验，确保数据在传输和存储过程中的安全性。</w:t>
      </w:r>
    </w:p>
    <w:p w14:paraId="5F60AF68">
      <w:pPr>
        <w:numPr>
          <w:ilvl w:val="0"/>
          <w:numId w:val="4"/>
        </w:numPr>
        <w:bidi w:val="0"/>
        <w:ind w:left="0" w:leftChars="0"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零信任架构</w:t>
      </w:r>
    </w:p>
    <w:p w14:paraId="243BDCBC">
      <w:pPr>
        <w:numPr>
          <w:ilvl w:val="0"/>
          <w:numId w:val="0"/>
        </w:numPr>
        <w:bidi w:val="0"/>
        <w:ind w:firstLine="64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是</w:t>
      </w:r>
      <w:r>
        <w:rPr>
          <w:rFonts w:hint="eastAsia"/>
          <w:lang w:eastAsia="zh-CN"/>
        </w:rPr>
        <w:t>新型网络安全防护模型，基于角色（RBAC）分配访问权限，限制横向移动风险，动态验证用户身份与设备安全状态，而非依赖固定网络边界。细粒度控制数据访问路径，阻断非法入侵。适用于政务跨部门协作、混合云环境等复杂网络场景的安全管控。</w:t>
      </w:r>
    </w:p>
    <w:p w14:paraId="437052D5">
      <w:pPr>
        <w:numPr>
          <w:ilvl w:val="0"/>
          <w:numId w:val="4"/>
        </w:numPr>
        <w:bidi w:val="0"/>
        <w:ind w:left="0" w:leftChars="0"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智能威胁感知系统</w:t>
      </w:r>
    </w:p>
    <w:p w14:paraId="29F87AC5">
      <w:pPr>
        <w:numPr>
          <w:ilvl w:val="0"/>
          <w:numId w:val="0"/>
        </w:numPr>
        <w:bidi w:val="0"/>
        <w:ind w:firstLine="640" w:firstLineChars="200"/>
        <w:rPr>
          <w:rFonts w:hint="eastAsia"/>
        </w:rPr>
      </w:pPr>
      <w:r>
        <w:rPr>
          <w:rFonts w:hint="eastAsia"/>
          <w:lang w:val="en-US" w:eastAsia="zh-CN"/>
        </w:rPr>
        <w:t>通过流量行为分析识别潜在攻击模式（如DDoS、SQL注入），自动定位攻击源并实施隔离，缩短响应时间，根据网络威胁等级动态切换加密策略，保障跨网传输安全。实时防护技术交易平台、政务数据共享中的网络攻击风险。</w:t>
      </w:r>
    </w:p>
    <w:p w14:paraId="774A3B16">
      <w:pPr>
        <w:numPr>
          <w:ilvl w:val="0"/>
          <w:numId w:val="0"/>
        </w:numPr>
        <w:bidi w:val="0"/>
        <w:ind w:firstLine="643" w:firstLineChars="200"/>
        <w:rPr>
          <w:rFonts w:hint="default" w:eastAsia="仿宋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其中关于数据加密技术如下：</w:t>
      </w:r>
    </w:p>
    <w:p w14:paraId="5A1EAF36">
      <w:pPr>
        <w:bidi w:val="0"/>
        <w:rPr>
          <w:rFonts w:hint="eastAsia"/>
        </w:rPr>
      </w:pPr>
      <w:r>
        <w:rPr>
          <w:rFonts w:hint="eastAsia"/>
        </w:rPr>
        <w:t>数据传输加密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在数据传输过程中，使用国密算法可以有效防止数据被窃取或篡改。</w:t>
      </w:r>
    </w:p>
    <w:p w14:paraId="3DA44596">
      <w:pPr>
        <w:bidi w:val="0"/>
        <w:rPr>
          <w:rFonts w:hint="eastAsia"/>
        </w:rPr>
      </w:pPr>
      <w:r>
        <w:rPr>
          <w:rFonts w:hint="eastAsia"/>
        </w:rPr>
        <w:t>‌核心数据传输加密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使用SM2算法进行密钥交换，确保密钥传输的安全性；使用SM4算法对传输的核心数据进行加密，确保数据在传输过程中的机密性和完整性。</w:t>
      </w:r>
    </w:p>
    <w:p w14:paraId="4E553E3A">
      <w:pPr>
        <w:bidi w:val="0"/>
        <w:rPr>
          <w:rFonts w:hint="eastAsia"/>
        </w:rPr>
      </w:pPr>
      <w:r>
        <w:rPr>
          <w:rFonts w:hint="eastAsia"/>
        </w:rPr>
        <w:t>‌重要数据传输加密‌</w:t>
      </w:r>
      <w:r>
        <w:rPr>
          <w:rFonts w:hint="eastAsia"/>
          <w:lang w:eastAsia="zh-CN"/>
        </w:rPr>
        <w:t>：</w:t>
      </w:r>
      <w:r>
        <w:rPr>
          <w:rFonts w:hint="eastAsia"/>
        </w:rPr>
        <w:t>对于重要数据，同样使用SM4算法进行加密传输，通过TLS/SSL协议保障数据在传输中的机密性和完整性。</w:t>
      </w:r>
    </w:p>
    <w:p w14:paraId="77E76CDC">
      <w:pPr>
        <w:bidi w:val="0"/>
        <w:rPr>
          <w:rFonts w:hint="eastAsia"/>
        </w:rPr>
      </w:pPr>
      <w:r>
        <w:rPr>
          <w:rFonts w:hint="eastAsia"/>
        </w:rPr>
        <w:t>‌一般数据传输加密‌</w:t>
      </w:r>
      <w:r>
        <w:rPr>
          <w:rFonts w:hint="eastAsia"/>
          <w:lang w:eastAsia="zh-CN"/>
        </w:rPr>
        <w:t>：</w:t>
      </w:r>
      <w:r>
        <w:rPr>
          <w:rFonts w:hint="eastAsia"/>
        </w:rPr>
        <w:t>对于一般数据，使用标准的TLS/SSL协议进行加密传输，确保数据在外部网络中不被轻易窃取。</w:t>
      </w:r>
    </w:p>
    <w:p w14:paraId="6FA2F2AC">
      <w:pPr>
        <w:bidi w:val="0"/>
        <w:rPr>
          <w:rFonts w:hint="eastAsia"/>
        </w:rPr>
      </w:pPr>
      <w:r>
        <w:rPr>
          <w:rFonts w:hint="eastAsia"/>
        </w:rPr>
        <w:t>数据存储加密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在数据存储过程中，使用国密算法可以防止数据在存储介质上被非法访问或泄露。</w:t>
      </w:r>
    </w:p>
    <w:p w14:paraId="1D8F4658">
      <w:pPr>
        <w:bidi w:val="0"/>
        <w:rPr>
          <w:rFonts w:hint="eastAsia"/>
        </w:rPr>
      </w:pPr>
      <w:r>
        <w:rPr>
          <w:rFonts w:hint="eastAsia"/>
        </w:rPr>
        <w:t>‌敏感数据加密存储‌</w:t>
      </w:r>
      <w:r>
        <w:rPr>
          <w:rFonts w:hint="eastAsia"/>
          <w:lang w:eastAsia="zh-CN"/>
        </w:rPr>
        <w:t>：</w:t>
      </w:r>
      <w:r>
        <w:rPr>
          <w:rFonts w:hint="eastAsia"/>
        </w:rPr>
        <w:t>对于包含个人敏感信息（如身份证号码、手机号等）的数据，使用SM4算法进行加密存储，确保数据即使在存储介质上被非法获取也无法被轻易解密。</w:t>
      </w:r>
    </w:p>
    <w:p w14:paraId="7F175E7E">
      <w:pPr>
        <w:bidi w:val="0"/>
        <w:rPr>
          <w:rFonts w:hint="eastAsia"/>
        </w:rPr>
      </w:pPr>
      <w:r>
        <w:rPr>
          <w:rFonts w:hint="eastAsia"/>
        </w:rPr>
        <w:t>‌备份数据加密‌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在数据备份过程中，使用SM4算法对备份数据进行加密，防止备份数据在存储或传输过程中泄露。</w:t>
      </w:r>
    </w:p>
    <w:p w14:paraId="21432318">
      <w:pPr>
        <w:bidi w:val="0"/>
        <w:rPr>
          <w:rFonts w:hint="default" w:eastAsia="仿宋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关于</w:t>
      </w:r>
      <w:r>
        <w:rPr>
          <w:rFonts w:hint="eastAsia"/>
          <w:b/>
          <w:bCs/>
        </w:rPr>
        <w:t>数据签名和完整性校验</w:t>
      </w:r>
      <w:r>
        <w:rPr>
          <w:rFonts w:hint="eastAsia"/>
          <w:b/>
          <w:bCs/>
          <w:lang w:val="en-US" w:eastAsia="zh-CN"/>
        </w:rPr>
        <w:t>技术如下：</w:t>
      </w:r>
    </w:p>
    <w:p w14:paraId="043C77C9">
      <w:pPr>
        <w:bidi w:val="0"/>
        <w:rPr>
          <w:rFonts w:hint="eastAsia"/>
        </w:rPr>
      </w:pPr>
      <w:r>
        <w:rPr>
          <w:rFonts w:hint="eastAsia"/>
        </w:rPr>
        <w:t>数字签名可以确保数据的完整性和发送方的身份真实性。</w:t>
      </w:r>
    </w:p>
    <w:p w14:paraId="53BCB302">
      <w:pPr>
        <w:bidi w:val="0"/>
        <w:rPr>
          <w:rFonts w:hint="eastAsia"/>
        </w:rPr>
      </w:pPr>
      <w:r>
        <w:rPr>
          <w:rFonts w:hint="eastAsia"/>
        </w:rPr>
        <w:t>‌数据完整性校验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使用SM3算法生成数据的摘要信息，对传输或存储的数据进行完整性校验。接收方在收到数据后，同样使用SM3算法生成摘要信息并与发送方提供的摘要信息进行对比，以验证数据在传输或存储过程中是否被篡改。</w:t>
      </w:r>
    </w:p>
    <w:p w14:paraId="6B85FC70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‌身份认证‌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使用SM2算法对发送方的身份进行数字签名，接收方使用SM2算法对签名信息进行验证，以确保发送方的身份真实性。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‌多因素</w:t>
      </w:r>
      <w:r>
        <w:rPr>
          <w:rFonts w:hint="eastAsia"/>
          <w:lang w:val="en-US" w:eastAsia="zh-CN"/>
        </w:rPr>
        <w:t>身份</w:t>
      </w:r>
      <w:r>
        <w:rPr>
          <w:rFonts w:hint="eastAsia"/>
        </w:rPr>
        <w:t>认证</w:t>
      </w:r>
      <w:r>
        <w:rPr>
          <w:rFonts w:hint="eastAsia"/>
          <w:lang w:val="en-US" w:eastAsia="zh-CN"/>
        </w:rPr>
        <w:t>和基于角色访问控制的身份认证。</w:t>
      </w:r>
    </w:p>
    <w:p w14:paraId="29D16694">
      <w:pPr>
        <w:numPr>
          <w:ilvl w:val="0"/>
          <w:numId w:val="5"/>
        </w:numPr>
        <w:bidi w:val="0"/>
        <w:ind w:firstLine="643" w:firstLineChars="200"/>
        <w:outlineLvl w:val="2"/>
        <w:rPr>
          <w:rFonts w:hint="default"/>
          <w:b/>
          <w:bCs/>
          <w:highlight w:val="red"/>
          <w:lang w:val="en-US" w:eastAsia="zh-CN"/>
        </w:rPr>
      </w:pPr>
      <w:r>
        <w:rPr>
          <w:rFonts w:hint="eastAsia"/>
          <w:b/>
          <w:bCs/>
          <w:highlight w:val="red"/>
        </w:rPr>
        <w:t>特色亮点</w:t>
      </w:r>
    </w:p>
    <w:p w14:paraId="52C1CFEA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）‌全面的数据安全管理体系</w:t>
      </w:r>
      <w:r>
        <w:rPr>
          <w:rFonts w:hint="eastAsia"/>
          <w:lang w:eastAsia="zh-CN"/>
        </w:rPr>
        <w:t>‌</w:t>
      </w:r>
    </w:p>
    <w:p w14:paraId="288E42E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从制度规范、组织架构、技术措施到监控审计，构建了全方位的数据安全管理体系，确保数据在各个环节都得到有效的保护。</w:t>
      </w:r>
    </w:p>
    <w:p w14:paraId="30CDB49E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）‌先进的存储技术</w:t>
      </w:r>
      <w:r>
        <w:rPr>
          <w:rFonts w:hint="eastAsia"/>
          <w:lang w:eastAsia="zh-CN"/>
        </w:rPr>
        <w:t>‌</w:t>
      </w:r>
    </w:p>
    <w:p w14:paraId="0C49F57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采用HDFS架构作为存储技术，支持PB级数据的存储和处理，满足大规模数据存储的需求。</w:t>
      </w:r>
    </w:p>
    <w:p w14:paraId="20AC37A3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）‌强化的数据加密技术‌</w:t>
      </w:r>
    </w:p>
    <w:p w14:paraId="4949CFD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使用国密算法（SM2/SM3/SM4）对数据进行加密存储和传输，确保数据在传输和存储过程中的安全性。</w:t>
      </w:r>
    </w:p>
    <w:p w14:paraId="1A94515D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）‌精细化的访问控制</w:t>
      </w:r>
      <w:r>
        <w:rPr>
          <w:rFonts w:hint="eastAsia"/>
          <w:lang w:eastAsia="zh-CN"/>
        </w:rPr>
        <w:t>‌</w:t>
      </w:r>
    </w:p>
    <w:p w14:paraId="5D7DD03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实施基于角色的访问控制和多因素认证，根据用户角色和职责分配访问权限，防止数据泄露和滥用。</w:t>
      </w:r>
    </w:p>
    <w:p w14:paraId="67F82BB7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）‌实时的数据安全监控</w:t>
      </w:r>
      <w:r>
        <w:rPr>
          <w:rFonts w:hint="eastAsia"/>
          <w:lang w:eastAsia="zh-CN"/>
        </w:rPr>
        <w:t>‌</w:t>
      </w:r>
    </w:p>
    <w:p w14:paraId="78303A9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部署多种监控工具，实时监控用户对敏感数据的访问行为，及时发现和处理安全事件。</w:t>
      </w:r>
    </w:p>
    <w:p w14:paraId="71CD90A7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  <w:lang w:eastAsia="zh-CN"/>
        </w:rPr>
        <w:t>）‌智能的网络安全监测和防护</w:t>
      </w:r>
      <w:r>
        <w:rPr>
          <w:rFonts w:hint="eastAsia"/>
          <w:lang w:eastAsia="zh-CN"/>
        </w:rPr>
        <w:t>‌</w:t>
      </w:r>
    </w:p>
    <w:p w14:paraId="0225A5D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构建智能动态防御体系，融合流量行为分析与攻击链预测技术，实现网络威胁分钟级自动溯源与阻断。</w:t>
      </w:r>
    </w:p>
    <w:p w14:paraId="1435654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部署威胁感知系统，实时监测并拦截网络攻击，如DDoS、SQL注入等。</w:t>
      </w:r>
    </w:p>
    <w:p w14:paraId="1D7093C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建立零信任访问控制模型，动态验证用户身份与设备安全状态，阻断非法入侵。</w:t>
      </w:r>
    </w:p>
    <w:p w14:paraId="7DE3D237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  <w:lang w:eastAsia="zh-CN"/>
        </w:rPr>
        <w:t>）‌高度灵活的动态密钥管理</w:t>
      </w:r>
      <w:r>
        <w:rPr>
          <w:rFonts w:hint="eastAsia"/>
          <w:lang w:eastAsia="zh-CN"/>
        </w:rPr>
        <w:t>‌</w:t>
      </w:r>
    </w:p>
    <w:p w14:paraId="6EC5D7B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采用动态密钥管理系统，确保密钥的安全性和灵活性，支持密钥的快速生成、分发和更新。</w:t>
      </w:r>
    </w:p>
    <w:p w14:paraId="6036541C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  <w:lang w:eastAsia="zh-CN"/>
        </w:rPr>
        <w:t>）‌高可扩展性和适配性</w:t>
      </w:r>
      <w:r>
        <w:rPr>
          <w:rFonts w:hint="eastAsia"/>
          <w:lang w:eastAsia="zh-CN"/>
        </w:rPr>
        <w:t>‌</w:t>
      </w:r>
    </w:p>
    <w:p w14:paraId="6A72CA7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支持跨部门协同、云端数据交换等复杂场景，灵活适配混合云、多中心网络架构，可扩展至智慧城市、工业互联网等新型数字化场景。</w:t>
      </w:r>
    </w:p>
    <w:p w14:paraId="2988FFEC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  <w:lang w:eastAsia="zh-CN"/>
        </w:rPr>
        <w:t>）‌高度合规性</w:t>
      </w:r>
      <w:r>
        <w:rPr>
          <w:rFonts w:hint="eastAsia"/>
          <w:lang w:eastAsia="zh-CN"/>
        </w:rPr>
        <w:t>‌</w:t>
      </w:r>
    </w:p>
    <w:p w14:paraId="37353BE8">
      <w:pPr>
        <w:bidi w:val="0"/>
        <w:rPr>
          <w:rFonts w:hint="eastAsia"/>
        </w:rPr>
      </w:pPr>
      <w:r>
        <w:rPr>
          <w:rFonts w:hint="eastAsia"/>
          <w:lang w:eastAsia="zh-CN"/>
        </w:rPr>
        <w:t>确保数据处理活动符合《中华人民共和国数据安全法》《中华人民共和国个人信息保护法》等法律法规要求，降低法律风险。</w:t>
      </w:r>
    </w:p>
    <w:p w14:paraId="7331F7F5">
      <w:pPr>
        <w:widowControl/>
        <w:ind w:firstLine="640"/>
        <w:jc w:val="left"/>
        <w:outlineLvl w:val="1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  <w:sz w:val="32"/>
          <w:szCs w:val="32"/>
        </w:rPr>
        <w:t>）推广应用（不超过1500字）</w:t>
      </w:r>
    </w:p>
    <w:p w14:paraId="49EDE5B2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‌应用成效‌</w:t>
      </w:r>
    </w:p>
    <w:p w14:paraId="2FD08ACA">
      <w:pPr>
        <w:bidi w:val="0"/>
        <w:outlineLvl w:val="2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安全能力显著提升</w:t>
      </w:r>
    </w:p>
    <w:p w14:paraId="393D2B76">
      <w:pPr>
        <w:bidi w:val="0"/>
      </w:pPr>
      <w:r>
        <w:rPr>
          <w:rFonts w:hint="default"/>
        </w:rPr>
        <w:t>‌安全事件降幅‌：通过全生命周期安全防护和实时监控，山东省创发院及合作企业数据泄露事件</w:t>
      </w:r>
      <w:r>
        <w:rPr>
          <w:rFonts w:hint="eastAsia"/>
          <w:lang w:val="en-US" w:eastAsia="zh-CN"/>
        </w:rPr>
        <w:t>未发生</w:t>
      </w:r>
      <w:r>
        <w:rPr>
          <w:rFonts w:hint="default"/>
        </w:rPr>
        <w:t>‌，敏感数据违规访问</w:t>
      </w:r>
      <w:r>
        <w:rPr>
          <w:rFonts w:hint="eastAsia"/>
          <w:lang w:val="en-US" w:eastAsia="zh-CN"/>
        </w:rPr>
        <w:t>未发生</w:t>
      </w:r>
      <w:r>
        <w:rPr>
          <w:rFonts w:hint="default"/>
        </w:rPr>
        <w:t>‌。</w:t>
      </w:r>
    </w:p>
    <w:p w14:paraId="0C8A1821">
      <w:pPr>
        <w:bidi w:val="0"/>
        <w:outlineLvl w:val="2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‌合规达标率</w:t>
      </w:r>
    </w:p>
    <w:p w14:paraId="778BBE4B">
      <w:pPr>
        <w:numPr>
          <w:ilvl w:val="0"/>
          <w:numId w:val="0"/>
        </w:numPr>
        <w:bidi w:val="0"/>
        <w:ind w:firstLine="640" w:firstLineChars="200"/>
        <w:rPr>
          <w:rFonts w:hint="default"/>
        </w:rPr>
      </w:pPr>
      <w:r>
        <w:rPr>
          <w:rFonts w:hint="default"/>
        </w:rPr>
        <w:t>政府单位数据分类分级管理覆盖率、加密存储率均达‌100%‌，完全满足《数据安全法》《个人信息保护法》等法规要求。</w:t>
      </w:r>
    </w:p>
    <w:p w14:paraId="0D2DC061">
      <w:pPr>
        <w:bidi w:val="0"/>
        <w:outlineLvl w:val="2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业务效率优化</w:t>
      </w:r>
    </w:p>
    <w:p w14:paraId="27C904E3">
      <w:pPr>
        <w:numPr>
          <w:ilvl w:val="0"/>
          <w:numId w:val="0"/>
        </w:numPr>
        <w:bidi w:val="0"/>
        <w:ind w:firstLine="640" w:firstLineChars="200"/>
      </w:pPr>
      <w:r>
        <w:rPr>
          <w:rFonts w:hint="default"/>
        </w:rPr>
        <w:t>‌非结构化数据处理能力‌：HDFS架构支持PB级数据存储，企业实现行业研究报告分析效率提升‌‌，数据调用响应时间短至‌秒级‌。</w:t>
      </w:r>
    </w:p>
    <w:p w14:paraId="27ABCC7C">
      <w:pPr>
        <w:numPr>
          <w:ilvl w:val="0"/>
          <w:numId w:val="0"/>
        </w:numPr>
        <w:bidi w:val="0"/>
        <w:ind w:firstLine="640" w:firstLineChars="200"/>
      </w:pPr>
      <w:r>
        <w:rPr>
          <w:rFonts w:hint="default"/>
        </w:rPr>
        <w:t>‌权限管理精细化‌：基于RBAC模型，</w:t>
      </w:r>
      <w:r>
        <w:rPr>
          <w:rFonts w:hint="eastAsia"/>
          <w:lang w:val="en-US" w:eastAsia="zh-CN"/>
        </w:rPr>
        <w:t>权限管理灵活精细。</w:t>
      </w:r>
    </w:p>
    <w:p w14:paraId="22F46EF2">
      <w:pPr>
        <w:bidi w:val="0"/>
        <w:outlineLvl w:val="2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经济效益与社会效益</w:t>
      </w:r>
    </w:p>
    <w:p w14:paraId="31B3AECF">
      <w:pPr>
        <w:numPr>
          <w:ilvl w:val="0"/>
          <w:numId w:val="0"/>
        </w:numPr>
        <w:bidi w:val="0"/>
        <w:ind w:firstLine="640" w:firstLineChars="200"/>
      </w:pPr>
      <w:r>
        <w:rPr>
          <w:rFonts w:hint="default"/>
        </w:rPr>
        <w:t>‌成本节约‌：通过自动化安全审计和统一加密策略，年均数据安全运维成本降低‌‌。</w:t>
      </w:r>
    </w:p>
    <w:p w14:paraId="0CAE1356">
      <w:pPr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default"/>
        </w:rPr>
        <w:t>‌行业赋能‌：在盐碱地综合利用领域，数据共享平台推动跨区域科研协作，缩短技术研发周期‌。</w:t>
      </w:r>
    </w:p>
    <w:p w14:paraId="3E6F9828">
      <w:pPr>
        <w:numPr>
          <w:ilvl w:val="0"/>
          <w:numId w:val="0"/>
        </w:numPr>
        <w:bidi w:val="0"/>
        <w:ind w:firstLine="640" w:firstLineChars="200"/>
        <w:rPr>
          <w:rFonts w:hint="default"/>
        </w:rPr>
      </w:pPr>
      <w:r>
        <w:rPr>
          <w:rFonts w:hint="eastAsia"/>
          <w:highlight w:val="red"/>
          <w:lang w:val="en-US" w:eastAsia="zh-CN"/>
        </w:rPr>
        <w:t>2.</w:t>
      </w:r>
      <w:r>
        <w:rPr>
          <w:rFonts w:hint="default"/>
          <w:highlight w:val="red"/>
        </w:rPr>
        <w:t>‌推广价值</w:t>
      </w:r>
      <w:r>
        <w:rPr>
          <w:rFonts w:hint="default"/>
        </w:rPr>
        <w:t>‌</w:t>
      </w:r>
    </w:p>
    <w:p w14:paraId="5E0A3547">
      <w:pPr>
        <w:numPr>
          <w:ilvl w:val="0"/>
          <w:numId w:val="0"/>
        </w:numPr>
        <w:bidi w:val="0"/>
        <w:ind w:firstLine="643" w:firstLineChars="20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）行业适用性广</w:t>
      </w:r>
    </w:p>
    <w:p w14:paraId="56F4974B">
      <w:pPr>
        <w:numPr>
          <w:ilvl w:val="0"/>
          <w:numId w:val="0"/>
        </w:numPr>
        <w:bidi w:val="0"/>
        <w:ind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案例适配政务、金融、医疗等高安全需求行业，其国密算法、零信任架构及动态密钥管理等核心模块可快速移植至其他领域。例如，金融行业可通过零信任架构强化交易系统访问控制，医疗领域可依托国密算法加密患者隐私数据，工业互联网场景则能复用威胁感知技术防范APT攻击，为跨行业网络安全防护提供标准化解决方案。</w:t>
      </w:r>
    </w:p>
    <w:p w14:paraId="30AD9814">
      <w:pPr>
        <w:numPr>
          <w:ilvl w:val="0"/>
          <w:numId w:val="0"/>
        </w:numPr>
        <w:bidi w:val="0"/>
        <w:ind w:firstLine="643" w:firstLineChars="20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）场景拓展性强</w:t>
      </w:r>
    </w:p>
    <w:p w14:paraId="45C6CC7E">
      <w:pPr>
        <w:numPr>
          <w:ilvl w:val="0"/>
          <w:numId w:val="0"/>
        </w:numPr>
        <w:bidi w:val="0"/>
        <w:ind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支持跨部门协同、混合云数据交换等复杂场景，灵活适配多中心网络架构。例如，政务云与公有云间的安全数据同步、工业互联网平台设备间加密通信、智慧城市中大规模物联网终端的安全接入，均能通过动态防御体系与智能加密隧道技术实现端到端安全，满足新型数字化场景的弹性防护需求。</w:t>
      </w:r>
    </w:p>
    <w:p w14:paraId="653CEB7A">
      <w:pPr>
        <w:numPr>
          <w:ilvl w:val="0"/>
          <w:numId w:val="0"/>
        </w:numPr>
        <w:bidi w:val="0"/>
        <w:ind w:firstLine="643" w:firstLineChars="20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）技术可复制性强</w:t>
      </w:r>
    </w:p>
    <w:p w14:paraId="75D18309">
      <w:pPr>
        <w:numPr>
          <w:ilvl w:val="0"/>
          <w:numId w:val="0"/>
        </w:numPr>
        <w:bidi w:val="0"/>
        <w:ind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采用模块化设计的网络安全组件（如智能威胁感知系统、零信任控制网关），兼容国产化软硬件生态，支持低代码快速部署。中小型企业可独立应用国密加密模块，大型机构则可整合动态密钥管理系统与现有安全中台，显著降低技术复用成本与部署周期。</w:t>
      </w:r>
    </w:p>
    <w:p w14:paraId="7DDB9241">
      <w:pPr>
        <w:numPr>
          <w:ilvl w:val="0"/>
          <w:numId w:val="0"/>
        </w:numPr>
        <w:bidi w:val="0"/>
        <w:ind w:firstLine="643" w:firstLineChars="20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）标准化流程降低推广门槛</w:t>
      </w:r>
    </w:p>
    <w:p w14:paraId="38237FA4">
      <w:pPr>
        <w:numPr>
          <w:ilvl w:val="0"/>
          <w:numId w:val="0"/>
        </w:numPr>
        <w:bidi w:val="0"/>
        <w:ind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形成数据分类分级模板、RBAC权限模型及网络安全审计标准化手册，结合攻击链预测规则库、加密策略配置工具，为不同行业提供“开箱即用”的安全基线，减少定制化开发成本。例如，政务部门可直接复用数据血缘追踪流程，企业可快速套用网络威胁响应预案。</w:t>
      </w:r>
    </w:p>
    <w:p w14:paraId="3DF5712F">
      <w:pPr>
        <w:numPr>
          <w:ilvl w:val="0"/>
          <w:numId w:val="0"/>
        </w:numPr>
        <w:bidi w:val="0"/>
        <w:ind w:firstLine="643" w:firstLineChars="20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）政策与战略契合度高</w:t>
      </w:r>
    </w:p>
    <w:p w14:paraId="60F83037">
      <w:pPr>
        <w:numPr>
          <w:ilvl w:val="0"/>
          <w:numId w:val="0"/>
        </w:numPr>
        <w:bidi w:val="0"/>
        <w:ind w:firstLine="6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深度契合《网络安全法》《数据安全法》及“十四五”数字中国规划要求，其国产密码应用、信创适配能力符合国家关键信息基础设施安全导向。同时，零信任架构与主动防御模式为《数字政府建设整体布局规划》中“筑牢可信可控网络安全屏障”提供实践范例，助力“数据要素×”行动安全落地。</w:t>
      </w:r>
    </w:p>
    <w:p w14:paraId="4D5CB0A9">
      <w:pPr>
        <w:numPr>
          <w:ilvl w:val="0"/>
          <w:numId w:val="0"/>
        </w:numPr>
        <w:bidi w:val="0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三、相关附件</w:t>
      </w:r>
    </w:p>
    <w:p w14:paraId="4E436ECF">
      <w:pPr>
        <w:widowControl/>
        <w:ind w:firstLine="640"/>
        <w:jc w:val="left"/>
        <w:rPr>
          <w:rFonts w:hint="eastAsia" w:ascii="仿宋_GB2312" w:hAnsi="仿宋_GB2312" w:eastAsia="仿宋_GB2312" w:cs="仿宋_GB2312"/>
          <w:sz w:val="32"/>
          <w:szCs w:val="32"/>
          <w:highlight w:val="yellow"/>
        </w:rPr>
      </w:pPr>
      <w:bookmarkStart w:id="0" w:name="_GoBack"/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案例获得的奖励证明及其它证明材料，或者补充介绍材料。</w:t>
      </w:r>
    </w:p>
    <w:bookmarkEnd w:id="0"/>
    <w:sectPr>
      <w:footerReference r:id="rId5" w:type="default"/>
      <w:pgSz w:w="11906" w:h="16838" w:orient="landscape"/>
      <w:pgMar w:top="1440" w:right="1800" w:bottom="1440" w:left="1800" w:header="851" w:footer="992" w:gutter="0"/>
      <w:cols w:space="1701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3000509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3FD8A">
    <w:pPr>
      <w:pStyle w:val="186"/>
      <w:rPr>
        <w:sz w:val="32"/>
        <w:szCs w:val="32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_x0000_s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A26F4">
                          <w:pPr>
                            <w:pStyle w:val="18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7494F052"/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49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6pebnPAAAABQEAAA8AAAAAAAAAAQAgAAAAIgAAAGRycy9kb3ducmV2LnhtbFBL&#10;AQIUABQAAAAIAIdO4kAT3AqMxgEAAKgDAAAOAAAAAAAAAAEAIAAAAB4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8A26F4">
                    <w:pPr>
                      <w:pStyle w:val="18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7494F052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640"/>
      </w:pPr>
      <w:r>
        <w:separator/>
      </w:r>
    </w:p>
  </w:footnote>
  <w:footnote w:type="continuationSeparator" w:id="1">
    <w:p>
      <w:pPr>
        <w:spacing w:line="288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FDCAE"/>
    <w:multiLevelType w:val="singleLevel"/>
    <w:tmpl w:val="EF7FDCA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49FFC0C"/>
    <w:multiLevelType w:val="multilevel"/>
    <w:tmpl w:val="F49FFC0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ED66D23"/>
    <w:multiLevelType w:val="singleLevel"/>
    <w:tmpl w:val="FED66D23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FF5E82A4"/>
    <w:multiLevelType w:val="singleLevel"/>
    <w:tmpl w:val="FF5E82A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CFE1358"/>
    <w:multiLevelType w:val="singleLevel"/>
    <w:tmpl w:val="3CFE135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D37D3"/>
    <w:rsid w:val="09F204B1"/>
    <w:rsid w:val="0F739E23"/>
    <w:rsid w:val="1FDEDEE7"/>
    <w:rsid w:val="26BFC405"/>
    <w:rsid w:val="2BA22BAF"/>
    <w:rsid w:val="2CFE0ECE"/>
    <w:rsid w:val="2FF796A5"/>
    <w:rsid w:val="33E8114E"/>
    <w:rsid w:val="35EC74A5"/>
    <w:rsid w:val="378D993F"/>
    <w:rsid w:val="37DBE6CB"/>
    <w:rsid w:val="37F0357B"/>
    <w:rsid w:val="37F79278"/>
    <w:rsid w:val="3ACE826A"/>
    <w:rsid w:val="3B661769"/>
    <w:rsid w:val="3B7931CB"/>
    <w:rsid w:val="3B8C12D8"/>
    <w:rsid w:val="3BB7D45C"/>
    <w:rsid w:val="3CFB2E95"/>
    <w:rsid w:val="3DFAC8B2"/>
    <w:rsid w:val="3FC33DC9"/>
    <w:rsid w:val="3FDE9A02"/>
    <w:rsid w:val="3FEA611F"/>
    <w:rsid w:val="3FED6AEE"/>
    <w:rsid w:val="406867FC"/>
    <w:rsid w:val="4AFC3ECE"/>
    <w:rsid w:val="4B1600A1"/>
    <w:rsid w:val="4BFF071E"/>
    <w:rsid w:val="4F6BFD33"/>
    <w:rsid w:val="4FBEA59D"/>
    <w:rsid w:val="511DBBB4"/>
    <w:rsid w:val="57AE1AE6"/>
    <w:rsid w:val="59AA5338"/>
    <w:rsid w:val="5A5EF4DB"/>
    <w:rsid w:val="5AE87463"/>
    <w:rsid w:val="5BF70F8E"/>
    <w:rsid w:val="5BF9C878"/>
    <w:rsid w:val="5C6B61A6"/>
    <w:rsid w:val="5CEFF286"/>
    <w:rsid w:val="5EC505A8"/>
    <w:rsid w:val="5EFDA0E6"/>
    <w:rsid w:val="5FBB4C03"/>
    <w:rsid w:val="5FEF8DA9"/>
    <w:rsid w:val="5FF3A6B7"/>
    <w:rsid w:val="5FF75D6E"/>
    <w:rsid w:val="64FDA700"/>
    <w:rsid w:val="67C70063"/>
    <w:rsid w:val="6A596EA5"/>
    <w:rsid w:val="6CEB074B"/>
    <w:rsid w:val="6EF5B6BD"/>
    <w:rsid w:val="6F07862E"/>
    <w:rsid w:val="71B70231"/>
    <w:rsid w:val="72694368"/>
    <w:rsid w:val="7297A342"/>
    <w:rsid w:val="72EEA781"/>
    <w:rsid w:val="736E6B40"/>
    <w:rsid w:val="75FF1313"/>
    <w:rsid w:val="763BB159"/>
    <w:rsid w:val="77F7F80A"/>
    <w:rsid w:val="77FC7B79"/>
    <w:rsid w:val="77FF2D75"/>
    <w:rsid w:val="78BD4830"/>
    <w:rsid w:val="793E5A4C"/>
    <w:rsid w:val="7A9F2726"/>
    <w:rsid w:val="7C2E4357"/>
    <w:rsid w:val="7CE52432"/>
    <w:rsid w:val="7D3FDF8F"/>
    <w:rsid w:val="7DD4D622"/>
    <w:rsid w:val="7DE6A46B"/>
    <w:rsid w:val="7E7B4AF8"/>
    <w:rsid w:val="7EBE47E5"/>
    <w:rsid w:val="7EBF4F09"/>
    <w:rsid w:val="7EEB4334"/>
    <w:rsid w:val="7EFF48A0"/>
    <w:rsid w:val="7FAE005B"/>
    <w:rsid w:val="7FB66FFC"/>
    <w:rsid w:val="7FBECFC3"/>
    <w:rsid w:val="7FCE0290"/>
    <w:rsid w:val="7FDF6A90"/>
    <w:rsid w:val="7FEB1AA0"/>
    <w:rsid w:val="7FF9AE4D"/>
    <w:rsid w:val="7FFB4888"/>
    <w:rsid w:val="7FFBE16E"/>
    <w:rsid w:val="7FFD6F88"/>
    <w:rsid w:val="9FFFED1B"/>
    <w:rsid w:val="A5E7C556"/>
    <w:rsid w:val="ABFF559C"/>
    <w:rsid w:val="B7F9AF0D"/>
    <w:rsid w:val="BAFF9939"/>
    <w:rsid w:val="BBE46578"/>
    <w:rsid w:val="BEAF2060"/>
    <w:rsid w:val="BF73B9E9"/>
    <w:rsid w:val="BF9F80EE"/>
    <w:rsid w:val="BFFD1934"/>
    <w:rsid w:val="CABB4816"/>
    <w:rsid w:val="D57B6FFF"/>
    <w:rsid w:val="D6FDEA2F"/>
    <w:rsid w:val="DB6F44E3"/>
    <w:rsid w:val="DCE74F07"/>
    <w:rsid w:val="DDE5541B"/>
    <w:rsid w:val="DDED2423"/>
    <w:rsid w:val="DE5F8AB2"/>
    <w:rsid w:val="DE9FDC61"/>
    <w:rsid w:val="DFDF57C7"/>
    <w:rsid w:val="DFE36729"/>
    <w:rsid w:val="DFF3BC5A"/>
    <w:rsid w:val="DFFFDCB8"/>
    <w:rsid w:val="E0F790FB"/>
    <w:rsid w:val="E3DFD590"/>
    <w:rsid w:val="E58DDF11"/>
    <w:rsid w:val="E59F26BE"/>
    <w:rsid w:val="E7E36264"/>
    <w:rsid w:val="EB71EB31"/>
    <w:rsid w:val="EC7FFFF4"/>
    <w:rsid w:val="ECDF0B11"/>
    <w:rsid w:val="EDC6AC3B"/>
    <w:rsid w:val="EF77D32C"/>
    <w:rsid w:val="EF9FC2FB"/>
    <w:rsid w:val="EFE32A8C"/>
    <w:rsid w:val="F3DF94BE"/>
    <w:rsid w:val="F3EF5FED"/>
    <w:rsid w:val="F5FF1A1F"/>
    <w:rsid w:val="F7CD65C3"/>
    <w:rsid w:val="F7D9515A"/>
    <w:rsid w:val="F7FF043F"/>
    <w:rsid w:val="F9BE7181"/>
    <w:rsid w:val="FAFD9A4B"/>
    <w:rsid w:val="FBEB5220"/>
    <w:rsid w:val="FBEFC794"/>
    <w:rsid w:val="FD9F001E"/>
    <w:rsid w:val="FDFF56F8"/>
    <w:rsid w:val="FE6D6421"/>
    <w:rsid w:val="FEDB6476"/>
    <w:rsid w:val="FEF3D7EF"/>
    <w:rsid w:val="FF2EB46B"/>
    <w:rsid w:val="FF567407"/>
    <w:rsid w:val="FF7E104E"/>
    <w:rsid w:val="FF7EA98B"/>
    <w:rsid w:val="FFB9F1A6"/>
    <w:rsid w:val="FFE60C7D"/>
    <w:rsid w:val="FFED9277"/>
    <w:rsid w:val="FFFD3A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6"/>
    <w:qFormat/>
    <w:uiPriority w:val="0"/>
    <w:pPr>
      <w:widowControl w:val="0"/>
      <w:spacing w:line="288" w:lineRule="auto"/>
      <w:ind w:firstLine="640" w:firstLineChars="200"/>
      <w:jc w:val="both"/>
    </w:pPr>
    <w:rPr>
      <w:rFonts w:hint="default" w:ascii="Times New Roman" w:hAnsi="Times New Roman" w:eastAsia="仿宋" w:cs="Times New Roman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480" w:after="200"/>
      <w:ind w:left="432" w:hanging="432"/>
      <w:outlineLvl w:val="0"/>
    </w:pPr>
    <w:rPr>
      <w:rFonts w:ascii="等线" w:hAnsi="等线" w:eastAsia="等线" w:cs="等线"/>
      <w:sz w:val="40"/>
      <w:szCs w:val="40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before="360" w:after="200"/>
      <w:ind w:left="575" w:hanging="575"/>
      <w:outlineLvl w:val="1"/>
    </w:pPr>
    <w:rPr>
      <w:rFonts w:ascii="等线" w:hAnsi="等线" w:eastAsia="宋体" w:cs="等线"/>
      <w:b/>
      <w:sz w:val="30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before="320" w:after="200"/>
      <w:ind w:left="720" w:hanging="720"/>
      <w:outlineLvl w:val="2"/>
    </w:pPr>
    <w:rPr>
      <w:rFonts w:ascii="等线" w:hAnsi="等线" w:cs="等线"/>
      <w:b/>
      <w:szCs w:val="30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spacing w:before="320" w:after="200"/>
      <w:ind w:left="0" w:firstLine="0"/>
      <w:outlineLvl w:val="3"/>
    </w:pPr>
    <w:rPr>
      <w:rFonts w:ascii="等线" w:hAnsi="等线" w:eastAsia="仿宋" w:cs="等线"/>
      <w:b/>
      <w:bCs/>
      <w:sz w:val="28"/>
      <w:szCs w:val="26"/>
    </w:rPr>
  </w:style>
  <w:style w:type="paragraph" w:styleId="6">
    <w:name w:val="heading 5"/>
    <w:basedOn w:val="1"/>
    <w:next w:val="1"/>
    <w:link w:val="41"/>
    <w:unhideWhenUsed/>
    <w:qFormat/>
    <w:uiPriority w:val="9"/>
    <w:pPr>
      <w:keepNext/>
      <w:keepLines/>
      <w:numPr>
        <w:ilvl w:val="4"/>
        <w:numId w:val="1"/>
      </w:numPr>
      <w:spacing w:before="320" w:after="200"/>
      <w:ind w:left="1008" w:hanging="1008"/>
      <w:outlineLvl w:val="4"/>
    </w:pPr>
    <w:rPr>
      <w:rFonts w:ascii="等线" w:hAnsi="等线" w:eastAsia="等线" w:cs="等线"/>
      <w:b/>
      <w:bCs/>
      <w:sz w:val="24"/>
      <w:szCs w:val="24"/>
    </w:rPr>
  </w:style>
  <w:style w:type="paragraph" w:styleId="7">
    <w:name w:val="heading 6"/>
    <w:basedOn w:val="1"/>
    <w:next w:val="1"/>
    <w:link w:val="42"/>
    <w:unhideWhenUsed/>
    <w:qFormat/>
    <w:uiPriority w:val="9"/>
    <w:pPr>
      <w:keepNext/>
      <w:keepLines/>
      <w:numPr>
        <w:ilvl w:val="5"/>
        <w:numId w:val="1"/>
      </w:numPr>
      <w:spacing w:before="320" w:after="200"/>
      <w:ind w:left="1151" w:hanging="1151"/>
      <w:outlineLvl w:val="5"/>
    </w:pPr>
    <w:rPr>
      <w:rFonts w:ascii="等线" w:hAnsi="等线" w:eastAsia="等线" w:cs="等线"/>
      <w:b/>
      <w:bCs/>
      <w:sz w:val="22"/>
      <w:szCs w:val="22"/>
    </w:rPr>
  </w:style>
  <w:style w:type="paragraph" w:styleId="8">
    <w:name w:val="heading 7"/>
    <w:basedOn w:val="1"/>
    <w:next w:val="1"/>
    <w:link w:val="43"/>
    <w:unhideWhenUsed/>
    <w:qFormat/>
    <w:uiPriority w:val="9"/>
    <w:pPr>
      <w:keepNext/>
      <w:keepLines/>
      <w:numPr>
        <w:ilvl w:val="6"/>
        <w:numId w:val="1"/>
      </w:numPr>
      <w:spacing w:before="320" w:after="200"/>
      <w:ind w:left="1296" w:hanging="1296"/>
      <w:outlineLvl w:val="6"/>
    </w:pPr>
    <w:rPr>
      <w:rFonts w:ascii="等线" w:hAnsi="等线" w:eastAsia="等线" w:cs="等线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4"/>
    <w:unhideWhenUsed/>
    <w:qFormat/>
    <w:uiPriority w:val="9"/>
    <w:pPr>
      <w:keepNext/>
      <w:keepLines/>
      <w:numPr>
        <w:ilvl w:val="7"/>
        <w:numId w:val="1"/>
      </w:numPr>
      <w:spacing w:before="320" w:after="200"/>
      <w:ind w:left="1440" w:hanging="1440"/>
      <w:outlineLvl w:val="7"/>
    </w:pPr>
    <w:rPr>
      <w:rFonts w:ascii="等线" w:hAnsi="等线" w:eastAsia="等线" w:cs="等线"/>
      <w:i/>
      <w:iCs/>
      <w:sz w:val="22"/>
      <w:szCs w:val="22"/>
    </w:rPr>
  </w:style>
  <w:style w:type="paragraph" w:styleId="10">
    <w:name w:val="heading 9"/>
    <w:basedOn w:val="1"/>
    <w:next w:val="1"/>
    <w:link w:val="45"/>
    <w:unhideWhenUsed/>
    <w:qFormat/>
    <w:uiPriority w:val="9"/>
    <w:pPr>
      <w:keepNext/>
      <w:keepLines/>
      <w:numPr>
        <w:ilvl w:val="8"/>
        <w:numId w:val="1"/>
      </w:numPr>
      <w:spacing w:before="320" w:after="200"/>
      <w:ind w:left="1583" w:hanging="1583"/>
      <w:outlineLvl w:val="8"/>
    </w:pPr>
    <w:rPr>
      <w:rFonts w:ascii="等线" w:hAnsi="等线" w:eastAsia="等线" w:cs="等线"/>
      <w:i/>
      <w:iCs/>
      <w:sz w:val="21"/>
      <w:szCs w:val="21"/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1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3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56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9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82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7">
    <w:name w:val="Normal (Web)"/>
    <w:basedOn w:val="1"/>
    <w:unhideWhenUsed/>
    <w:uiPriority w:val="99"/>
    <w:rPr>
      <w:sz w:val="24"/>
    </w:rPr>
  </w:style>
  <w:style w:type="paragraph" w:styleId="28">
    <w:name w:val="Title"/>
    <w:basedOn w:val="1"/>
    <w:next w:val="1"/>
    <w:link w:val="48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0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styleId="32">
    <w:name w:val="Strong"/>
    <w:basedOn w:val="31"/>
    <w:qFormat/>
    <w:uiPriority w:val="22"/>
    <w:rPr>
      <w:b/>
    </w:rPr>
  </w:style>
  <w:style w:type="character" w:styleId="33">
    <w:name w:val="endnote reference"/>
    <w:semiHidden/>
    <w:unhideWhenUsed/>
    <w:uiPriority w:val="99"/>
    <w:rPr>
      <w:vertAlign w:val="superscript"/>
    </w:rPr>
  </w:style>
  <w:style w:type="character" w:styleId="34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footnote reference"/>
    <w:unhideWhenUsed/>
    <w:uiPriority w:val="99"/>
    <w:rPr>
      <w:vertAlign w:val="superscript"/>
    </w:rPr>
  </w:style>
  <w:style w:type="character" w:customStyle="1" w:styleId="36">
    <w:name w:val="默认段落字体1"/>
    <w:link w:val="1"/>
    <w:unhideWhenUsed/>
    <w:qFormat/>
    <w:uiPriority w:val="1"/>
    <w:rPr>
      <w:rFonts w:eastAsia="仿宋"/>
      <w:sz w:val="32"/>
    </w:rPr>
  </w:style>
  <w:style w:type="character" w:customStyle="1" w:styleId="37">
    <w:name w:val="Heading 1 Char"/>
    <w:link w:val="2"/>
    <w:qFormat/>
    <w:uiPriority w:val="9"/>
    <w:rPr>
      <w:rFonts w:ascii="等线" w:hAnsi="等线" w:eastAsia="等线" w:cs="等线"/>
      <w:sz w:val="40"/>
      <w:szCs w:val="40"/>
    </w:rPr>
  </w:style>
  <w:style w:type="character" w:customStyle="1" w:styleId="38">
    <w:name w:val="Heading 2 Char"/>
    <w:link w:val="3"/>
    <w:qFormat/>
    <w:uiPriority w:val="9"/>
    <w:rPr>
      <w:rFonts w:ascii="等线" w:hAnsi="等线" w:eastAsia="宋体" w:cs="等线"/>
      <w:b/>
      <w:sz w:val="30"/>
    </w:rPr>
  </w:style>
  <w:style w:type="character" w:customStyle="1" w:styleId="39">
    <w:name w:val="Heading 3 Char"/>
    <w:link w:val="4"/>
    <w:qFormat/>
    <w:uiPriority w:val="9"/>
    <w:rPr>
      <w:rFonts w:ascii="等线" w:hAnsi="等线" w:eastAsia="仿宋" w:cs="等线"/>
      <w:b/>
      <w:sz w:val="28"/>
      <w:szCs w:val="30"/>
    </w:rPr>
  </w:style>
  <w:style w:type="character" w:customStyle="1" w:styleId="40">
    <w:name w:val="Heading 4 Char"/>
    <w:link w:val="5"/>
    <w:qFormat/>
    <w:uiPriority w:val="9"/>
    <w:rPr>
      <w:rFonts w:ascii="等线" w:hAnsi="等线" w:eastAsia="仿宋" w:cs="等线"/>
      <w:b/>
      <w:bCs/>
      <w:sz w:val="28"/>
      <w:szCs w:val="26"/>
    </w:rPr>
  </w:style>
  <w:style w:type="character" w:customStyle="1" w:styleId="41">
    <w:name w:val="Heading 5 Char"/>
    <w:link w:val="6"/>
    <w:qFormat/>
    <w:uiPriority w:val="9"/>
    <w:rPr>
      <w:rFonts w:ascii="等线" w:hAnsi="等线" w:eastAsia="等线" w:cs="等线"/>
      <w:b/>
      <w:bCs/>
      <w:sz w:val="24"/>
      <w:szCs w:val="24"/>
    </w:rPr>
  </w:style>
  <w:style w:type="character" w:customStyle="1" w:styleId="42">
    <w:name w:val="Heading 6 Char"/>
    <w:link w:val="7"/>
    <w:qFormat/>
    <w:uiPriority w:val="9"/>
    <w:rPr>
      <w:rFonts w:ascii="等线" w:hAnsi="等线" w:eastAsia="等线" w:cs="等线"/>
      <w:b/>
      <w:bCs/>
      <w:sz w:val="22"/>
      <w:szCs w:val="22"/>
    </w:rPr>
  </w:style>
  <w:style w:type="character" w:customStyle="1" w:styleId="43">
    <w:name w:val="Heading 7 Char"/>
    <w:link w:val="8"/>
    <w:qFormat/>
    <w:uiPriority w:val="9"/>
    <w:rPr>
      <w:rFonts w:ascii="等线" w:hAnsi="等线" w:eastAsia="等线" w:cs="等线"/>
      <w:b/>
      <w:bCs/>
      <w:i/>
      <w:iCs/>
      <w:sz w:val="22"/>
      <w:szCs w:val="22"/>
    </w:rPr>
  </w:style>
  <w:style w:type="character" w:customStyle="1" w:styleId="44">
    <w:name w:val="Heading 8 Char"/>
    <w:link w:val="9"/>
    <w:uiPriority w:val="9"/>
    <w:rPr>
      <w:rFonts w:ascii="等线" w:hAnsi="等线" w:eastAsia="等线" w:cs="等线"/>
      <w:i/>
      <w:iCs/>
      <w:sz w:val="22"/>
      <w:szCs w:val="22"/>
    </w:rPr>
  </w:style>
  <w:style w:type="character" w:customStyle="1" w:styleId="45">
    <w:name w:val="Heading 9 Char"/>
    <w:link w:val="10"/>
    <w:qFormat/>
    <w:uiPriority w:val="9"/>
    <w:rPr>
      <w:rFonts w:ascii="等线" w:hAnsi="等线" w:eastAsia="等线" w:cs="等线"/>
      <w:i/>
      <w:iCs/>
      <w:sz w:val="21"/>
      <w:szCs w:val="21"/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paragraph" w:styleId="47">
    <w:name w:val="No Spacing"/>
    <w:qFormat/>
    <w:uiPriority w:val="1"/>
    <w:pPr>
      <w:spacing w:before="0" w:after="0" w:line="240" w:lineRule="auto"/>
    </w:pPr>
    <w:rPr>
      <w:rFonts w:hint="default" w:ascii="Calibri" w:hAnsi="Calibri" w:eastAsia="宋体" w:cs="Times New Roman"/>
    </w:rPr>
  </w:style>
  <w:style w:type="character" w:customStyle="1" w:styleId="48">
    <w:name w:val="Title Char"/>
    <w:link w:val="28"/>
    <w:uiPriority w:val="10"/>
    <w:rPr>
      <w:sz w:val="48"/>
      <w:szCs w:val="48"/>
    </w:rPr>
  </w:style>
  <w:style w:type="character" w:customStyle="1" w:styleId="49">
    <w:name w:val="Subtitle Char"/>
    <w:link w:val="21"/>
    <w:qFormat/>
    <w:uiPriority w:val="11"/>
    <w:rPr>
      <w:sz w:val="24"/>
      <w:szCs w:val="24"/>
    </w:rPr>
  </w:style>
  <w:style w:type="paragraph" w:styleId="50">
    <w:name w:val="Quote"/>
    <w:basedOn w:val="1"/>
    <w:next w:val="1"/>
    <w:link w:val="51"/>
    <w:qFormat/>
    <w:uiPriority w:val="29"/>
    <w:pPr>
      <w:ind w:left="720" w:right="720"/>
    </w:pPr>
    <w:rPr>
      <w:i/>
    </w:rPr>
  </w:style>
  <w:style w:type="character" w:customStyle="1" w:styleId="51">
    <w:name w:val="Quote Char"/>
    <w:link w:val="50"/>
    <w:qFormat/>
    <w:uiPriority w:val="29"/>
    <w:rPr>
      <w:i/>
    </w:rPr>
  </w:style>
  <w:style w:type="paragraph" w:styleId="52">
    <w:name w:val="Intense Quote"/>
    <w:basedOn w:val="1"/>
    <w:next w:val="1"/>
    <w:link w:val="53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3">
    <w:name w:val="Intense Quote Char"/>
    <w:link w:val="52"/>
    <w:qFormat/>
    <w:uiPriority w:val="30"/>
    <w:rPr>
      <w:i/>
    </w:rPr>
  </w:style>
  <w:style w:type="character" w:customStyle="1" w:styleId="54">
    <w:name w:val="Header Char"/>
    <w:link w:val="18"/>
    <w:qFormat/>
    <w:uiPriority w:val="99"/>
  </w:style>
  <w:style w:type="character" w:customStyle="1" w:styleId="55">
    <w:name w:val="Footer Char"/>
    <w:link w:val="17"/>
    <w:qFormat/>
    <w:uiPriority w:val="99"/>
  </w:style>
  <w:style w:type="character" w:customStyle="1" w:styleId="56">
    <w:name w:val="Caption Char"/>
    <w:link w:val="17"/>
    <w:qFormat/>
    <w:uiPriority w:val="99"/>
  </w:style>
  <w:style w:type="table" w:customStyle="1" w:styleId="57">
    <w:name w:val="Table Grid Light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8">
    <w:name w:val="Plain Table 1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Plain Table 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Plain Table 3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Plain Table 4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Plain Table 5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1 Light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1 Light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1 Light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1 Light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1 Light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1 Light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1 Light - Accent 6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2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2 - Accent 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2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2 - Accent 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2 - Accent 5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2 - Accent 6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3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3 - Accent 1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Grid Table 3 - Accent 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Grid Table 3 - Accent 3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1">
    <w:name w:val="Grid Table 3 - Accent 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2">
    <w:name w:val="Grid Table 3 - Accent 5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3">
    <w:name w:val="Grid Table 3 - Accent 6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4">
    <w:name w:val="Grid Table 4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5">
    <w:name w:val="Grid Table 4 - Accent 1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6">
    <w:name w:val="Grid Table 4 - Accent 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7">
    <w:name w:val="Grid Table 4 - Accent 3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8">
    <w:name w:val="Grid Table 4 - Accent 4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9">
    <w:name w:val="Grid Table 4 - Accent 5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0">
    <w:name w:val="Grid Table 4 - Accent 6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1">
    <w:name w:val="Grid Table 5 Dark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2">
    <w:name w:val="Grid Table 5 Dark- Accent 1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2Vert"/>
    <w:tblStylePr w:type="band1Horz">
      <w:tcPr>
        <w:shd w:val="clear" w:color="AEC5E0" w:themeColor="accent1" w:themeTint="75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Grid Table 5 Dark - Accent 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2Vert"/>
    <w:tblStylePr w:type="band1Horz">
      <w:tcPr>
        <w:shd w:val="clear" w:color="E2AEAD" w:themeColor="accent2" w:themeTint="75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Grid Table 5 Dark - Accent 3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2Vert"/>
    <w:tblStylePr w:type="band1Horz">
      <w:tcPr>
        <w:shd w:val="clear" w:color="D1DFB2" w:themeColor="accent3" w:themeTint="75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Grid Table 5 Dark- Accent 4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2Vert"/>
    <w:tblStylePr w:type="band1Horz">
      <w:tcPr>
        <w:shd w:val="clear" w:color="C4B7D4" w:themeColor="accent4" w:themeTint="75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Grid Table 5 Dark - Accent 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2Vert"/>
    <w:tblStylePr w:type="band1Horz">
      <w:tcPr>
        <w:shd w:val="clear" w:color="ACD8E4" w:themeColor="accent5" w:themeTint="75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Grid Table 5 Dark - Accent 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2Vert"/>
    <w:tblStylePr w:type="band1Horz">
      <w:tcPr>
        <w:shd w:val="clear" w:color="FBCEAA" w:themeColor="accent6" w:themeTint="75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Grid Table 6 Colorful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9">
    <w:name w:val="Grid Table 6 Colorful - Accent 1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0">
    <w:name w:val="Grid Table 6 Colorful - Accent 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1">
    <w:name w:val="Grid Table 6 Colorful - Accent 3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2">
    <w:name w:val="Grid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3">
    <w:name w:val="Grid Table 6 Colorful - Accent 5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4">
    <w:name w:val="Grid Table 6 Colorful - Accent 6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5">
    <w:name w:val="Grid Table 7 Colorful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6">
    <w:name w:val="Grid Table 7 Colorful - Accent 1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7">
    <w:name w:val="Grid Table 7 Colorful - Accent 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8">
    <w:name w:val="Grid Table 7 Colorful - Accent 3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9">
    <w:name w:val="Grid Table 7 Colorful - Accent 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0">
    <w:name w:val="Grid Table 7 Colorful - Accent 5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1">
    <w:name w:val="Grid Table 7 Colorful - Accent 6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2">
    <w:name w:val="List Table 1 Light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1 Light - Accent 1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1 Light - Accent 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1 Light - Accent 3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1 Light - Accent 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1 Light - Accent 5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1 Light - Accent 6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2 - Accent 1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List Table 2 - Accent 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List Table 2 - Accent 3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List Table 2 - Accent 4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4">
    <w:name w:val="List Table 2 - Accent 5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5">
    <w:name w:val="List Table 2 - Accent 6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6">
    <w:name w:val="List Table 3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7">
    <w:name w:val="List Table 3 - Accent 1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8">
    <w:name w:val="List Table 3 - Accent 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9">
    <w:name w:val="List Table 3 - Accent 3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0">
    <w:name w:val="List Table 3 - Accent 4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1">
    <w:name w:val="List Table 3 - Accent 5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2">
    <w:name w:val="List Table 3 - Accent 6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List Table 4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List Table 4 - Accent 1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5">
    <w:name w:val="List Table 4 - Accent 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6">
    <w:name w:val="List Table 4 - Accent 3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7">
    <w:name w:val="List Table 4 - Accent 4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8">
    <w:name w:val="List Table 4 - Accent 5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9">
    <w:name w:val="List Table 4 - Accent 6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0">
    <w:name w:val="List Table 5 Dark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41">
    <w:name w:val="List Table 5 Dark - Accent 1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142">
    <w:name w:val="List Table 5 Dark - Accent 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43">
    <w:name w:val="List Table 5 Dark - Accent 3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44">
    <w:name w:val="List Table 5 Dark - Accent 4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45">
    <w:name w:val="List Table 5 Dark - Accent 5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46">
    <w:name w:val="List Table 5 Dark - Accent 6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47">
    <w:name w:val="List Table 6 Colorful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8">
    <w:name w:val="List Table 6 Colorful - Accent 1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9">
    <w:name w:val="List Table 6 Colorful - Accent 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0">
    <w:name w:val="List Table 6 Colorful - Accent 3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1">
    <w:name w:val="List Table 6 Colorful - Accent 4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2">
    <w:name w:val="List Table 6 Colorful - Accent 5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3">
    <w:name w:val="List Table 6 Colorful - Accent 6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4">
    <w:name w:val="List Table 7 Colorful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5">
    <w:name w:val="List Table 7 Colorful - Accent 1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56">
    <w:name w:val="List Table 7 Colorful - Accent 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7">
    <w:name w:val="List Table 7 Colorful - Accent 3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8">
    <w:name w:val="List Table 7 Colorful - Accent 4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9">
    <w:name w:val="List Table 7 Colorful - Accent 5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60">
    <w:name w:val="List Table 7 Colorful - Accent 6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61">
    <w:name w:val="Lined - Accent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2">
    <w:name w:val="Lined - Accent 1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63">
    <w:name w:val="Lined - Accent 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64">
    <w:name w:val="Lined - Accent 3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65">
    <w:name w:val="Lined - Accent 4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66">
    <w:name w:val="Lined - Accent 5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67">
    <w:name w:val="Lined - Accent 6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68">
    <w:name w:val="Bordered &amp; Lined - Accent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9">
    <w:name w:val="Bordered &amp; Lined - Accent 1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70">
    <w:name w:val="Bordered &amp; Lined - Accent 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71">
    <w:name w:val="Bordered &amp; Lined - Accent 3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72">
    <w:name w:val="Bordered &amp; Lined - Accent 4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73">
    <w:name w:val="Bordered &amp; Lined - Accent 5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74">
    <w:name w:val="Bordered &amp; Lined - Accent 6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75">
    <w:name w:val="Bordered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Bordered - Accent 1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7">
    <w:name w:val="Bordered - Accent 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8">
    <w:name w:val="Bordered - Accent 3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9">
    <w:name w:val="Bordered - Accent 4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0">
    <w:name w:val="Bordered - Accent 5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1">
    <w:name w:val="Bordered - Accent 6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82">
    <w:name w:val="Footnote Text Char"/>
    <w:link w:val="22"/>
    <w:uiPriority w:val="99"/>
    <w:rPr>
      <w:sz w:val="18"/>
    </w:rPr>
  </w:style>
  <w:style w:type="character" w:customStyle="1" w:styleId="183">
    <w:name w:val="Endnote Text Char"/>
    <w:link w:val="16"/>
    <w:uiPriority w:val="99"/>
    <w:rPr>
      <w:sz w:val="20"/>
    </w:rPr>
  </w:style>
  <w:style w:type="paragraph" w:customStyle="1" w:styleId="184">
    <w:name w:val="TOC Heading"/>
    <w:unhideWhenUsed/>
    <w:uiPriority w:val="39"/>
    <w:rPr>
      <w:rFonts w:hint="default" w:ascii="Calibri" w:hAnsi="Calibri" w:eastAsia="宋体" w:cs="Times New Roman"/>
    </w:rPr>
  </w:style>
  <w:style w:type="table" w:customStyle="1" w:styleId="185">
    <w:name w:val="普通表格1"/>
    <w:unhideWhenUsed/>
    <w:qFormat/>
    <w:uiPriority w:val="99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186">
    <w:name w:val="页脚1"/>
    <w:qFormat/>
    <w:uiPriority w:val="99"/>
    <w:pPr>
      <w:widowControl w:val="0"/>
      <w:tabs>
        <w:tab w:val="center" w:pos="4153"/>
        <w:tab w:val="right" w:pos="8306"/>
      </w:tabs>
    </w:pPr>
    <w:rPr>
      <w:rFonts w:hint="default" w:ascii="Times New Roman" w:hAnsi="Times New Roman" w:eastAsia="宋体" w:cs="Times New Roman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436</Words>
  <Characters>455</Characters>
  <TotalTime>78</TotalTime>
  <ScaleCrop>false</ScaleCrop>
  <LinksUpToDate>false</LinksUpToDate>
  <CharactersWithSpaces>483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2023-06-14T03:28:00Z</dcterms:created>
  <dc:creator>de</dc:creator>
  <cp:lastModifiedBy>彬</cp:lastModifiedBy>
  <dcterms:modified xsi:type="dcterms:W3CDTF">2025-02-27T17:53:09Z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78DF3CFD3F845DE33DD1BF6720290688_43</vt:lpwstr>
  </property>
  <property fmtid="{D5CDD505-2E9C-101B-9397-08002B2CF9AE}" pid="4" name="KSOTemplateDocerSaveRecord">
    <vt:lpwstr>eyJoZGlkIjoiYTMyZjgxYTk3NWRiZTM5ZmNjMmU3OTcxOTI5MzFjZTIiLCJ1c2VySWQiOiIzMjk0MDE1MjMifQ==</vt:lpwstr>
  </property>
</Properties>
</file>