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9EEFC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科技成果转化智能应用系统项目</w:t>
      </w:r>
    </w:p>
    <w:p w14:paraId="2086CE58">
      <w:pPr>
        <w:spacing w:before="480" w:after="480" w:line="288" w:lineRule="auto"/>
        <w:ind w:left="0"/>
        <w:jc w:val="center"/>
      </w:pPr>
      <w:bookmarkStart w:id="5" w:name="_GoBack"/>
      <w:bookmarkEnd w:id="5"/>
      <w:r>
        <w:rPr>
          <w:rFonts w:ascii="Arial" w:hAnsi="Arial" w:eastAsia="等线" w:cs="Arial"/>
          <w:b/>
          <w:sz w:val="52"/>
        </w:rPr>
        <w:t>预期成效</w:t>
      </w:r>
    </w:p>
    <w:p w14:paraId="611CDF28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项目通过建设科技成果转化创新生态服务系统、科技成果转化评价系统两大核心应用，紧扣国家及山东省科技创新相关政策要求，聚焦科技成果转化堵点、评价体系短板，全面提升科技创新服务能力和数字化水平，推动科技创新与经济社会发展深度融合，预期可实现以下成效：</w:t>
      </w:r>
    </w:p>
    <w:p w14:paraId="5F4C183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一、科技创新生态服务效能显著提升</w:t>
      </w:r>
      <w:bookmarkEnd w:id="0"/>
    </w:p>
    <w:p w14:paraId="7AD7FD72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一）科技成果转化体系更加完善。通过科技成果转化技术标准公共服务系统，整合科技成果库、标准数据库、知识产权服务机构等各类资源，打通科技成果与技术标准转化全流程，解决转化过程中信息不对称、成本高、效率低等问题，推动科技成果向标准转化、向产业落地，提升“山东标准”体系竞争力，助力区域性高标准技术市场标准化运转，树立市场标杆。</w:t>
      </w:r>
    </w:p>
    <w:p w14:paraId="2999C84B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二）创新主体活力充分激发。依托创新积分管理系统，建立科学有效的激励机制，引导科技型企业、高校、科研院所及科技服务机构积极参与成果转化，通过积分申领、使用、兑换等功能，强化产学研协同联动，提升企业创新积极性和成果转化主动性。创新活动管理系统实现“揭榜挂帅”、活动预约等功能，搭建多元化创新交流平台，促进技术成果推广和创新经验共享。</w:t>
      </w:r>
    </w:p>
    <w:p w14:paraId="4029BB1D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三）孵化服务能力全面增强。科技孵化基地创新服务系统构建完善的孵化服务体系，涵盖孵化加速、技术研发、知识产权管理、融资对接等全流程服务，为科技型初创企业、创业团队提供全方位支撑，补齐创新生态链短板，提高创业成功率，推动形成“培育-孵化-转化”的良性循环，助力新质生产力培育。</w:t>
      </w:r>
    </w:p>
    <w:p w14:paraId="40909B4E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四）智能化服务水平大幅提升。通过科技智能服务工具系统，整合企业分析、专利查重、成果成熟度分析等智能化工具，为用户提供一站式、精准化服务，降低创新成本、提升决策效率。AI数字人智能问答、智能交互等功能，优化用户体验，实现科技服务“便捷化、智能化、个性化”，解决企业“不会转、无钱转”等突出问题。</w:t>
      </w:r>
    </w:p>
    <w:p w14:paraId="422E47BA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五）自主可控能力持续强化。完成科技成果转化服务平台国产化适配，降低对外部技术的依赖，强化数据安全与信息安全保障，推动科技服务平台自主可控、安全高效运行，为全省科技成果转化提供安全稳定的信息化支撑。</w:t>
      </w:r>
    </w:p>
    <w:p w14:paraId="427CA4A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二、科技评价体系更加科学规范</w:t>
      </w:r>
      <w:bookmarkEnd w:id="1"/>
    </w:p>
    <w:p w14:paraId="576FF928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一）评价指标体系进一步健全。构建覆盖地市创新能力、省级农业高新区绩效、新型研发机构、科研机构、孵化器等六大类的分类评价体系，突破传统人工统计的局限，完善评价指标设置，兼顾量化指标与多元化评价维度，涵盖创新投入、产出、生态、效益等多个方面，提升评价的全面性、科学性和公信力。</w:t>
      </w:r>
    </w:p>
    <w:p w14:paraId="077F2912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二）评价效率与准确性显著提高。依托科技成果转化评价系统，实现评价数据的自动汇聚、智能治理和精准分析，杜绝人为控制、计算错误、指标遗漏等问题，大幅提升评价工作效率，确保评价结果真实、客观、准确，为科技创新决策提供可靠数据支撑。</w:t>
      </w:r>
    </w:p>
    <w:p w14:paraId="2178AA9D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三）评价主体多元协同格局形成。推动政府、企业、高校、科研机构及第三方评价机构协同参与科技评价，打破单一评价主体的局限，提升评价结果的客观性和全面性，引导各类创新主体聚焦质量、绩效、贡献，潜心研究、尽职履责。</w:t>
      </w:r>
    </w:p>
    <w:p w14:paraId="1F7C162B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四）评价结果应用深度拓展。形成多维度评价报告，为省委、省政府及省科技厅提供决策咨询，为地方党委政府及评价对象提供改进建议，引导创新资源向潜力领域、优质项目倾斜，优化科技资源配置，推动科技创新高质量发展，打造创发院科技创新评价品牌。</w:t>
      </w:r>
    </w:p>
    <w:p w14:paraId="6A0CE4C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三、科技资源配置效率持续优化</w:t>
      </w:r>
      <w:bookmarkEnd w:id="2"/>
    </w:p>
    <w:p w14:paraId="6DCF2117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一）数据共享水平显著提升。整合全省科技项目、人才、机构、成果等各类结构化、非结构化数据，实现科技要素数据应汇尽汇，打破数据壁垒，推动跨行业、跨部门、跨地区数据互联互通，为科技资源优化配置提供数据支撑。</w:t>
      </w:r>
    </w:p>
    <w:p w14:paraId="6A315E6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二）资源匹配精准度不断提高。通过智能匹配、数据可视化等功能，实现科技成果、市场需求、人才资源、金融资本的精准对接，提高科技资源利用效率，推动创新资源向重点领域、优势产业集聚，助力标志性产业链高质量发展。</w:t>
      </w:r>
    </w:p>
    <w:p w14:paraId="7C9C7C62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三）科技金融融合更加紧密。依托创新积分制、融资对接等功能，推动科技要素与资本要素深度融合，为科技型企业提供多元化融资服务，解决成果转化“无钱转”的痛点，激发市场创新活力，推动科技成果快速转化为现实生产力。</w:t>
      </w:r>
    </w:p>
    <w:p w14:paraId="42C7BD7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四、数字化转型步伐持续加快</w:t>
      </w:r>
      <w:bookmarkEnd w:id="3"/>
    </w:p>
    <w:p w14:paraId="16EACA13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一）科技服务数字化水平全面提升。构建统一的信息化支撑体系，实现科技成果转化、创新评价等业务的全流程线上办理，推动科技服务从“线下”向“线上+线下”融合转变，提升服务便捷度和高效性，促进科技行业数字化转型。</w:t>
      </w:r>
    </w:p>
    <w:p w14:paraId="051275BF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二）智能化技术应用更加广泛。充分运用人工智能、大数据、区块链等先进技术，开发智能化评价工具、智能交互系统等，推动科技服务模式创新，提升科技服务的智能化、精准化水平，为科技创新提供高效便捷的技术支撑。</w:t>
      </w:r>
    </w:p>
    <w:p w14:paraId="2696B45B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（三）标准规范体系更加完善。完善科技成果转化、创新评价相关标准规范，推动科技服务标准化、规范化发展，形成“创新驱动有标引领、转型升级有标支撑”的工作体系，提升全省科技创新服务整体水平。</w:t>
      </w:r>
    </w:p>
    <w:p w14:paraId="465917A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五、政策落地成效显著，区域创新能力持续增强</w:t>
      </w:r>
      <w:bookmarkEnd w:id="4"/>
    </w:p>
    <w:p w14:paraId="3406F271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全面落实国家及山东省关于科技创新、成果转化、评价改革的各项政策要求，推动“创新积分制”、科技成果评价改革、技术转移体系建设等政策落地见效，破解“唯论文、唯职称、唯学历、唯奖项”等问题，营造良好的科技创新环境。通过项目实施，进一步提升全省区域创新能力、产业创新活力和科技成果转化水平，为创新型省份建设、新时代科技强省建设提供有力支撑，助力山东打造科技创新标准化先行区，推动科技创新与经济社会高质量发展深度融合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2E20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3731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84E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2221</Words>
  <Characters>2226</Characters>
  <TotalTime>1</TotalTime>
  <ScaleCrop>false</ScaleCrop>
  <LinksUpToDate>false</LinksUpToDate>
  <CharactersWithSpaces>2228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2026-03-04T09:31:00Z</dcterms:created>
  <dc:creator>Apache POI</dc:creator>
  <cp:lastModifiedBy>王元</cp:lastModifiedBy>
  <dcterms:modified xsi:type="dcterms:W3CDTF">2026-03-04T09:38:41Z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eyJoZGlkIjoiOGM0YzZmMjQxNmExYjM4ZWZiN2U0OGZmY2QyNzc3Y2MiLCJ1c2VySWQiOiIxNTY4NjY2MTg5In0=</vt:lpwstr>
  </property>
  <property fmtid="{D5CDD505-2E9C-101B-9397-08002B2CF9AE}" pid="3" name="KSOProductBuildVer">
    <vt:lpwstr>2052-12.1.0.25225</vt:lpwstr>
  </property>
  <property fmtid="{D5CDD505-2E9C-101B-9397-08002B2CF9AE}" pid="4" name="ICV">
    <vt:lpwstr>887320A0021E48DBA927E40059870FC3_13</vt:lpwstr>
  </property>
</Properties>
</file>