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DF68B2E">
      <w:pPr>
        <w:jc w:val="center"/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业务中台API应用提升优化方案</w:t>
      </w:r>
    </w:p>
    <w:p w14:paraId="50897BE9">
      <w:pPr>
        <w:outlineLvl w:val="0"/>
        <w:rPr>
          <w:rFonts w:hint="eastAsia"/>
          <w:lang w:val="en-US" w:eastAsia="zh-CN"/>
        </w:rPr>
      </w:pPr>
    </w:p>
    <w:p w14:paraId="78B79BEF">
      <w:pPr>
        <w:numPr>
          <w:ilvl w:val="0"/>
          <w:numId w:val="1"/>
        </w:numPr>
        <w:ind w:left="105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现状</w:t>
      </w:r>
    </w:p>
    <w:p w14:paraId="1BBA07D9">
      <w:pPr>
        <w:numPr>
          <w:numId w:val="0"/>
        </w:numPr>
        <w:ind w:left="105" w:leftChars="0" w:firstLine="419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科技厅创新发展院已构建山东科技大市场平台、支撑创新发展科技服务平台两大现有平台，并规划2026年建设人工智能应用系统，形成“两平台一系统”的科技服务数字化支撑体系。业务中台现有84个API接口，调用次数区间为1000-10000次，平均调用量约5000次/接口，但整体应用效能未达预期。其中，科技服务平台包含产业监测分析、图谱公共服务、研究辅助3个子系统及多项待优化模块；大市场平台以科技成果展示、供需对接、技术交易为核心功能；新建人工智能应用系统聚焦成果转化、智库服务两大垂类模型，三大平台均存在API与业务场景对接不充分、功能发挥不全面的问题。</w:t>
      </w:r>
    </w:p>
    <w:p w14:paraId="447A46EC">
      <w:pPr>
        <w:outlineLvl w:val="0"/>
        <w:rPr>
          <w:rFonts w:hint="eastAsia"/>
          <w:lang w:val="en-US" w:eastAsia="zh-CN"/>
        </w:rPr>
      </w:pPr>
    </w:p>
    <w:p w14:paraId="726273DC">
      <w:pPr>
        <w:numPr>
          <w:ilvl w:val="0"/>
          <w:numId w:val="1"/>
        </w:numPr>
        <w:ind w:left="105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原因分析</w:t>
      </w:r>
    </w:p>
    <w:p w14:paraId="5CDA523B">
      <w:pPr>
        <w:numPr>
          <w:ilvl w:val="0"/>
          <w:numId w:val="2"/>
        </w:numPr>
        <w:ind w:left="105" w:leftChars="0" w:firstLine="419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需适配不足。业务中台具备知识智能、协同决策等多元API能力，但科技服务平台部分子系统仍处于优化磨合阶段，大市场平台以基础功能为主，对高级API能力需求未充分释放；人工智能应用系统规划功能与现有API提前对接不足。</w:t>
      </w:r>
    </w:p>
    <w:p w14:paraId="4ED6B9DA">
      <w:pPr>
        <w:numPr>
          <w:ilvl w:val="0"/>
          <w:numId w:val="2"/>
        </w:numPr>
        <w:ind w:left="105" w:leftChars="0" w:firstLine="419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映射关系模糊。API文档未与三大平台具体业务模块精准关联，缺乏清晰的应用指引，导致前台业务人员难以快速定位适配接口，影响调用效率。</w:t>
      </w:r>
    </w:p>
    <w:p w14:paraId="1A6148D4">
      <w:pPr>
        <w:numPr>
          <w:ilvl w:val="0"/>
          <w:numId w:val="2"/>
        </w:numPr>
        <w:ind w:left="105" w:leftChars="0" w:firstLine="419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流程融合不深。API调用多为独立功能模块，未深度嵌入平台业务全流程，如科技服务平台研究辅助子系统的文字识别、政策分析等功能，未与知识管理类API有效融合，增加用户额外操作成本。</w:t>
      </w:r>
    </w:p>
    <w:p w14:paraId="0543F56C">
      <w:pPr>
        <w:numPr>
          <w:ilvl w:val="0"/>
          <w:numId w:val="2"/>
        </w:numPr>
        <w:ind w:left="105" w:leftChars="0" w:firstLine="419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智能场景滞后。前台业务仍以信息化展示、基础管理为主，数据驱动的智能决策场景尚未全面展开，知识抽取、预见算法等AI类API利用率偏低。</w:t>
      </w:r>
    </w:p>
    <w:p w14:paraId="4B80B0E6">
      <w:pPr>
        <w:outlineLvl w:val="0"/>
        <w:rPr>
          <w:rFonts w:hint="eastAsia"/>
          <w:lang w:val="en-US" w:eastAsia="zh-CN"/>
        </w:rPr>
      </w:pPr>
    </w:p>
    <w:p w14:paraId="2DFCF516">
      <w:pPr>
        <w:numPr>
          <w:ilvl w:val="0"/>
          <w:numId w:val="1"/>
        </w:numPr>
        <w:ind w:left="105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API业务对应关系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4205"/>
        <w:gridCol w:w="2561"/>
      </w:tblGrid>
      <w:tr w14:paraId="5582D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336" w:hRule="atLeast"/>
        </w:trPr>
        <w:tc>
          <w:tcPr>
            <w:tcW w:w="10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2F3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API核心体系</w:t>
            </w:r>
          </w:p>
        </w:tc>
        <w:tc>
          <w:tcPr>
            <w:tcW w:w="2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F36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对应平台及功能模块</w:t>
            </w:r>
          </w:p>
        </w:tc>
        <w:tc>
          <w:tcPr>
            <w:tcW w:w="1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F781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核心支撑API</w:t>
            </w:r>
          </w:p>
        </w:tc>
      </w:tr>
      <w:tr w14:paraId="60D15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336" w:hRule="atLeast"/>
        </w:trPr>
        <w:tc>
          <w:tcPr>
            <w:tcW w:w="10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389A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知识智能体系</w:t>
            </w:r>
          </w:p>
        </w:tc>
        <w:tc>
          <w:tcPr>
            <w:tcW w:w="2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85D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科技服务平台（图谱公共服务子系统）、大市场平台（成果/需求大厅）</w:t>
            </w:r>
          </w:p>
        </w:tc>
        <w:tc>
          <w:tcPr>
            <w:tcW w:w="1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9BD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知识建模、知识计算、多模态图谱管理</w:t>
            </w:r>
          </w:p>
        </w:tc>
      </w:tr>
      <w:tr w14:paraId="209E7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336" w:hRule="atLeast"/>
        </w:trPr>
        <w:tc>
          <w:tcPr>
            <w:tcW w:w="10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A40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协同与决策体系</w:t>
            </w:r>
          </w:p>
        </w:tc>
        <w:tc>
          <w:tcPr>
            <w:tcW w:w="2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0E18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人工智能应用系统（成果转化/智库服务垂类模型）、科技服务平台（产业监测分析子系统）</w:t>
            </w:r>
          </w:p>
        </w:tc>
        <w:tc>
          <w:tcPr>
            <w:tcW w:w="1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39E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专家自动推荐、产业政策绩效评价、预见算法</w:t>
            </w:r>
          </w:p>
        </w:tc>
      </w:tr>
      <w:tr w14:paraId="28EBE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336" w:hRule="atLeast"/>
        </w:trPr>
        <w:tc>
          <w:tcPr>
            <w:tcW w:w="10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D81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空间与感知体系</w:t>
            </w:r>
          </w:p>
        </w:tc>
        <w:tc>
          <w:tcPr>
            <w:tcW w:w="2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E8F9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大市场平台（元宇宙服务大厅）、科技服务平台（研究辅助子系统）</w:t>
            </w:r>
          </w:p>
        </w:tc>
        <w:tc>
          <w:tcPr>
            <w:tcW w:w="1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6730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三维实景地图、语音识别、文字识别</w:t>
            </w:r>
          </w:p>
        </w:tc>
      </w:tr>
      <w:tr w14:paraId="4AF06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336" w:hRule="atLeast"/>
        </w:trPr>
        <w:tc>
          <w:tcPr>
            <w:tcW w:w="10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874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基础治理体系</w:t>
            </w:r>
          </w:p>
        </w:tc>
        <w:tc>
          <w:tcPr>
            <w:tcW w:w="2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F7B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科技服务平台（全子系统）、大市场平台（权限管理模块）</w:t>
            </w:r>
          </w:p>
        </w:tc>
        <w:tc>
          <w:tcPr>
            <w:tcW w:w="1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2C2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系统基础设置、日志管理、权限控制</w:t>
            </w:r>
          </w:p>
        </w:tc>
      </w:tr>
    </w:tbl>
    <w:p w14:paraId="770BE337">
      <w:pPr>
        <w:outlineLvl w:val="0"/>
        <w:rPr>
          <w:rFonts w:hint="eastAsia"/>
          <w:lang w:val="en-US" w:eastAsia="zh-CN"/>
        </w:rPr>
      </w:pPr>
    </w:p>
    <w:p w14:paraId="19EB6B8F">
      <w:p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四、业务中台应用提升方案</w:t>
      </w:r>
    </w:p>
    <w:p w14:paraId="36DACEE6">
      <w:p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围绕“山东科技大市场平台”、“山东省创新发展科技服务平台”及规划中的“人工智能应用系统”，实施差异化赋能。</w:t>
      </w:r>
    </w:p>
    <w:p w14:paraId="4CA50CCF">
      <w:p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（一）山东科技大市场平台：聚焦交易撮合与场景升级</w:t>
      </w:r>
    </w:p>
    <w:p w14:paraId="14A64846">
      <w:p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1.成果智能匹配。对接知识抽取、关联检索API，自动提取成果文档技术参数与企业需求关键词，实现“需求-成果”秒级匹配，嵌入成果交易大厅核心流程。</w:t>
      </w:r>
    </w:p>
    <w:p w14:paraId="1B577849">
      <w:p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2.智能匹配升级：调用“知识抽取”、“关联检索”API，实现科技成果与企业需求的语义级精准匹配，超越关键词搜索。</w:t>
      </w:r>
    </w:p>
    <w:p w14:paraId="4240547C">
      <w:p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3.虚拟空间构建：运用“三维实景地图”、“语音识别”API，建设线上元宇宙服务大厅，实现展厅虚拟导览。</w:t>
      </w:r>
    </w:p>
    <w:p w14:paraId="0EE4A694">
      <w:p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模型增强支持：利用“评价算法”、“专家协同”API，为平台集成的DeepSeek等大模型提供领域知识微调数据，提升专业问答能力。</w:t>
      </w:r>
    </w:p>
    <w:p w14:paraId="198F3456">
      <w:pPr>
        <w:numPr>
          <w:ilvl w:val="0"/>
          <w:numId w:val="3"/>
        </w:num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科技服务平台：强化治理效能与研究支撑</w:t>
      </w:r>
    </w:p>
    <w:p w14:paraId="70BA0741">
      <w:pPr>
        <w:numPr>
          <w:ilvl w:val="0"/>
          <w:numId w:val="4"/>
        </w:num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产业监测赋能。调用企业评价、区域产业评价API，为产业监测分析子系统提供量化数据支撑，优化科技企业、区域对比等模块分析能力。</w:t>
      </w:r>
    </w:p>
    <w:p w14:paraId="6E72D7A4">
      <w:pPr>
        <w:numPr>
          <w:ilvl w:val="0"/>
          <w:numId w:val="4"/>
        </w:num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图谱服务优化。依托知识建模、知识推理API，完善产业、企业、人才图谱功能，实现图谱数据自动更新与关联分析。</w:t>
      </w:r>
    </w:p>
    <w:p w14:paraId="170C7C54">
      <w:pPr>
        <w:numPr>
          <w:ilvl w:val="0"/>
          <w:numId w:val="4"/>
        </w:num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研究辅助升级。将文本分类、政策绩效评价API嵌入研究辅助子系统，实现政策自动汇总、对比分析与辅助写作，替代人工整理工作。</w:t>
      </w:r>
    </w:p>
    <w:p w14:paraId="2F8BE864">
      <w:pPr>
        <w:numPr>
          <w:ilvl w:val="0"/>
          <w:numId w:val="3"/>
        </w:numPr>
        <w:ind w:left="0" w:leftChars="0"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人工智能应用系统：构建智能决策与自动化体系</w:t>
      </w:r>
    </w:p>
    <w:p w14:paraId="53D6E9D3">
      <w:pPr>
        <w:numPr>
          <w:ilvl w:val="0"/>
          <w:numId w:val="5"/>
        </w:num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成果转化赋能。运用AI双向匹配、预见算法API，支撑技术需求预测、成果-企业匹配等功能，生成深度预测报告与智能推荐排序。</w:t>
      </w:r>
    </w:p>
    <w:p w14:paraId="79FB65AB">
      <w:pPr>
        <w:numPr>
          <w:ilvl w:val="0"/>
          <w:numId w:val="5"/>
        </w:num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智库服务升级。对接智能检索、政策模拟制定API，优化AI政策研究模块，实现政策检索、对比分析、模拟制定全流程智能化。</w:t>
      </w:r>
    </w:p>
    <w:p w14:paraId="1BB06864">
      <w:pPr>
        <w:numPr>
          <w:ilvl w:val="0"/>
          <w:numId w:val="5"/>
        </w:num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审核效率提升。调用AI查重、形式审查API，支撑项目审核模块，实现科研项目、成果申报的自动化审核与合规性判断。</w:t>
      </w:r>
    </w:p>
    <w:p w14:paraId="78F028FB">
      <w:pPr>
        <w:outlineLvl w:val="0"/>
        <w:rPr>
          <w:rFonts w:hint="eastAsia"/>
          <w:lang w:val="en-US" w:eastAsia="zh-CN"/>
        </w:rPr>
      </w:pPr>
      <w:bookmarkStart w:id="0" w:name="_GoBack"/>
      <w:bookmarkEnd w:id="0"/>
    </w:p>
    <w:p w14:paraId="15F24E31">
      <w:pPr>
        <w:numPr>
          <w:ilvl w:val="0"/>
          <w:numId w:val="1"/>
        </w:numPr>
        <w:ind w:left="105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保障措施</w:t>
      </w:r>
    </w:p>
    <w:p w14:paraId="05391464">
      <w:pPr>
        <w:numPr>
          <w:ilvl w:val="0"/>
          <w:numId w:val="6"/>
        </w:numPr>
        <w:ind w:firstLine="42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组织保障。成立业务中台运营专班，负责API注册、审核、监控与版本管理，制定API调用规范，明确新开发功能优先复用中台API的要求。</w:t>
      </w:r>
    </w:p>
    <w:p w14:paraId="63ACBF17">
      <w:pPr>
        <w:numPr>
          <w:ilvl w:val="0"/>
          <w:numId w:val="6"/>
        </w:numPr>
        <w:ind w:firstLine="420" w:firstLineChars="0"/>
        <w:outlineLvl w:val="0"/>
        <w:rPr>
          <w:rFonts w:hint="eastAsia"/>
        </w:rPr>
      </w:pPr>
      <w:r>
        <w:rPr>
          <w:rFonts w:hint="eastAsia"/>
          <w:lang w:val="en-US" w:eastAsia="zh-CN"/>
        </w:rPr>
        <w:t>技术保障。升级统一API网关，支持高并发调用与流量控制，提供标准化SDK降低接入成本；2025年Q3完成存量API分级分类与冗余接口淘汰，2026年Q1-Q2实现人工智能应用系统与中台80%核心API深度集成。</w:t>
      </w:r>
    </w:p>
    <w:p w14:paraId="59E3B518">
      <w:pPr>
        <w:numPr>
          <w:ilvl w:val="0"/>
          <w:numId w:val="6"/>
        </w:numPr>
        <w:ind w:firstLine="420" w:firstLineChars="0"/>
        <w:outlineLvl w:val="0"/>
        <w:rPr>
          <w:rFonts w:hint="eastAsia"/>
        </w:rPr>
      </w:pPr>
      <w:r>
        <w:rPr>
          <w:rFonts w:hint="eastAsia"/>
          <w:lang w:val="en-US" w:eastAsia="zh-CN"/>
        </w:rPr>
        <w:t>机制保障。建立API应用反馈机制，定期收集平台需求优化接口；开展技术培训，提升开发与运营团队API应用能力；制定考核指标，推动API嵌入业务全流程。</w:t>
      </w:r>
    </w:p>
    <w:p w14:paraId="01FEDABF">
      <w:pPr>
        <w:numPr>
          <w:ilvl w:val="0"/>
          <w:numId w:val="6"/>
        </w:numPr>
        <w:ind w:firstLine="420" w:firstLineChars="0"/>
        <w:outlineLvl w:val="0"/>
        <w:rPr>
          <w:rFonts w:hint="eastAsia"/>
        </w:rPr>
      </w:pPr>
      <w:r>
        <w:rPr>
          <w:rFonts w:hint="eastAsia"/>
          <w:lang w:val="en-US" w:eastAsia="zh-CN"/>
        </w:rPr>
        <w:t>数据保障。统一跨平台数据标准，实现大市场平台与科技服务平台企业、成果、专家数据中台层融合，为API高效调用提供数据支撑。</w:t>
      </w:r>
    </w:p>
    <w:p w14:paraId="0C846557">
      <w:pPr>
        <w:outlineLvl w:val="0"/>
        <w:rPr>
          <w:rFonts w:hint="eastAsia"/>
        </w:rPr>
      </w:pPr>
    </w:p>
    <w:sectPr>
      <w:pgSz w:w="11900" w:h="16840"/>
      <w:pgMar w:top="1440" w:right="1800" w:bottom="1440" w:left="1800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9B455"/>
    <w:multiLevelType w:val="singleLevel"/>
    <w:tmpl w:val="9DF9B455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BDF8FFAE"/>
    <w:multiLevelType w:val="singleLevel"/>
    <w:tmpl w:val="BDF8FFA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B2A211A"/>
    <w:multiLevelType w:val="singleLevel"/>
    <w:tmpl w:val="CB2A211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F7B2BB5"/>
    <w:multiLevelType w:val="singleLevel"/>
    <w:tmpl w:val="CF7B2B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D7B8430"/>
    <w:multiLevelType w:val="singleLevel"/>
    <w:tmpl w:val="FD7B8430"/>
    <w:lvl w:ilvl="0" w:tentative="0">
      <w:start w:val="1"/>
      <w:numFmt w:val="chineseCounting"/>
      <w:suff w:val="nothing"/>
      <w:lvlText w:val="%1、"/>
      <w:lvlJc w:val="left"/>
      <w:pPr>
        <w:ind w:left="105" w:leftChars="0" w:firstLine="0" w:firstLineChars="0"/>
      </w:pPr>
      <w:rPr>
        <w:rFonts w:hint="eastAsia"/>
      </w:rPr>
    </w:lvl>
  </w:abstractNum>
  <w:abstractNum w:abstractNumId="5">
    <w:nsid w:val="5ABDB114"/>
    <w:multiLevelType w:val="singleLevel"/>
    <w:tmpl w:val="5ABDB1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B24F0"/>
    <w:rsid w:val="5BEB7E1A"/>
    <w:rsid w:val="6DFB24F0"/>
    <w:rsid w:val="7E7F57CD"/>
    <w:rsid w:val="E969E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Office_7.3.0.8966_F1E327BC-269C-435d-A152-05C5408002CA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2026-02-04T14:37:00Z</dcterms:created>
  <dc:creator>王元</dc:creator>
  <cp:lastModifiedBy>王元</cp:lastModifiedBy>
  <dcterms:modified xsi:type="dcterms:W3CDTF">2026-02-04T14:57:35Z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2052-7.3.0.8966</vt:lpwstr>
  </property>
  <property fmtid="{D5CDD505-2E9C-101B-9397-08002B2CF9AE}" pid="3" name="ICV">
    <vt:lpwstr>5DB0320274D3FAC433E98269731071DD_41</vt:lpwstr>
  </property>
</Properties>
</file>