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80" w:lineRule="exact"/>
        <w:jc w:val="center"/>
        <w:rPr>
          <w:rFonts w:hint="eastAsia" w:ascii="方正小标宋简体" w:hAnsi="方正小标宋简体" w:eastAsia="方正小标宋简体" w:cs="方正小标宋简体"/>
          <w:color w:val="000000" w:themeColor="text1"/>
          <w:sz w:val="44"/>
          <w:szCs w:val="44"/>
          <w:lang w:eastAsia="zh-Hans"/>
          <w14:textFill>
            <w14:solidFill>
              <w14:schemeClr w14:val="tx1"/>
            </w14:solidFill>
          </w14:textFill>
        </w:rPr>
      </w:pPr>
      <w:r>
        <w:rPr>
          <w:rFonts w:hint="eastAsia" w:ascii="方正小标宋简体" w:hAnsi="方正小标宋简体" w:eastAsia="方正小标宋简体" w:cs="方正小标宋简体"/>
          <w:color w:val="000000" w:themeColor="text1"/>
          <w:sz w:val="44"/>
          <w:szCs w:val="44"/>
          <w:lang w:eastAsia="zh-Hans"/>
          <w14:textFill>
            <w14:solidFill>
              <w14:schemeClr w14:val="tx1"/>
            </w14:solidFill>
          </w14:textFill>
        </w:rPr>
        <w:t>山东省创新发展研究院</w:t>
      </w:r>
    </w:p>
    <w:p>
      <w:pPr>
        <w:spacing w:line="580" w:lineRule="exact"/>
        <w:jc w:val="center"/>
        <w:rPr>
          <w:rFonts w:hint="default" w:ascii="方正小标宋简体" w:hAnsi="方正小标宋简体" w:eastAsia="方正小标宋简体" w:cs="方正小标宋简体"/>
          <w:color w:val="000000" w:themeColor="text1"/>
          <w:sz w:val="44"/>
          <w:szCs w:val="44"/>
          <w:lang w:val="en-US" w:eastAsia="zh-Hans"/>
          <w14:textFill>
            <w14:solidFill>
              <w14:schemeClr w14:val="tx1"/>
            </w14:solidFill>
          </w14:textFill>
        </w:rPr>
      </w:pPr>
      <w:r>
        <w:rPr>
          <w:rFonts w:hint="eastAsia" w:ascii="方正小标宋简体" w:hAnsi="方正小标宋简体" w:eastAsia="方正小标宋简体" w:cs="方正小标宋简体"/>
          <w:color w:val="000000" w:themeColor="text1"/>
          <w:sz w:val="44"/>
          <w:szCs w:val="44"/>
          <w:lang w:eastAsia="zh-Hans"/>
          <w14:textFill>
            <w14:solidFill>
              <w14:schemeClr w14:val="tx1"/>
            </w14:solidFill>
          </w14:textFill>
        </w:rPr>
        <w:t>人工智能创新中心</w:t>
      </w:r>
      <w:r>
        <w:rPr>
          <w:rFonts w:hint="eastAsia" w:ascii="方正小标宋简体" w:hAnsi="方正小标宋简体" w:eastAsia="方正小标宋简体" w:cs="方正小标宋简体"/>
          <w:color w:val="000000" w:themeColor="text1"/>
          <w:sz w:val="44"/>
          <w:szCs w:val="44"/>
          <w:lang w:val="en-US" w:eastAsia="zh-Hans"/>
          <w14:textFill>
            <w14:solidFill>
              <w14:schemeClr w14:val="tx1"/>
            </w14:solidFill>
          </w14:textFill>
        </w:rPr>
        <w:t>人工智能公共服务线上平台</w:t>
      </w:r>
      <w:r>
        <w:rPr>
          <w:rFonts w:hint="default" w:ascii="方正小标宋简体" w:hAnsi="方正小标宋简体" w:eastAsia="方正小标宋简体" w:cs="方正小标宋简体"/>
          <w:color w:val="000000" w:themeColor="text1"/>
          <w:sz w:val="44"/>
          <w:szCs w:val="44"/>
          <w:lang w:eastAsia="zh-Hans"/>
          <w14:textFill>
            <w14:solidFill>
              <w14:schemeClr w14:val="tx1"/>
            </w14:solidFill>
          </w14:textFill>
        </w:rPr>
        <w:t>（</w:t>
      </w:r>
      <w:r>
        <w:rPr>
          <w:rFonts w:hint="eastAsia" w:ascii="方正小标宋简体" w:hAnsi="方正小标宋简体" w:eastAsia="方正小标宋简体" w:cs="方正小标宋简体"/>
          <w:color w:val="000000" w:themeColor="text1"/>
          <w:sz w:val="44"/>
          <w:szCs w:val="44"/>
          <w:lang w:val="en-US" w:eastAsia="zh-Hans"/>
          <w14:textFill>
            <w14:solidFill>
              <w14:schemeClr w14:val="tx1"/>
            </w14:solidFill>
          </w14:textFill>
        </w:rPr>
        <w:t>服务底座</w:t>
      </w:r>
      <w:r>
        <w:rPr>
          <w:rFonts w:hint="default" w:ascii="方正小标宋简体" w:hAnsi="方正小标宋简体" w:eastAsia="方正小标宋简体" w:cs="方正小标宋简体"/>
          <w:color w:val="000000" w:themeColor="text1"/>
          <w:sz w:val="44"/>
          <w:szCs w:val="44"/>
          <w:lang w:eastAsia="zh-Hans"/>
          <w14:textFill>
            <w14:solidFill>
              <w14:schemeClr w14:val="tx1"/>
            </w14:solidFill>
          </w14:textFill>
        </w:rPr>
        <w:t>）</w:t>
      </w:r>
      <w:r>
        <w:rPr>
          <w:rFonts w:hint="eastAsia" w:ascii="方正小标宋简体" w:hAnsi="方正小标宋简体" w:eastAsia="方正小标宋简体" w:cs="方正小标宋简体"/>
          <w:color w:val="000000" w:themeColor="text1"/>
          <w:sz w:val="44"/>
          <w:szCs w:val="44"/>
          <w:lang w:val="en-US" w:eastAsia="zh-Hans"/>
          <w14:textFill>
            <w14:solidFill>
              <w14:schemeClr w14:val="tx1"/>
            </w14:solidFill>
          </w14:textFill>
        </w:rPr>
        <w:t>及基础设施租赁技术方案</w:t>
      </w:r>
    </w:p>
    <w:p>
      <w:pPr>
        <w:ind w:firstLine="602" w:firstLineChars="200"/>
        <w:outlineLvl w:val="1"/>
        <w:rPr>
          <w:rFonts w:hint="eastAsia" w:ascii="仿宋_GB2312" w:hAnsi="仿宋_GB2312" w:eastAsia="仿宋_GB2312" w:cs="仿宋_GB2312"/>
          <w:b/>
          <w:bCs/>
          <w:color w:val="000000" w:themeColor="text1"/>
          <w:sz w:val="30"/>
          <w:szCs w:val="30"/>
          <w:highlight w:val="none"/>
          <w:lang w:val="en-US" w:eastAsia="zh-Hans"/>
          <w14:textFill>
            <w14:solidFill>
              <w14:schemeClr w14:val="tx1"/>
            </w14:solidFill>
          </w14:textFill>
        </w:rPr>
      </w:pPr>
      <w:r>
        <w:rPr>
          <w:rFonts w:hint="eastAsia" w:ascii="仿宋_GB2312" w:hAnsi="仿宋_GB2312" w:eastAsia="仿宋_GB2312" w:cs="仿宋_GB2312"/>
          <w:b/>
          <w:bCs/>
          <w:color w:val="000000" w:themeColor="text1"/>
          <w:sz w:val="30"/>
          <w:szCs w:val="30"/>
          <w:highlight w:val="none"/>
          <w:lang w:val="en-US" w:eastAsia="zh-CN"/>
          <w14:textFill>
            <w14:solidFill>
              <w14:schemeClr w14:val="tx1"/>
            </w14:solidFill>
          </w14:textFill>
        </w:rPr>
        <w:t>1</w:t>
      </w:r>
      <w:r>
        <w:rPr>
          <w:rFonts w:hint="eastAsia" w:ascii="仿宋_GB2312" w:hAnsi="仿宋_GB2312" w:eastAsia="仿宋_GB2312" w:cs="仿宋_GB2312"/>
          <w:b/>
          <w:bCs/>
          <w:color w:val="000000" w:themeColor="text1"/>
          <w:sz w:val="30"/>
          <w:szCs w:val="30"/>
          <w:highlight w:val="none"/>
          <w:lang w:eastAsia="zh-Hans"/>
          <w14:textFill>
            <w14:solidFill>
              <w14:schemeClr w14:val="tx1"/>
            </w14:solidFill>
          </w14:textFill>
        </w:rPr>
        <w:t>.</w:t>
      </w:r>
      <w:r>
        <w:rPr>
          <w:rFonts w:hint="eastAsia" w:ascii="仿宋_GB2312" w:hAnsi="仿宋_GB2312" w:eastAsia="仿宋_GB2312" w:cs="仿宋_GB2312"/>
          <w:b/>
          <w:bCs/>
          <w:color w:val="000000" w:themeColor="text1"/>
          <w:sz w:val="30"/>
          <w:szCs w:val="30"/>
          <w:highlight w:val="none"/>
          <w:lang w:val="en-US" w:eastAsia="zh-Hans"/>
          <w14:textFill>
            <w14:solidFill>
              <w14:schemeClr w14:val="tx1"/>
            </w14:solidFill>
          </w14:textFill>
        </w:rPr>
        <w:t>人工智能公共服务线上平台</w:t>
      </w:r>
      <w:r>
        <w:rPr>
          <w:rFonts w:hint="default" w:ascii="仿宋_GB2312" w:hAnsi="仿宋_GB2312" w:eastAsia="仿宋_GB2312" w:cs="仿宋_GB2312"/>
          <w:b/>
          <w:bCs/>
          <w:color w:val="000000" w:themeColor="text1"/>
          <w:sz w:val="30"/>
          <w:szCs w:val="30"/>
          <w:highlight w:val="none"/>
          <w:lang w:val="en-US" w:eastAsia="zh-Hans"/>
          <w14:textFill>
            <w14:solidFill>
              <w14:schemeClr w14:val="tx1"/>
            </w14:solidFill>
          </w14:textFill>
        </w:rPr>
        <w:t>（</w:t>
      </w:r>
      <w:r>
        <w:rPr>
          <w:rFonts w:hint="eastAsia" w:ascii="仿宋_GB2312" w:hAnsi="仿宋_GB2312" w:eastAsia="仿宋_GB2312" w:cs="仿宋_GB2312"/>
          <w:b/>
          <w:bCs/>
          <w:color w:val="000000" w:themeColor="text1"/>
          <w:sz w:val="30"/>
          <w:szCs w:val="30"/>
          <w:highlight w:val="none"/>
          <w:lang w:val="en-US" w:eastAsia="zh-Hans"/>
          <w14:textFill>
            <w14:solidFill>
              <w14:schemeClr w14:val="tx1"/>
            </w14:solidFill>
          </w14:textFill>
        </w:rPr>
        <w:t>服务底座</w:t>
      </w:r>
      <w:r>
        <w:rPr>
          <w:rFonts w:hint="default" w:ascii="仿宋_GB2312" w:hAnsi="仿宋_GB2312" w:eastAsia="仿宋_GB2312" w:cs="仿宋_GB2312"/>
          <w:b/>
          <w:bCs/>
          <w:color w:val="000000" w:themeColor="text1"/>
          <w:sz w:val="30"/>
          <w:szCs w:val="30"/>
          <w:highlight w:val="none"/>
          <w:lang w:val="en-US" w:eastAsia="zh-Hans"/>
          <w14:textFill>
            <w14:solidFill>
              <w14:schemeClr w14:val="tx1"/>
            </w14:solidFill>
          </w14:textFill>
        </w:rPr>
        <w:t>）</w:t>
      </w:r>
    </w:p>
    <w:p>
      <w:pPr>
        <w:ind w:left="630"/>
        <w:outlineLvl w:val="2"/>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default" w:ascii="仿宋_GB2312" w:hAnsi="仿宋_GB2312" w:eastAsia="仿宋_GB2312" w:cs="仿宋_GB2312"/>
          <w:b/>
          <w:bCs/>
          <w:color w:val="000000" w:themeColor="text1"/>
          <w:sz w:val="28"/>
          <w:szCs w:val="28"/>
          <w:lang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开发管理工具</w:t>
      </w:r>
    </w:p>
    <w:tbl>
      <w:tblPr>
        <w:tblStyle w:val="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58"/>
        <w:gridCol w:w="892"/>
        <w:gridCol w:w="818"/>
        <w:gridCol w:w="61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8" w:hRule="atLeast"/>
        </w:trPr>
        <w:tc>
          <w:tcPr>
            <w:tcW w:w="3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序号</w:t>
            </w:r>
          </w:p>
        </w:tc>
        <w:tc>
          <w:tcPr>
            <w:tcW w:w="5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一级指标</w:t>
            </w:r>
          </w:p>
        </w:tc>
        <w:tc>
          <w:tcPr>
            <w:tcW w:w="4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b/>
                <w:bCs/>
                <w:i w:val="0"/>
                <w:iCs w:val="0"/>
                <w:color w:val="000000" w:themeColor="text1"/>
                <w:sz w:val="24"/>
                <w:szCs w:val="24"/>
                <w:u w:val="none"/>
                <w:lang w:val="en-US"/>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二级指标</w:t>
            </w:r>
          </w:p>
        </w:tc>
        <w:tc>
          <w:tcPr>
            <w:tcW w:w="3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指标明细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76" w:hRule="atLeast"/>
        </w:trPr>
        <w:tc>
          <w:tcPr>
            <w:tcW w:w="3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1</w:t>
            </w:r>
          </w:p>
        </w:tc>
        <w:tc>
          <w:tcPr>
            <w:tcW w:w="523"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开发管理工具</w:t>
            </w:r>
          </w:p>
        </w:tc>
        <w:tc>
          <w:tcPr>
            <w:tcW w:w="480" w:type="pct"/>
            <w:vMerge w:val="restart"/>
            <w:tcBorders>
              <w:top w:val="single" w:color="000000" w:sz="4" w:space="0"/>
              <w:left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模型统一供给管理</w:t>
            </w: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纳管通义千问、DeepSeek（深度求索）、百度文心一言、GLM（智谱）等至少10款开源主流模型，支持对纳管到平台的能力进行列表化展示，并提供按发布状态和名称快速查找的功能。能力列表包含了能力名称、能力编码、版本数量和发布状态等关键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64" w:hRule="atLeast"/>
        </w:trPr>
        <w:tc>
          <w:tcPr>
            <w:tcW w:w="3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2</w:t>
            </w:r>
          </w:p>
        </w:tc>
        <w:tc>
          <w:tcPr>
            <w:tcW w:w="5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left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模型部署增删改查操作，可对模型名称、版本、部署用途、鉴权管理、保存报文配置资源信息和流量控制等进行设置。支持AI模型部署的资源配置，快速部署推理服务，可生成Endpoint（端点）调用节点，支持流式和非流式两种调用方式。支持部署概览、日志信息、能力调用记录统计以及控制台展示。模型训练完成到部署上线，以及发布为模型服务的时长不超过15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76" w:hRule="atLeast"/>
        </w:trPr>
        <w:tc>
          <w:tcPr>
            <w:tcW w:w="3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3</w:t>
            </w:r>
          </w:p>
        </w:tc>
        <w:tc>
          <w:tcPr>
            <w:tcW w:w="5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left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将两个或多个大模型进行横向比较，分析其优缺点、性能差异或适用场景。对大模型的性能指标，如响应速度、推理能力、资源占用率（CPU/内存）等测评。对视频识别、文本分类等小模型效果进行测评。对小模型的性能指标，如响应速度、模型能力、资源占用率（CPU/内存）等进行测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76" w:hRule="atLeast"/>
        </w:trPr>
        <w:tc>
          <w:tcPr>
            <w:tcW w:w="386" w:type="pct"/>
            <w:vMerge w:val="restart"/>
            <w:tcBorders>
              <w:top w:val="single" w:color="000000" w:sz="4" w:space="0"/>
              <w:left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4</w:t>
            </w:r>
          </w:p>
        </w:tc>
        <w:tc>
          <w:tcPr>
            <w:tcW w:w="5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left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VLLM、TensorRT-LLM、mindIE等推理框架。支持API网关统一管理大模型对外应用，支持大模型的服务进行负载均衡处理，支持对上层应用访问大模型时进行流量控制，支持对文本数据和图像数据进行回流，用于后续训练数据的增强。模型支持应用无感切换，切换执行时长不超过1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90" w:hRule="atLeast"/>
        </w:trPr>
        <w:tc>
          <w:tcPr>
            <w:tcW w:w="386" w:type="pct"/>
            <w:vMerge w:val="continue"/>
            <w:tcBorders>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pPr>
          </w:p>
        </w:tc>
        <w:tc>
          <w:tcPr>
            <w:tcW w:w="5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宋体" w:hAnsi="宋体" w:eastAsia="宋体" w:cs="宋体"/>
                <w:i w:val="0"/>
                <w:iCs w:val="0"/>
                <w:color w:val="000000" w:themeColor="text1"/>
                <w:kern w:val="0"/>
                <w:sz w:val="24"/>
                <w:szCs w:val="24"/>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对大模型输入、输出内容的风险识别，可识别出内容有害风险、prompt提示词攻击、PII隐私信息防护、商业敏感信息防护、模型幻觉&amp;事实性不一致、主题意图偏离。支持识别有风险的大模型输出内容进行优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11" w:hRule="atLeast"/>
        </w:trPr>
        <w:tc>
          <w:tcPr>
            <w:tcW w:w="3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5</w:t>
            </w:r>
          </w:p>
        </w:tc>
        <w:tc>
          <w:tcPr>
            <w:tcW w:w="5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模型开发训练管理</w:t>
            </w: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面向算法工程师提供容器化notebook开发环境，支持用户在线化代码开发，提供包括异构资源、多类型开发环境框架。提供对notebook开发环境的快照统一管理，包括将开发运行环境（包括依赖库、文件系统内容和Notebook内的代码及输出）保存为一个可恢复的快照，以及对构建的快照进行列表查看、删除、重新使用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8" w:hRule="atLeast"/>
        </w:trPr>
        <w:tc>
          <w:tcPr>
            <w:tcW w:w="3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6</w:t>
            </w:r>
          </w:p>
        </w:tc>
        <w:tc>
          <w:tcPr>
            <w:tcW w:w="5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支持集中式的模型存储库，用于存放各种AI模型文件、代码、支持模型存储、检索、多版本等管理功能。支持纳管平台内部、外部的模型文件。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8" w:hRule="atLeast"/>
        </w:trPr>
        <w:tc>
          <w:tcPr>
            <w:tcW w:w="3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7</w:t>
            </w:r>
          </w:p>
        </w:tc>
        <w:tc>
          <w:tcPr>
            <w:tcW w:w="5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△支持国内外主流开源基模进行微调，包括千问、百川、智谱、BGE（北京智源）、M3E、LLAMA、DeepSeek（深度求索）系列模型、千问-VL等主流开源大模型进行微调。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76" w:hRule="atLeast"/>
        </w:trPr>
        <w:tc>
          <w:tcPr>
            <w:tcW w:w="3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8</w:t>
            </w:r>
          </w:p>
        </w:tc>
        <w:tc>
          <w:tcPr>
            <w:tcW w:w="5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用户以零代码的方式进行图像检测和OCR（光学字符识别）识别的自主学习建模任务，包括添加数据、数据标注、模型训练、在线体验、推送模型仓库全流程自助操作等。支持单机单卡、单机多卡、多机多卡三种调度模型训练方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64" w:hRule="atLeast"/>
        </w:trPr>
        <w:tc>
          <w:tcPr>
            <w:tcW w:w="3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9</w:t>
            </w:r>
          </w:p>
        </w:tc>
        <w:tc>
          <w:tcPr>
            <w:tcW w:w="5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针对大模型的零代码微调训练能力，提供全量和微调两种方式，可设置学习率、批处理大小、训练轮次、最大样本数等至少10种训练超参数，支持模型微调任务状态和任务日志监控、微调模型一键部署和模型体验上线。支持对多种关键训练指标（如准确率/损失函数/F1分数）和验证指标进行实时可视化展示，能够以动态曲线形式呈现指标随训练过程的变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8" w:hRule="atLeast"/>
        </w:trPr>
        <w:tc>
          <w:tcPr>
            <w:tcW w:w="3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10</w:t>
            </w:r>
          </w:p>
        </w:tc>
        <w:tc>
          <w:tcPr>
            <w:tcW w:w="5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应用和智能体开发管理</w:t>
            </w: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提供低代码方式的大模型应用开发能力，包含大模型、工作链、API（应用程序编程接口）、提示词、知识库、对话配置等功能模块。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8" w:hRule="atLeast"/>
        </w:trPr>
        <w:tc>
          <w:tcPr>
            <w:tcW w:w="3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11</w:t>
            </w:r>
          </w:p>
        </w:tc>
        <w:tc>
          <w:tcPr>
            <w:tcW w:w="5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支持将大模型、知识库、工具等组件以节点的形式进行可视化流程编排组合。至少支持输入输出节点、大模型节点、知识库节点、判断器节点、代码节点、表单节点等节点类型。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8" w:hRule="atLeast"/>
        </w:trPr>
        <w:tc>
          <w:tcPr>
            <w:tcW w:w="3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12</w:t>
            </w:r>
          </w:p>
        </w:tc>
        <w:tc>
          <w:tcPr>
            <w:tcW w:w="5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提供智能体发布和部署的管理能力，支持用户通过智能体发布入口，将智能体上架到智能体广场或或者以Chat SDK等方式进行提供。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8" w:hRule="atLeast"/>
        </w:trPr>
        <w:tc>
          <w:tcPr>
            <w:tcW w:w="3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13</w:t>
            </w:r>
          </w:p>
        </w:tc>
        <w:tc>
          <w:tcPr>
            <w:tcW w:w="5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支持通过调用标准API（应用程序编程接口）方式或标准数据表的方式快速创建工具。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76" w:hRule="atLeast"/>
        </w:trPr>
        <w:tc>
          <w:tcPr>
            <w:tcW w:w="3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14</w:t>
            </w:r>
          </w:p>
        </w:tc>
        <w:tc>
          <w:tcPr>
            <w:tcW w:w="5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用户界面编辑器，支持创建和编辑用户界面，开发者可以通过拖放组件来构建用户界面布局，并设置组件的属性和样式。支持为组件绑定事件，配置事件处理程序，例如按钮点击或列表项选择，从而实现交互逻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8" w:hRule="atLeast"/>
        </w:trPr>
        <w:tc>
          <w:tcPr>
            <w:tcW w:w="3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15</w:t>
            </w:r>
          </w:p>
        </w:tc>
        <w:tc>
          <w:tcPr>
            <w:tcW w:w="5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支持用户创建插件、编辑插件信息、删除插件等功能，有效管理插件。</w:t>
            </w:r>
          </w:p>
        </w:tc>
      </w:tr>
    </w:tbl>
    <w:p>
      <w:pPr>
        <w:ind w:left="630"/>
        <w:outlineLvl w:val="2"/>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default" w:ascii="仿宋_GB2312" w:hAnsi="仿宋_GB2312" w:eastAsia="仿宋_GB2312" w:cs="仿宋_GB2312"/>
          <w:b/>
          <w:bCs/>
          <w:color w:val="000000" w:themeColor="text1"/>
          <w:sz w:val="28"/>
          <w:szCs w:val="28"/>
          <w:lang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AI业务公共服务中枢</w:t>
      </w:r>
    </w:p>
    <w:tbl>
      <w:tblPr>
        <w:tblStyle w:val="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97"/>
        <w:gridCol w:w="852"/>
        <w:gridCol w:w="819"/>
        <w:gridCol w:w="6151"/>
      </w:tblGrid>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序号</w:t>
            </w:r>
          </w:p>
        </w:tc>
        <w:tc>
          <w:tcPr>
            <w:tcW w:w="5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一级指标</w:t>
            </w:r>
          </w:p>
        </w:tc>
        <w:tc>
          <w:tcPr>
            <w:tcW w:w="4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二级指标</w:t>
            </w: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指标明细</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1</w:t>
            </w:r>
          </w:p>
        </w:tc>
        <w:tc>
          <w:tcPr>
            <w:tcW w:w="50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AI业务公共服务中枢</w:t>
            </w:r>
          </w:p>
        </w:tc>
        <w:tc>
          <w:tcPr>
            <w:tcW w:w="48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知识和数据管理</w:t>
            </w: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支持用户通过目录功能管理知识库，以列表方式展示知识库名称、logo（图标）、描述管理等信息。</w:t>
            </w:r>
          </w:p>
        </w:tc>
      </w:tr>
      <w:tr>
        <w:trPr>
          <w:trHeight w:val="576"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2</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图像、文本、音频、视频、3D点云、遥感影像、图纸、BIM（建筑信息模型）等至少5类数据的管理和标注，功能包括创建、查看、搜索、删除、导出和复制，并配合数据访问权限控制。支持分配标注和众包标注等两种数据标注模式。</w:t>
            </w:r>
          </w:p>
        </w:tc>
      </w:tr>
      <w:tr>
        <w:trPr>
          <w:trHeight w:val="576"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3</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提供知识的通用doc、docx、ppt、pptx、pdf（图片型和文本型）、txt、ofd、csv、xlsx、xls、md、wps等文档构建策略，支持自定义文档拆分方式、文本块大小、OCR（光学字符识别）组件、表格识别。</w:t>
            </w:r>
          </w:p>
        </w:tc>
      </w:tr>
      <w:tr>
        <w:trPr>
          <w:trHeight w:val="576"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4</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提供非结构化文档构建能力，支持自定义doc、docx、ppt、pptx、pdf（图片型和文本型）、txt、ofd、md、wps等文档构建策略；提供结构化表格文档的构建能力，支持自定义csv、xlsx、xls文档构建策略。</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5</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宋体" w:hAnsi="宋体" w:eastAsia="宋体" w:cs="宋体"/>
                <w:i w:val="0"/>
                <w:iCs w:val="0"/>
                <w:color w:val="000000" w:themeColor="text1"/>
                <w:sz w:val="24"/>
                <w:szCs w:val="24"/>
                <w:u w:val="none"/>
                <w:lang w:val="en-US"/>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提供概念、实体的新增、编辑、删除、导入、关键词搜索查询等管理功能。</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6</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结合语义、全文、实体等检索方式，对知识库内容进行多路找回并对多种检索结果进行重排。</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7</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支持对AI开发过程中用到的数据进行统一纳管能力，包括纳管外部数据、平台内部标注产生的样本数据。</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pPr>
            <w: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t>8</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宋体" w:hAnsi="宋体" w:eastAsia="宋体" w:cs="宋体"/>
                <w:i w:val="0"/>
                <w:iCs w:val="0"/>
                <w:color w:val="000000" w:themeColor="text1"/>
                <w:kern w:val="0"/>
                <w:sz w:val="24"/>
                <w:szCs w:val="24"/>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支持通过文本预处理提取用户输入的关键词，从知识库文档中快速找到与关键词相关的文档。</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sz w:val="24"/>
                <w:szCs w:val="24"/>
                <w:u w:val="none"/>
                <w14:textFill>
                  <w14:solidFill>
                    <w14:schemeClr w14:val="tx1"/>
                  </w14:solidFill>
                </w14:textFill>
              </w:rPr>
            </w:pPr>
            <w:r>
              <w:rPr>
                <w:rFonts w:hint="default" w:ascii="宋体" w:hAnsi="宋体" w:eastAsia="宋体" w:cs="宋体"/>
                <w:i w:val="0"/>
                <w:iCs w:val="0"/>
                <w:color w:val="000000" w:themeColor="text1"/>
                <w:sz w:val="24"/>
                <w:szCs w:val="24"/>
                <w:u w:val="none"/>
                <w14:textFill>
                  <w14:solidFill>
                    <w14:schemeClr w14:val="tx1"/>
                  </w14:solidFill>
                </w14:textFill>
              </w:rPr>
              <w:t>9</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知识库节点可通过语义、全文、实体标签、混合等方式查询知识库以及自定义最低相关度和知识引用上限</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pPr>
            <w: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t>10</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restart"/>
            <w:tcBorders>
              <w:top w:val="single" w:color="000000" w:sz="4" w:space="0"/>
              <w:left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数据集建设配套支撑与管理</w:t>
            </w: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△支持在线自动化标注</w:t>
            </w:r>
            <w: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t>，</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提供多类型</w:t>
            </w:r>
            <w:r>
              <w:rPr>
                <w:rFonts w:hint="eastAsia" w:ascii="宋体" w:hAnsi="宋体" w:eastAsia="宋体" w:cs="宋体"/>
                <w:i w:val="0"/>
                <w:iCs w:val="0"/>
                <w:color w:val="000000" w:themeColor="text1"/>
                <w:kern w:val="0"/>
                <w:sz w:val="24"/>
                <w:szCs w:val="24"/>
                <w:u w:val="none"/>
                <w:lang w:val="en-US" w:eastAsia="zh-Hans" w:bidi="ar"/>
                <w14:textFill>
                  <w14:solidFill>
                    <w14:schemeClr w14:val="tx1"/>
                  </w14:solidFill>
                </w14:textFill>
              </w:rPr>
              <w:t>数据集</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自动化</w:t>
            </w:r>
            <w:r>
              <w:rPr>
                <w:rFonts w:hint="eastAsia" w:ascii="宋体" w:hAnsi="宋体" w:eastAsia="宋体" w:cs="宋体"/>
                <w:i w:val="0"/>
                <w:iCs w:val="0"/>
                <w:color w:val="000000" w:themeColor="text1"/>
                <w:kern w:val="0"/>
                <w:sz w:val="24"/>
                <w:szCs w:val="24"/>
                <w:u w:val="none"/>
                <w:lang w:val="en-US" w:eastAsia="zh-Hans" w:bidi="ar"/>
                <w14:textFill>
                  <w14:solidFill>
                    <w14:schemeClr w14:val="tx1"/>
                  </w14:solidFill>
                </w14:textFill>
              </w:rPr>
              <w:t>预</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标注工具。</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pPr>
            <w: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t>11</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left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△提供多模态数据合成功能，支持包括视觉图片、文本语义</w:t>
            </w:r>
            <w:r>
              <w:rPr>
                <w:rFonts w:hint="eastAsia" w:ascii="宋体" w:hAnsi="宋体" w:eastAsia="宋体" w:cs="宋体"/>
                <w:i w:val="0"/>
                <w:iCs w:val="0"/>
                <w:color w:val="000000" w:themeColor="text1"/>
                <w:kern w:val="0"/>
                <w:sz w:val="24"/>
                <w:szCs w:val="24"/>
                <w:u w:val="none"/>
                <w:lang w:val="en-US" w:eastAsia="zh-Hans" w:bidi="ar"/>
                <w14:textFill>
                  <w14:solidFill>
                    <w14:schemeClr w14:val="tx1"/>
                  </w14:solidFill>
                </w14:textFill>
              </w:rPr>
              <w:t>等的</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数据自动化标注、数据自动化语义生成的相关工作，配套数据相关</w:t>
            </w:r>
            <w:r>
              <w:rPr>
                <w:rFonts w:hint="eastAsia" w:ascii="宋体" w:hAnsi="宋体" w:eastAsia="宋体" w:cs="宋体"/>
                <w:i w:val="0"/>
                <w:iCs w:val="0"/>
                <w:color w:val="000000" w:themeColor="text1"/>
                <w:kern w:val="0"/>
                <w:sz w:val="24"/>
                <w:szCs w:val="24"/>
                <w:u w:val="none"/>
                <w:lang w:val="en-US" w:eastAsia="zh-Hans" w:bidi="ar"/>
                <w14:textFill>
                  <w14:solidFill>
                    <w14:schemeClr w14:val="tx1"/>
                  </w14:solidFill>
                </w14:textFill>
              </w:rPr>
              <w:t>可复用的数据处理单元不少于</w:t>
            </w:r>
            <w:r>
              <w:rPr>
                <w:rFonts w:hint="default" w:ascii="宋体" w:hAnsi="宋体" w:eastAsia="宋体" w:cs="宋体"/>
                <w:i w:val="0"/>
                <w:iCs w:val="0"/>
                <w:color w:val="000000" w:themeColor="text1"/>
                <w:kern w:val="0"/>
                <w:sz w:val="24"/>
                <w:szCs w:val="24"/>
                <w:u w:val="none"/>
                <w:lang w:eastAsia="zh-Hans" w:bidi="ar"/>
                <w14:textFill>
                  <w14:solidFill>
                    <w14:schemeClr w14:val="tx1"/>
                  </w14:solidFill>
                </w14:textFill>
              </w:rPr>
              <w:t>30</w:t>
            </w:r>
            <w:r>
              <w:rPr>
                <w:rFonts w:hint="eastAsia" w:ascii="宋体" w:hAnsi="宋体" w:eastAsia="宋体" w:cs="宋体"/>
                <w:i w:val="0"/>
                <w:iCs w:val="0"/>
                <w:color w:val="000000" w:themeColor="text1"/>
                <w:kern w:val="0"/>
                <w:sz w:val="24"/>
                <w:szCs w:val="24"/>
                <w:u w:val="none"/>
                <w:lang w:val="en-US" w:eastAsia="zh-Hans" w:bidi="ar"/>
                <w14:textFill>
                  <w14:solidFill>
                    <w14:schemeClr w14:val="tx1"/>
                  </w14:solidFill>
                </w14:textFill>
              </w:rPr>
              <w:t>个</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w:t>
            </w:r>
            <w:r>
              <w:rPr>
                <w:rFonts w:hint="eastAsia" w:ascii="宋体" w:hAnsi="宋体" w:eastAsia="宋体" w:cs="宋体"/>
                <w:i w:val="0"/>
                <w:iCs w:val="0"/>
                <w:color w:val="000000" w:themeColor="text1"/>
                <w:kern w:val="0"/>
                <w:sz w:val="24"/>
                <w:szCs w:val="24"/>
                <w:u w:val="none"/>
                <w:lang w:val="en-US" w:eastAsia="zh-Hans" w:bidi="ar"/>
                <w14:textFill>
                  <w14:solidFill>
                    <w14:schemeClr w14:val="tx1"/>
                  </w14:solidFill>
                </w14:textFill>
              </w:rPr>
              <w:t>例如批处理表格识别</w:t>
            </w:r>
            <w:r>
              <w:rPr>
                <w:rFonts w:hint="default" w:ascii="宋体" w:hAnsi="宋体" w:eastAsia="宋体" w:cs="宋体"/>
                <w:i w:val="0"/>
                <w:iCs w:val="0"/>
                <w:color w:val="000000" w:themeColor="text1"/>
                <w:kern w:val="0"/>
                <w:sz w:val="24"/>
                <w:szCs w:val="24"/>
                <w:u w:val="none"/>
                <w:lang w:eastAsia="zh-Hans" w:bidi="ar"/>
                <w14:textFill>
                  <w14:solidFill>
                    <w14:schemeClr w14:val="tx1"/>
                  </w14:solidFill>
                </w14:textFill>
              </w:rPr>
              <w:t>、</w:t>
            </w:r>
            <w:r>
              <w:rPr>
                <w:rFonts w:hint="eastAsia" w:ascii="宋体" w:hAnsi="宋体" w:eastAsia="宋体" w:cs="宋体"/>
                <w:i w:val="0"/>
                <w:iCs w:val="0"/>
                <w:color w:val="000000" w:themeColor="text1"/>
                <w:kern w:val="0"/>
                <w:sz w:val="24"/>
                <w:szCs w:val="24"/>
                <w:u w:val="none"/>
                <w:lang w:val="en-US" w:eastAsia="zh-Hans" w:bidi="ar"/>
                <w14:textFill>
                  <w14:solidFill>
                    <w14:schemeClr w14:val="tx1"/>
                  </w14:solidFill>
                </w14:textFill>
              </w:rPr>
              <w:t>批处理人脸识别等</w:t>
            </w:r>
            <w:r>
              <w:rPr>
                <w:rFonts w:hint="default" w:ascii="宋体" w:hAnsi="宋体" w:eastAsia="宋体" w:cs="宋体"/>
                <w:i w:val="0"/>
                <w:iCs w:val="0"/>
                <w:color w:val="000000" w:themeColor="text1"/>
                <w:kern w:val="0"/>
                <w:sz w:val="24"/>
                <w:szCs w:val="24"/>
                <w:u w:val="none"/>
                <w:lang w:eastAsia="zh-Hans" w:bidi="ar"/>
                <w14:textFill>
                  <w14:solidFill>
                    <w14:schemeClr w14:val="tx1"/>
                  </w14:solidFill>
                </w14:textFill>
              </w:rPr>
              <w:t>，</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支撑数据集构建的灵活性。</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pPr>
            <w: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t>12</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left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△支持不同种类</w:t>
            </w:r>
            <w:r>
              <w:rPr>
                <w:rFonts w:hint="eastAsia" w:ascii="宋体" w:hAnsi="宋体" w:eastAsia="宋体" w:cs="宋体"/>
                <w:i w:val="0"/>
                <w:iCs w:val="0"/>
                <w:color w:val="000000" w:themeColor="text1"/>
                <w:kern w:val="0"/>
                <w:sz w:val="24"/>
                <w:szCs w:val="24"/>
                <w:u w:val="none"/>
                <w:lang w:val="en-US" w:eastAsia="zh-Hans" w:bidi="ar"/>
                <w14:textFill>
                  <w14:solidFill>
                    <w14:schemeClr w14:val="tx1"/>
                  </w14:solidFill>
                </w14:textFill>
              </w:rPr>
              <w:t>可复用的数据处理单元</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自定义构建，用于动态扩展数据集</w:t>
            </w:r>
            <w:r>
              <w:rPr>
                <w:rFonts w:hint="eastAsia" w:ascii="宋体" w:hAnsi="宋体" w:eastAsia="宋体" w:cs="宋体"/>
                <w:i w:val="0"/>
                <w:iCs w:val="0"/>
                <w:color w:val="000000" w:themeColor="text1"/>
                <w:kern w:val="0"/>
                <w:sz w:val="24"/>
                <w:szCs w:val="24"/>
                <w:u w:val="none"/>
                <w:lang w:val="en-US" w:eastAsia="zh-Hans" w:bidi="ar"/>
                <w14:textFill>
                  <w14:solidFill>
                    <w14:schemeClr w14:val="tx1"/>
                  </w14:solidFill>
                </w14:textFill>
              </w:rPr>
              <w:t>的处理</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能力，弥补</w:t>
            </w:r>
            <w:r>
              <w:rPr>
                <w:rFonts w:hint="eastAsia" w:ascii="宋体" w:hAnsi="宋体" w:eastAsia="宋体" w:cs="宋体"/>
                <w:i w:val="0"/>
                <w:iCs w:val="0"/>
                <w:color w:val="000000" w:themeColor="text1"/>
                <w:kern w:val="0"/>
                <w:sz w:val="24"/>
                <w:szCs w:val="24"/>
                <w:u w:val="none"/>
                <w:lang w:val="en-US" w:eastAsia="zh-Hans" w:bidi="ar"/>
                <w14:textFill>
                  <w14:solidFill>
                    <w14:schemeClr w14:val="tx1"/>
                  </w14:solidFill>
                </w14:textFill>
              </w:rPr>
              <w:t>数据处理工具</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不足，提升工作流在各类场景中自定义建设的灵活性。</w:t>
            </w:r>
          </w:p>
        </w:tc>
      </w:tr>
      <w:tr>
        <w:tblPrEx>
          <w:shd w:val="clear" w:color="auto" w:fill="auto"/>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pPr>
            <w: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t>13</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left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支持在线数据集场景分析</w:t>
            </w:r>
            <w: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t>，</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结合数据的类型，提供数据集构建配套</w:t>
            </w:r>
            <w: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t>，</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提供可基于</w:t>
            </w:r>
            <w:r>
              <w:rPr>
                <w:rFonts w:hint="eastAsia" w:ascii="宋体" w:hAnsi="宋体" w:eastAsia="宋体" w:cs="宋体"/>
                <w:i w:val="0"/>
                <w:iCs w:val="0"/>
                <w:color w:val="000000" w:themeColor="text1"/>
                <w:kern w:val="0"/>
                <w:sz w:val="24"/>
                <w:szCs w:val="24"/>
                <w:u w:val="none"/>
                <w:lang w:val="en-US" w:eastAsia="zh-Hans" w:bidi="ar"/>
                <w14:textFill>
                  <w14:solidFill>
                    <w14:schemeClr w14:val="tx1"/>
                  </w14:solidFill>
                </w14:textFill>
              </w:rPr>
              <w:t>自动化</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工作流的方式构建</w:t>
            </w:r>
            <w:r>
              <w:rPr>
                <w:rFonts w:hint="eastAsia" w:ascii="宋体" w:hAnsi="宋体" w:eastAsia="宋体" w:cs="宋体"/>
                <w:i w:val="0"/>
                <w:iCs w:val="0"/>
                <w:color w:val="000000" w:themeColor="text1"/>
                <w:kern w:val="0"/>
                <w:sz w:val="24"/>
                <w:szCs w:val="24"/>
                <w:u w:val="none"/>
                <w:lang w:val="en-US" w:eastAsia="zh-Hans" w:bidi="ar"/>
                <w14:textFill>
                  <w14:solidFill>
                    <w14:schemeClr w14:val="tx1"/>
                  </w14:solidFill>
                </w14:textFill>
              </w:rPr>
              <w:t>可复用的数据处理单元</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串</w:t>
            </w:r>
            <w:r>
              <w:rPr>
                <w:rFonts w:hint="eastAsia" w:ascii="宋体" w:hAnsi="宋体" w:eastAsia="宋体" w:cs="宋体"/>
                <w:i w:val="0"/>
                <w:iCs w:val="0"/>
                <w:color w:val="000000" w:themeColor="text1"/>
                <w:kern w:val="0"/>
                <w:sz w:val="24"/>
                <w:szCs w:val="24"/>
                <w:u w:val="none"/>
                <w:lang w:val="en-US" w:eastAsia="zh-Hans" w:bidi="ar"/>
                <w14:textFill>
                  <w14:solidFill>
                    <w14:schemeClr w14:val="tx1"/>
                  </w14:solidFill>
                </w14:textFill>
              </w:rPr>
              <w:t>联</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的数据集任务，支撑不</w:t>
            </w:r>
            <w:r>
              <w:rPr>
                <w:rFonts w:hint="eastAsia" w:ascii="宋体" w:hAnsi="宋体" w:eastAsia="宋体" w:cs="宋体"/>
                <w:i w:val="0"/>
                <w:iCs w:val="0"/>
                <w:color w:val="000000" w:themeColor="text1"/>
                <w:kern w:val="0"/>
                <w:sz w:val="24"/>
                <w:szCs w:val="24"/>
                <w:u w:val="none"/>
                <w:lang w:val="en-US" w:eastAsia="zh-Hans" w:bidi="ar"/>
                <w14:textFill>
                  <w14:solidFill>
                    <w14:schemeClr w14:val="tx1"/>
                  </w14:solidFill>
                </w14:textFill>
              </w:rPr>
              <w:t>同</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种类业务需求对数据标注的应用，提升数据集构建效率。</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pPr>
            <w: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t>14</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left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提供数据集公共管理运维平台，提供api、数据库等不同模式的数据接入方式保障数据集可快速应用于各类型项的应用或项目。</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pPr>
            <w: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t>15</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left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△提供数据集工作目录分层归档管理工具</w:t>
            </w:r>
            <w: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t>，</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提供数据集血缘生成过程</w:t>
            </w:r>
            <w:r>
              <w:rPr>
                <w:rFonts w:hint="eastAsia" w:ascii="宋体" w:hAnsi="宋体" w:eastAsia="宋体" w:cs="宋体"/>
                <w:i w:val="0"/>
                <w:iCs w:val="0"/>
                <w:color w:val="000000" w:themeColor="text1"/>
                <w:kern w:val="0"/>
                <w:sz w:val="24"/>
                <w:szCs w:val="24"/>
                <w:u w:val="none"/>
                <w:lang w:val="en-US" w:eastAsia="zh-Hans" w:bidi="ar"/>
                <w14:textFill>
                  <w14:solidFill>
                    <w14:schemeClr w14:val="tx1"/>
                  </w14:solidFill>
                </w14:textFill>
              </w:rPr>
              <w:t>的</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回溯工具，便于</w:t>
            </w:r>
            <w:r>
              <w:rPr>
                <w:rFonts w:hint="eastAsia" w:ascii="宋体" w:hAnsi="宋体" w:eastAsia="宋体" w:cs="宋体"/>
                <w:i w:val="0"/>
                <w:iCs w:val="0"/>
                <w:color w:val="000000" w:themeColor="text1"/>
                <w:kern w:val="0"/>
                <w:sz w:val="24"/>
                <w:szCs w:val="24"/>
                <w:u w:val="none"/>
                <w:lang w:val="en-US" w:eastAsia="zh-Hans" w:bidi="ar"/>
                <w14:textFill>
                  <w14:solidFill>
                    <w14:schemeClr w14:val="tx1"/>
                  </w14:solidFill>
                </w14:textFill>
              </w:rPr>
              <w:t>对</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已建设的数据集快速</w:t>
            </w:r>
            <w:r>
              <w:rPr>
                <w:rFonts w:hint="eastAsia" w:ascii="宋体" w:hAnsi="宋体" w:eastAsia="宋体" w:cs="宋体"/>
                <w:i w:val="0"/>
                <w:iCs w:val="0"/>
                <w:color w:val="000000" w:themeColor="text1"/>
                <w:kern w:val="0"/>
                <w:sz w:val="24"/>
                <w:szCs w:val="24"/>
                <w:u w:val="none"/>
                <w:lang w:val="en-US" w:eastAsia="zh-Hans" w:bidi="ar"/>
                <w14:textFill>
                  <w14:solidFill>
                    <w14:schemeClr w14:val="tx1"/>
                  </w14:solidFill>
                </w14:textFill>
              </w:rPr>
              <w:t>追溯及</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质量过程查看与迭代。</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pPr>
            <w: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t>16</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left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提供数据集的在线分级分类、数据集脱敏等相关工具，便于快速对核心数据指标进行相关数据安全处理。</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pPr>
            <w: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t>17</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提供数据集应用开发审核、分析、权限、验收等相关质量保障工具（包括数据离线开发、低代码构建、可视化数据治理编排、归档、质量检测等功能）</w:t>
            </w:r>
            <w: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t>，</w:t>
            </w: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用于保障数据集的发布质量</w:t>
            </w:r>
            <w: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t>。</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sz w:val="24"/>
                <w:szCs w:val="24"/>
                <w:u w:val="none"/>
                <w14:textFill>
                  <w14:solidFill>
                    <w14:schemeClr w14:val="tx1"/>
                  </w14:solidFill>
                </w14:textFill>
              </w:rPr>
            </w:pPr>
            <w:r>
              <w:rPr>
                <w:rFonts w:hint="default" w:ascii="宋体" w:hAnsi="宋体" w:eastAsia="宋体" w:cs="宋体"/>
                <w:i w:val="0"/>
                <w:iCs w:val="0"/>
                <w:color w:val="000000" w:themeColor="text1"/>
                <w:sz w:val="24"/>
                <w:szCs w:val="24"/>
                <w:u w:val="none"/>
                <w14:textFill>
                  <w14:solidFill>
                    <w14:schemeClr w14:val="tx1"/>
                  </w14:solidFill>
                </w14:textFill>
              </w:rPr>
              <w:t>18</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restart"/>
            <w:tcBorders>
              <w:top w:val="single" w:color="000000" w:sz="4" w:space="0"/>
              <w:left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异构算力调度管理</w:t>
            </w: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支持将主机服务器接入集群管理，平台支持多种计算资源（CPU、GPU及各类加速卡）和存储资源集群统一纳管，为上层AI服务提供算力和存力资源支持。</w:t>
            </w:r>
          </w:p>
        </w:tc>
      </w:tr>
      <w:tr>
        <w:trPr>
          <w:trHeight w:val="576"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1</w:t>
            </w:r>
            <w: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t>9</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left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△支持对集群管理的算力主机和存储主机的详情查看，可支持英伟达、昇腾、寒武纪、天数，包括V100、T4、A10、A100、Atlas 300V、Atlas 300I、910B、Atlas 300I DUO等至少10种类型GPU算力资源管理；支持英特尔（X86架构）、鲲鹏（ARM架构）的CPU算力资源管理；支持多个集群统一纳管，并可按需将多种异构资源在一个集群中管理。</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sz w:val="24"/>
                <w:szCs w:val="24"/>
                <w:u w:val="none"/>
                <w14:textFill>
                  <w14:solidFill>
                    <w14:schemeClr w14:val="tx1"/>
                  </w14:solidFill>
                </w14:textFill>
              </w:rPr>
            </w:pPr>
            <w:r>
              <w:rPr>
                <w:rFonts w:hint="default" w:ascii="宋体" w:hAnsi="宋体" w:eastAsia="宋体" w:cs="宋体"/>
                <w:i w:val="0"/>
                <w:iCs w:val="0"/>
                <w:color w:val="000000" w:themeColor="text1"/>
                <w:sz w:val="24"/>
                <w:szCs w:val="24"/>
                <w:u w:val="none"/>
                <w14:textFill>
                  <w14:solidFill>
                    <w14:schemeClr w14:val="tx1"/>
                  </w14:solidFill>
                </w14:textFill>
              </w:rPr>
              <w:t>20</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left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支持自定义资源服务的规格，可指定任务资源需要的 CPU、内存、GPU数和显存等信息。</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pPr>
            <w:r>
              <w:rPr>
                <w:rFonts w:hint="default" w:ascii="宋体" w:hAnsi="宋体" w:eastAsia="宋体" w:cs="宋体"/>
                <w:i w:val="0"/>
                <w:iCs w:val="0"/>
                <w:color w:val="000000" w:themeColor="text1"/>
                <w:kern w:val="0"/>
                <w:sz w:val="24"/>
                <w:szCs w:val="24"/>
                <w:u w:val="none"/>
                <w:lang w:eastAsia="zh-CN" w:bidi="ar"/>
                <w14:textFill>
                  <w14:solidFill>
                    <w14:schemeClr w14:val="tx1"/>
                  </w14:solidFill>
                </w14:textFill>
              </w:rPr>
              <w:t>21</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left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宋体" w:hAnsi="宋体" w:eastAsia="宋体" w:cs="宋体"/>
                <w:i w:val="0"/>
                <w:iCs w:val="0"/>
                <w:color w:val="000000" w:themeColor="text1"/>
                <w:kern w:val="0"/>
                <w:sz w:val="24"/>
                <w:szCs w:val="24"/>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△支持算力的虚拟化功能，允许细粒度分配资源，支持单卡GPU资源按需切分为多张小规格的vGPU卡分配到不同的任务上。</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sz w:val="24"/>
                <w:szCs w:val="24"/>
                <w:u w:val="none"/>
                <w14:textFill>
                  <w14:solidFill>
                    <w14:schemeClr w14:val="tx1"/>
                  </w14:solidFill>
                </w14:textFill>
              </w:rPr>
            </w:pPr>
            <w:r>
              <w:rPr>
                <w:rFonts w:hint="default" w:ascii="宋体" w:hAnsi="宋体" w:eastAsia="宋体" w:cs="宋体"/>
                <w:i w:val="0"/>
                <w:iCs w:val="0"/>
                <w:color w:val="000000" w:themeColor="text1"/>
                <w:sz w:val="24"/>
                <w:szCs w:val="24"/>
                <w:u w:val="none"/>
                <w14:textFill>
                  <w14:solidFill>
                    <w14:schemeClr w14:val="tx1"/>
                  </w14:solidFill>
                </w14:textFill>
              </w:rPr>
              <w:t>22</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left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支持将算力集群资源池化，可按照两级资源池架构进行资源管理，将一级资源池授权给租户使用，租户可按需将资源二次划分给项目使用。</w:t>
            </w:r>
          </w:p>
        </w:tc>
      </w:tr>
      <w:tr>
        <w:trPr>
          <w:trHeight w:val="864" w:hRule="atLeast"/>
        </w:trPr>
        <w:tc>
          <w:tcPr>
            <w:tcW w:w="409" w:type="pct"/>
            <w:vMerge w:val="restart"/>
            <w:tcBorders>
              <w:top w:val="single" w:color="000000" w:sz="4" w:space="0"/>
              <w:left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sz w:val="24"/>
                <w:szCs w:val="24"/>
                <w:u w:val="none"/>
                <w14:textFill>
                  <w14:solidFill>
                    <w14:schemeClr w14:val="tx1"/>
                  </w14:solidFill>
                </w14:textFill>
              </w:rPr>
            </w:pPr>
            <w:r>
              <w:rPr>
                <w:rFonts w:hint="default" w:ascii="宋体" w:hAnsi="宋体" w:eastAsia="宋体" w:cs="宋体"/>
                <w:i w:val="0"/>
                <w:iCs w:val="0"/>
                <w:color w:val="000000" w:themeColor="text1"/>
                <w:sz w:val="24"/>
                <w:szCs w:val="24"/>
                <w:u w:val="none"/>
                <w14:textFill>
                  <w14:solidFill>
                    <w14:schemeClr w14:val="tx1"/>
                  </w14:solidFill>
                </w14:textFill>
              </w:rPr>
              <w:t>23</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left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对数据管理、模型开发和训练提供文件存储分配和管理能力。对智能算力相关的多区域多类型存储资源构建存储集群进行统一管理，结合业务需求可构建管理多个存储集群。支持ARM/X86架构的资源、BC-Linux/Ubuntu/CentOS等系统的资源纳管到存储集群。支持文件存储、对象存储和块存储的资源的分配和管理。按照业务需求管理分配存储空间对文件存储、对象存储和块存储的资源进行分配和管理。</w:t>
            </w:r>
          </w:p>
        </w:tc>
      </w:tr>
      <w:tr>
        <w:trPr>
          <w:trHeight w:val="864" w:hRule="atLeast"/>
        </w:trPr>
        <w:tc>
          <w:tcPr>
            <w:tcW w:w="409"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pP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宋体" w:hAnsi="宋体" w:eastAsia="宋体" w:cs="宋体"/>
                <w:i w:val="0"/>
                <w:iCs w:val="0"/>
                <w:color w:val="000000" w:themeColor="text1"/>
                <w:kern w:val="0"/>
                <w:sz w:val="24"/>
                <w:szCs w:val="24"/>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△AI任务支持任务队列功能，AI任务自动进入任务队列进行排队，待有算力资源释放时可自动执行任务。</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sz w:val="24"/>
                <w:szCs w:val="24"/>
                <w:u w:val="none"/>
                <w14:textFill>
                  <w14:solidFill>
                    <w14:schemeClr w14:val="tx1"/>
                  </w14:solidFill>
                </w14:textFill>
              </w:rPr>
            </w:pPr>
            <w:r>
              <w:rPr>
                <w:rFonts w:hint="default" w:ascii="宋体" w:hAnsi="宋体" w:eastAsia="宋体" w:cs="宋体"/>
                <w:i w:val="0"/>
                <w:iCs w:val="0"/>
                <w:color w:val="000000" w:themeColor="text1"/>
                <w:sz w:val="24"/>
                <w:szCs w:val="24"/>
                <w:u w:val="none"/>
                <w14:textFill>
                  <w14:solidFill>
                    <w14:schemeClr w14:val="tx1"/>
                  </w14:solidFill>
                </w14:textFill>
              </w:rPr>
              <w:t>24</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统一运营管理</w:t>
            </w: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培训认证：支持各类上架产品导入产品介绍、案例、课程等培训材料。</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sz w:val="24"/>
                <w:szCs w:val="24"/>
                <w:u w:val="none"/>
                <w14:textFill>
                  <w14:solidFill>
                    <w14:schemeClr w14:val="tx1"/>
                  </w14:solidFill>
                </w14:textFill>
              </w:rPr>
            </w:pPr>
            <w:r>
              <w:rPr>
                <w:rFonts w:hint="default" w:ascii="宋体" w:hAnsi="宋体" w:eastAsia="宋体" w:cs="宋体"/>
                <w:i w:val="0"/>
                <w:iCs w:val="0"/>
                <w:color w:val="000000" w:themeColor="text1"/>
                <w:sz w:val="24"/>
                <w:szCs w:val="24"/>
                <w:u w:val="none"/>
                <w14:textFill>
                  <w14:solidFill>
                    <w14:schemeClr w14:val="tx1"/>
                  </w14:solidFill>
                </w14:textFill>
              </w:rPr>
              <w:t>25</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合作伙伴管理：至少包含伙伴入驻、伙伴分成、伙伴服务及伙伴考核等模块。</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sz w:val="24"/>
                <w:szCs w:val="24"/>
                <w:u w:val="none"/>
                <w14:textFill>
                  <w14:solidFill>
                    <w14:schemeClr w14:val="tx1"/>
                  </w14:solidFill>
                </w14:textFill>
              </w:rPr>
            </w:pPr>
            <w:r>
              <w:rPr>
                <w:rFonts w:hint="default" w:ascii="宋体" w:hAnsi="宋体" w:eastAsia="宋体" w:cs="宋体"/>
                <w:i w:val="0"/>
                <w:iCs w:val="0"/>
                <w:color w:val="000000" w:themeColor="text1"/>
                <w:sz w:val="24"/>
                <w:szCs w:val="24"/>
                <w:u w:val="none"/>
                <w14:textFill>
                  <w14:solidFill>
                    <w14:schemeClr w14:val="tx1"/>
                  </w14:solidFill>
                </w14:textFill>
              </w:rPr>
              <w:t>26</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计费计量管理：支持按照token（词元）、次数对应用服务的调用情况进行统计，支持按量、按次、包月包年进行计费。</w:t>
            </w:r>
          </w:p>
        </w:tc>
      </w:tr>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themeColor="text1"/>
                <w:sz w:val="24"/>
                <w:szCs w:val="24"/>
                <w:u w:val="none"/>
                <w14:textFill>
                  <w14:solidFill>
                    <w14:schemeClr w14:val="tx1"/>
                  </w14:solidFill>
                </w14:textFill>
              </w:rPr>
            </w:pPr>
            <w:r>
              <w:rPr>
                <w:rFonts w:hint="default" w:ascii="宋体" w:hAnsi="宋体" w:eastAsia="宋体" w:cs="宋体"/>
                <w:i w:val="0"/>
                <w:iCs w:val="0"/>
                <w:color w:val="000000" w:themeColor="text1"/>
                <w:sz w:val="24"/>
                <w:szCs w:val="24"/>
                <w:u w:val="none"/>
                <w14:textFill>
                  <w14:solidFill>
                    <w14:schemeClr w14:val="tx1"/>
                  </w14:solidFill>
                </w14:textFill>
              </w:rPr>
              <w:t>27</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361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生态伙伴和能力管理：支持接入单位数量＞1000家。</w:t>
            </w:r>
          </w:p>
        </w:tc>
      </w:tr>
    </w:tbl>
    <w:p>
      <w:pPr>
        <w:ind w:left="630"/>
        <w:outlineLvl w:val="2"/>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default" w:ascii="仿宋_GB2312" w:hAnsi="仿宋_GB2312" w:eastAsia="仿宋_GB2312" w:cs="仿宋_GB2312"/>
          <w:b/>
          <w:bCs/>
          <w:color w:val="000000" w:themeColor="text1"/>
          <w:sz w:val="28"/>
          <w:szCs w:val="28"/>
          <w:lang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认证和功能检测</w:t>
      </w:r>
    </w:p>
    <w:tbl>
      <w:tblPr>
        <w:tblStyle w:val="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97"/>
        <w:gridCol w:w="852"/>
        <w:gridCol w:w="831"/>
        <w:gridCol w:w="6139"/>
      </w:tblGrid>
      <w:tr>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序号</w:t>
            </w:r>
          </w:p>
        </w:tc>
        <w:tc>
          <w:tcPr>
            <w:tcW w:w="5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一级指标</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二级指标</w:t>
            </w:r>
          </w:p>
        </w:tc>
        <w:tc>
          <w:tcPr>
            <w:tcW w:w="36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指标明细</w:t>
            </w:r>
          </w:p>
        </w:tc>
      </w:tr>
      <w:tr>
        <w:trPr>
          <w:trHeight w:val="864"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1</w:t>
            </w:r>
          </w:p>
        </w:tc>
        <w:tc>
          <w:tcPr>
            <w:tcW w:w="50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认证和功能检测</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低代码智能体平台</w:t>
            </w:r>
          </w:p>
        </w:tc>
        <w:tc>
          <w:tcPr>
            <w:tcW w:w="36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提供基于低代码技术的智能体开发平台及MaaS（模型即服务）平台的完整技术标准文档。技术标准应涵盖平台架构、功能模块、接口规范、认证机制、性能指标等内容，明确平台在可视化开发、智能体编排、模型管理、API服务、安全控制等方面的技术要求，确保平台功能完备、技术先进、符合行业规范，并满足本项目实际业务需求。</w:t>
            </w:r>
          </w:p>
        </w:tc>
      </w:tr>
      <w:tr>
        <w:trPr>
          <w:trHeight w:val="1152"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2</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低代码Maas平台</w:t>
            </w:r>
          </w:p>
        </w:tc>
        <w:tc>
          <w:tcPr>
            <w:tcW w:w="36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所采用的Maas（模型即服务）对应的微服务架构设计标准，明确平台在高可用性、可扩展性、安全性方面的技术规范。平台应采用松耦合、可独立部署的微服务架构，支持服务注册与发现、负载均衡、容错与熔断机制；功能端须具备99.5%以上的系统可用性保障能力，模型端需提供任务队列执行保障机制；支持水平扩展以应对业务增长；具备完善的身份认证、访问控制、数据加密与安全审计机制；同时须支持基于Kubernetes等主流技术的容器化部署，提供完整的CI/CD（持续集成/持续交付或持续部署）集成方案，确保平台稳定、安全、可持续演进。</w:t>
            </w:r>
          </w:p>
        </w:tc>
      </w:tr>
    </w:tbl>
    <w:p>
      <w:pPr>
        <w:ind w:firstLine="602" w:firstLineChars="200"/>
        <w:outlineLvl w:val="1"/>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30"/>
          <w:szCs w:val="30"/>
          <w:highlight w:val="none"/>
          <w:lang w:val="en-US" w:eastAsia="zh-CN"/>
          <w14:textFill>
            <w14:solidFill>
              <w14:schemeClr w14:val="tx1"/>
            </w14:solidFill>
          </w14:textFill>
        </w:rPr>
        <w:t>2</w:t>
      </w:r>
      <w:r>
        <w:rPr>
          <w:rFonts w:hint="default" w:ascii="仿宋_GB2312" w:hAnsi="仿宋_GB2312" w:eastAsia="仿宋_GB2312" w:cs="仿宋_GB2312"/>
          <w:b/>
          <w:bCs/>
          <w:color w:val="000000" w:themeColor="text1"/>
          <w:sz w:val="30"/>
          <w:szCs w:val="30"/>
          <w:highlight w:val="none"/>
          <w:lang w:eastAsia="zh-Hans"/>
          <w14:textFill>
            <w14:solidFill>
              <w14:schemeClr w14:val="tx1"/>
            </w14:solidFill>
          </w14:textFill>
        </w:rPr>
        <w:t>.</w:t>
      </w:r>
      <w:r>
        <w:rPr>
          <w:rFonts w:hint="eastAsia" w:ascii="仿宋_GB2312" w:hAnsi="仿宋_GB2312" w:eastAsia="仿宋_GB2312" w:cs="仿宋_GB2312"/>
          <w:b/>
          <w:bCs/>
          <w:color w:val="000000" w:themeColor="text1"/>
          <w:sz w:val="30"/>
          <w:szCs w:val="30"/>
          <w:highlight w:val="none"/>
          <w:lang w:val="en-US" w:eastAsia="zh-Hans"/>
          <w14:textFill>
            <w14:solidFill>
              <w14:schemeClr w14:val="tx1"/>
            </w14:solidFill>
          </w14:textFill>
        </w:rPr>
        <w:t>基础设施租赁</w:t>
      </w:r>
    </w:p>
    <w:p>
      <w:pPr>
        <w:ind w:left="630"/>
        <w:outlineLvl w:val="2"/>
        <w:rPr>
          <w:rFonts w:hint="default" w:ascii="仿宋_GB2312" w:hAnsi="仿宋_GB2312" w:eastAsia="仿宋_GB2312" w:cs="仿宋_GB2312"/>
          <w:b/>
          <w:bCs/>
          <w:color w:val="000000" w:themeColor="text1"/>
          <w:sz w:val="28"/>
          <w:szCs w:val="28"/>
          <w:lang w:val="en-US" w:eastAsia="zh-Hans"/>
          <w14:textFill>
            <w14:solidFill>
              <w14:schemeClr w14:val="tx1"/>
            </w14:solidFill>
          </w14:textFill>
        </w:rPr>
      </w:pPr>
      <w:bookmarkStart w:id="0" w:name="_GoBack"/>
      <w:r>
        <w:rPr>
          <w:rFonts w:hint="default" w:ascii="仿宋_GB2312" w:hAnsi="仿宋_GB2312" w:eastAsia="仿宋_GB2312" w:cs="仿宋_GB2312"/>
          <w:b/>
          <w:bCs/>
          <w:color w:val="000000" w:themeColor="text1"/>
          <w:sz w:val="28"/>
          <w:szCs w:val="28"/>
          <w:lang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lang w:val="en-US" w:eastAsia="zh-Hans"/>
          <w14:textFill>
            <w14:solidFill>
              <w14:schemeClr w14:val="tx1"/>
            </w14:solidFill>
          </w14:textFill>
        </w:rPr>
        <w:t>.</w:t>
      </w:r>
      <w:r>
        <w:rPr>
          <w:rFonts w:hint="default" w:ascii="仿宋_GB2312" w:hAnsi="仿宋_GB2312" w:eastAsia="仿宋_GB2312" w:cs="仿宋_GB2312"/>
          <w:b/>
          <w:bCs/>
          <w:color w:val="000000" w:themeColor="text1"/>
          <w:sz w:val="28"/>
          <w:szCs w:val="28"/>
          <w:lang w:eastAsia="zh-Hans"/>
          <w14:textFill>
            <w14:solidFill>
              <w14:schemeClr w14:val="tx1"/>
            </w14:solidFill>
          </w14:textFill>
        </w:rPr>
        <w:t xml:space="preserve">1 </w:t>
      </w:r>
      <w:r>
        <w:rPr>
          <w:rFonts w:hint="eastAsia" w:ascii="仿宋_GB2312" w:hAnsi="仿宋_GB2312" w:eastAsia="仿宋_GB2312" w:cs="仿宋_GB2312"/>
          <w:b/>
          <w:bCs/>
          <w:color w:val="000000" w:themeColor="text1"/>
          <w:sz w:val="28"/>
          <w:szCs w:val="28"/>
          <w:lang w:val="en-US" w:eastAsia="zh-Hans"/>
          <w14:textFill>
            <w14:solidFill>
              <w14:schemeClr w14:val="tx1"/>
            </w14:solidFill>
          </w14:textFill>
        </w:rPr>
        <w:t>算力服务器租赁</w:t>
      </w:r>
    </w:p>
    <w:bookmarkEnd w:id="0"/>
    <w:p>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textAlignment w:val="auto"/>
        <w:rPr>
          <w:rFonts w:hint="eastAsia" w:ascii="仿宋_GB2312" w:hAnsi="仿宋_GB2312" w:eastAsia="仿宋_GB2312" w:cs="仿宋_GB2312"/>
          <w:color w:val="000000" w:themeColor="text1"/>
          <w:kern w:val="0"/>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kern w:val="0"/>
          <w:sz w:val="28"/>
          <w:szCs w:val="28"/>
          <w:lang w:val="en-US" w:eastAsia="zh-CN"/>
          <w14:textFill>
            <w14:solidFill>
              <w14:schemeClr w14:val="tx1"/>
            </w14:solidFill>
          </w14:textFill>
        </w:rPr>
        <w:t>租赁智算算力服务器4台，单台智算服务器配置如下：</w:t>
      </w:r>
    </w:p>
    <w:tbl>
      <w:tblPr>
        <w:tblStyle w:val="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97"/>
        <w:gridCol w:w="852"/>
        <w:gridCol w:w="846"/>
        <w:gridCol w:w="61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序号</w:t>
            </w:r>
          </w:p>
        </w:tc>
        <w:tc>
          <w:tcPr>
            <w:tcW w:w="5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一级指标</w:t>
            </w:r>
          </w:p>
        </w:tc>
        <w:tc>
          <w:tcPr>
            <w:tcW w:w="4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二级指标</w:t>
            </w:r>
          </w:p>
        </w:tc>
        <w:tc>
          <w:tcPr>
            <w:tcW w:w="35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指标明细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1</w:t>
            </w:r>
          </w:p>
        </w:tc>
        <w:tc>
          <w:tcPr>
            <w:tcW w:w="50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算力资源租赁</w:t>
            </w:r>
          </w:p>
        </w:tc>
        <w:tc>
          <w:tcPr>
            <w:tcW w:w="4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CPU配置</w:t>
            </w:r>
          </w:p>
        </w:tc>
        <w:tc>
          <w:tcPr>
            <w:tcW w:w="35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单台配置4颗国产处理器，单颗处理器核心数不低于48核，单颗处理器主频不低于2.6GHz</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2</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GPU/NPU配置</w:t>
            </w:r>
          </w:p>
        </w:tc>
        <w:tc>
          <w:tcPr>
            <w:tcW w:w="35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单台配置8张国产化高端算力卡，单卡显存不低于64GB，单卡算力不低于375 TFLOPS（FP16），支持国产深度学习加速框架，满足深度学习训练与推理需求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3</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内存配置</w:t>
            </w:r>
          </w:p>
        </w:tc>
        <w:tc>
          <w:tcPr>
            <w:tcW w:w="35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单台配置不低于2048GB DDR4内存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4</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硬盘配置</w:t>
            </w:r>
          </w:p>
        </w:tc>
        <w:tc>
          <w:tcPr>
            <w:tcW w:w="35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单台配置2块480GB SSD系统盘及2块3.84TB NVMe数据盘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5</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网卡配置</w:t>
            </w:r>
          </w:p>
        </w:tc>
        <w:tc>
          <w:tcPr>
            <w:tcW w:w="35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单台配置2*10GE+2*25GE+8*200GE RoCE v2+2*25GE RoCE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6</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操作系统</w:t>
            </w:r>
          </w:p>
        </w:tc>
        <w:tc>
          <w:tcPr>
            <w:tcW w:w="35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采用欧拉或基于open欧拉Linux或其它国产操作系统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7</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网络要求</w:t>
            </w:r>
          </w:p>
        </w:tc>
        <w:tc>
          <w:tcPr>
            <w:tcW w:w="35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计算节点之间通过 8*200GE构建RDMA计算网络，计算节点与存储采用2*25GE及以上构建存储网络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8</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兼容性</w:t>
            </w:r>
          </w:p>
        </w:tc>
        <w:tc>
          <w:tcPr>
            <w:tcW w:w="35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适配pytorch、tensorflow、PaddlePaddle、Mindspore等常见或国产深度学习框架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9</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△服务能力</w:t>
            </w:r>
          </w:p>
        </w:tc>
        <w:tc>
          <w:tcPr>
            <w:tcW w:w="35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提供远程WebShell登录、VNC登录、紧急登录等多种登录管理方式，提供功能截图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10</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△服务能力</w:t>
            </w:r>
          </w:p>
        </w:tc>
        <w:tc>
          <w:tcPr>
            <w:tcW w:w="35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支持对裸金属服务器的操作日志进行记录，如创建、重启、开机、关机、重装、挂载/卸载云盘等操作，提供功能截图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11</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△服务能力</w:t>
            </w:r>
          </w:p>
        </w:tc>
        <w:tc>
          <w:tcPr>
            <w:tcW w:w="35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支持回收站功能，退订裸金属服务器时可选择加入回收站，对于加入回收站的裸金属服务器，可选择彻底清退或恢复，提供功能截图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12</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△服务能力</w:t>
            </w:r>
          </w:p>
        </w:tc>
        <w:tc>
          <w:tcPr>
            <w:tcW w:w="35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支持弹性网卡功能，裸金属服务器支持绑定和卸载网卡，通过解绑/绑定网卡操作实现私网IP的切换，提供功能截图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13</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△服务能力</w:t>
            </w:r>
          </w:p>
        </w:tc>
        <w:tc>
          <w:tcPr>
            <w:tcW w:w="35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支持自助诊断功能，可以对裸金属服务器性能、实例状态、无法远程访问、操作卡顿等问题进行自助诊断，提供功能截图</w:t>
            </w:r>
          </w:p>
        </w:tc>
      </w:tr>
    </w:tbl>
    <w:p>
      <w:pPr>
        <w:ind w:left="630"/>
        <w:outlineLvl w:val="2"/>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default" w:ascii="仿宋_GB2312" w:hAnsi="仿宋_GB2312" w:eastAsia="仿宋_GB2312" w:cs="仿宋_GB2312"/>
          <w:b/>
          <w:bCs/>
          <w:color w:val="000000" w:themeColor="text1"/>
          <w:sz w:val="28"/>
          <w:szCs w:val="28"/>
          <w:lang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专线租赁</w:t>
      </w:r>
    </w:p>
    <w:tbl>
      <w:tblPr>
        <w:tblStyle w:val="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97"/>
        <w:gridCol w:w="852"/>
        <w:gridCol w:w="842"/>
        <w:gridCol w:w="61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序号</w:t>
            </w:r>
          </w:p>
        </w:tc>
        <w:tc>
          <w:tcPr>
            <w:tcW w:w="50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一级指标</w:t>
            </w:r>
          </w:p>
        </w:tc>
        <w:tc>
          <w:tcPr>
            <w:tcW w:w="4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二级指标</w:t>
            </w:r>
          </w:p>
        </w:tc>
        <w:tc>
          <w:tcPr>
            <w:tcW w:w="35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themeColor="text1"/>
                <w:sz w:val="24"/>
                <w:szCs w:val="24"/>
                <w:u w:val="none"/>
                <w14:textFill>
                  <w14:solidFill>
                    <w14:schemeClr w14:val="tx1"/>
                  </w14:solidFill>
                </w14:textFill>
              </w:rPr>
            </w:pPr>
            <w:r>
              <w:rPr>
                <w:rFonts w:hint="eastAsia" w:ascii="宋体" w:hAnsi="宋体" w:eastAsia="宋体" w:cs="宋体"/>
                <w:b/>
                <w:bCs/>
                <w:i w:val="0"/>
                <w:iCs w:val="0"/>
                <w:color w:val="000000" w:themeColor="text1"/>
                <w:kern w:val="0"/>
                <w:sz w:val="24"/>
                <w:szCs w:val="24"/>
                <w:u w:val="none"/>
                <w:lang w:val="en-US" w:eastAsia="zh-CN" w:bidi="ar"/>
                <w14:textFill>
                  <w14:solidFill>
                    <w14:schemeClr w14:val="tx1"/>
                  </w14:solidFill>
                </w14:textFill>
              </w:rPr>
              <w:t>指标明细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1</w:t>
            </w:r>
          </w:p>
        </w:tc>
        <w:tc>
          <w:tcPr>
            <w:tcW w:w="50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专线租赁</w:t>
            </w:r>
          </w:p>
        </w:tc>
        <w:tc>
          <w:tcPr>
            <w:tcW w:w="4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带宽要求</w:t>
            </w:r>
          </w:p>
        </w:tc>
        <w:tc>
          <w:tcPr>
            <w:tcW w:w="35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△提供1000Mbps云专线1条；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2</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安全要求</w:t>
            </w:r>
          </w:p>
        </w:tc>
        <w:tc>
          <w:tcPr>
            <w:tcW w:w="35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通过云专线实现端到端私网通信，与公网隔离；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8" w:hRule="atLeast"/>
        </w:trPr>
        <w:tc>
          <w:tcPr>
            <w:tcW w:w="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3</w:t>
            </w:r>
          </w:p>
        </w:tc>
        <w:tc>
          <w:tcPr>
            <w:tcW w:w="50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themeColor="text1"/>
                <w:sz w:val="24"/>
                <w:szCs w:val="24"/>
                <w:u w:val="none"/>
                <w14:textFill>
                  <w14:solidFill>
                    <w14:schemeClr w14:val="tx1"/>
                  </w14:solidFill>
                </w14:textFill>
              </w:rPr>
            </w:pPr>
          </w:p>
        </w:tc>
        <w:tc>
          <w:tcPr>
            <w:tcW w:w="49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灵活性要求</w:t>
            </w:r>
          </w:p>
        </w:tc>
        <w:tc>
          <w:tcPr>
            <w:tcW w:w="35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4"/>
                <w:szCs w:val="24"/>
                <w:u w:val="none"/>
                <w14:textFill>
                  <w14:solidFill>
                    <w14:schemeClr w14:val="tx1"/>
                  </w14:solidFill>
                </w14:textFill>
              </w:rPr>
            </w:pPr>
            <w:r>
              <w:rPr>
                <w:rFonts w:hint="eastAsia" w:ascii="宋体" w:hAnsi="宋体" w:eastAsia="宋体" w:cs="宋体"/>
                <w:i w:val="0"/>
                <w:iCs w:val="0"/>
                <w:color w:val="000000" w:themeColor="text1"/>
                <w:kern w:val="0"/>
                <w:sz w:val="24"/>
                <w:szCs w:val="24"/>
                <w:u w:val="none"/>
                <w:lang w:val="en-US" w:eastAsia="zh-CN" w:bidi="ar"/>
                <w14:textFill>
                  <w14:solidFill>
                    <w14:schemeClr w14:val="tx1"/>
                  </w14:solidFill>
                </w14:textFill>
              </w:rPr>
              <w:t>支持在产品控制台发起带宽变更、用户子网变更、VPC子网变更、用户接入地址变更等。</w:t>
            </w:r>
          </w:p>
        </w:tc>
      </w:tr>
    </w:tbl>
    <w:p>
      <w:pPr>
        <w:rPr>
          <w:rFonts w:hint="eastAsia" w:ascii="仿宋_GB2312" w:hAnsi="宋体" w:eastAsia="仿宋_GB2312" w:cs="仿宋_GB2312"/>
          <w:color w:val="000000" w:themeColor="text1"/>
          <w:kern w:val="0"/>
          <w:sz w:val="22"/>
          <w:lang w:bidi="ar"/>
          <w14:textFill>
            <w14:solidFill>
              <w14:schemeClr w14:val="tx1"/>
            </w14:solidFill>
          </w14:textFill>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00000000" w:usb1="00000000" w:usb2="00000000" w:usb3="00000000" w:csb0="00000000" w:csb1="00000000"/>
    <w:embedRegular r:id="rId1" w:fontKey="{D5E090AF-C7ED-B286-F879-EF68ED5347A6}"/>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仿宋_GB2312">
    <w:panose1 w:val="02010609030101010101"/>
    <w:charset w:val="86"/>
    <w:family w:val="modern"/>
    <w:pitch w:val="default"/>
    <w:sig w:usb0="00000000" w:usb1="00000000" w:usb2="00000000" w:usb3="00000000" w:csb0="0006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方正小标宋简体">
    <w:panose1 w:val="02000000000000000000"/>
    <w:charset w:val="86"/>
    <w:family w:val="auto"/>
    <w:pitch w:val="default"/>
    <w:sig w:usb0="00000000" w:usb1="00000000" w:usb2="00000000" w:usb3="00000000" w:csb0="00040000" w:csb1="00000000"/>
    <w:embedRegular r:id="rId2" w:fontKey="{37441B22-414D-234C-F879-EF68C0460DC0}"/>
  </w:font>
  <w:font w:name="Arial Unicode MS">
    <w:panose1 w:val="020B0604020202020204"/>
    <w:charset w:val="86"/>
    <w:family w:val="swiss"/>
    <w:pitch w:val="default"/>
    <w:sig w:usb0="00000000" w:usb1="00000000" w:usb2="00000000" w:usb3="00000000" w:csb0="003E0000" w:csb1="00000000"/>
  </w:font>
  <w:font w:name="宋体-简">
    <w:panose1 w:val="0201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9" w:lineRule="auto"/>
      <w:ind w:left="4152"/>
      <w:rPr>
        <w:rFonts w:ascii="Times New Roman" w:hAnsi="Times New Roman" w:eastAsia="Times New Roman" w:cs="Times New Roman"/>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25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M1w58KgIAAFU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gizZlnY6p3lEToq5u3qGCBgp2sUpVdi0ArT1nVmeBlxnP/cd1GPf4P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LNJWO7QAAAABQEAAA8AAAAAAAAAAQAgAAAAOAAAAGRycy9kb3du&#10;cmV2LnhtbFBLAQIUABQAAAAIAIdO4kCM1w58KgIAAFUEAAAOAAAAAAAAAAEAIAAAADUBAABkcnMv&#10;ZTJvRG9jLnhtbFBLBQYAAAAABgAGAFkBAADR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25</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D828F9"/>
    <w:multiLevelType w:val="multilevel"/>
    <w:tmpl w:val="44D828F9"/>
    <w:lvl w:ilvl="0" w:tentative="0">
      <w:start w:val="1"/>
      <w:numFmt w:val="decimal"/>
      <w:pStyle w:val="2"/>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宋体" w:hAnsi="宋体" w:eastAsia="宋体" w:cs="宋体"/>
      </w:rPr>
    </w:lvl>
    <w:lvl w:ilvl="2" w:tentative="0">
      <w:start w:val="1"/>
      <w:numFmt w:val="decimal"/>
      <w:isLg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saveSubsetFonts/>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zOWQwYmJhZjZhZjg4Y2RjYjQzNzE2M2Q3Njk2OTUifQ=="/>
  </w:docVars>
  <w:rsids>
    <w:rsidRoot w:val="00513B78"/>
    <w:rsid w:val="000849A1"/>
    <w:rsid w:val="00091345"/>
    <w:rsid w:val="00107B54"/>
    <w:rsid w:val="003E46CE"/>
    <w:rsid w:val="00513B78"/>
    <w:rsid w:val="00605763"/>
    <w:rsid w:val="00642364"/>
    <w:rsid w:val="00680929"/>
    <w:rsid w:val="006E0A74"/>
    <w:rsid w:val="006E0A9B"/>
    <w:rsid w:val="009A682E"/>
    <w:rsid w:val="009F4C1B"/>
    <w:rsid w:val="00AD4FD7"/>
    <w:rsid w:val="00DD22B1"/>
    <w:rsid w:val="00DE3995"/>
    <w:rsid w:val="00E346A0"/>
    <w:rsid w:val="00E70683"/>
    <w:rsid w:val="01101675"/>
    <w:rsid w:val="01324A96"/>
    <w:rsid w:val="014A4B87"/>
    <w:rsid w:val="01AE6844"/>
    <w:rsid w:val="01C25065"/>
    <w:rsid w:val="01D27159"/>
    <w:rsid w:val="01D46B46"/>
    <w:rsid w:val="01FE7B94"/>
    <w:rsid w:val="026176B4"/>
    <w:rsid w:val="026519E0"/>
    <w:rsid w:val="02BC6D07"/>
    <w:rsid w:val="02C46BBB"/>
    <w:rsid w:val="02E80306"/>
    <w:rsid w:val="031F3DF1"/>
    <w:rsid w:val="03205937"/>
    <w:rsid w:val="037203C5"/>
    <w:rsid w:val="038D16A3"/>
    <w:rsid w:val="03E84FE9"/>
    <w:rsid w:val="04646278"/>
    <w:rsid w:val="04A03444"/>
    <w:rsid w:val="05094D59"/>
    <w:rsid w:val="05241B93"/>
    <w:rsid w:val="05263B5D"/>
    <w:rsid w:val="058D0806"/>
    <w:rsid w:val="05B11693"/>
    <w:rsid w:val="06272C49"/>
    <w:rsid w:val="0644186E"/>
    <w:rsid w:val="064A5629"/>
    <w:rsid w:val="064E5CF8"/>
    <w:rsid w:val="068C3E93"/>
    <w:rsid w:val="068D43A1"/>
    <w:rsid w:val="06C62F02"/>
    <w:rsid w:val="06FF13BC"/>
    <w:rsid w:val="071C046D"/>
    <w:rsid w:val="07F82BE5"/>
    <w:rsid w:val="080E48E0"/>
    <w:rsid w:val="080F6B2A"/>
    <w:rsid w:val="08A47272"/>
    <w:rsid w:val="08E95A42"/>
    <w:rsid w:val="08F55D20"/>
    <w:rsid w:val="093305F6"/>
    <w:rsid w:val="097053A7"/>
    <w:rsid w:val="097C0003"/>
    <w:rsid w:val="09A068C1"/>
    <w:rsid w:val="09C23374"/>
    <w:rsid w:val="09D75426"/>
    <w:rsid w:val="0A79472F"/>
    <w:rsid w:val="0A7964DD"/>
    <w:rsid w:val="0A9D666F"/>
    <w:rsid w:val="0AD55E09"/>
    <w:rsid w:val="0AEB7501"/>
    <w:rsid w:val="0B270934"/>
    <w:rsid w:val="0B2E376B"/>
    <w:rsid w:val="0B7074B7"/>
    <w:rsid w:val="0B9E08E2"/>
    <w:rsid w:val="0BBA4FFF"/>
    <w:rsid w:val="0BC419DA"/>
    <w:rsid w:val="0BD55995"/>
    <w:rsid w:val="0BFA364D"/>
    <w:rsid w:val="0C022D96"/>
    <w:rsid w:val="0C450D6C"/>
    <w:rsid w:val="0CB952B6"/>
    <w:rsid w:val="0CBD4DA7"/>
    <w:rsid w:val="0CD936D8"/>
    <w:rsid w:val="0CFD2DEB"/>
    <w:rsid w:val="0D6B52E8"/>
    <w:rsid w:val="0DA9311B"/>
    <w:rsid w:val="0E4D5CB6"/>
    <w:rsid w:val="0E5C1B5B"/>
    <w:rsid w:val="0E6564A3"/>
    <w:rsid w:val="0E8C4A31"/>
    <w:rsid w:val="0EAE57E0"/>
    <w:rsid w:val="0EB61AAE"/>
    <w:rsid w:val="0EB65CA2"/>
    <w:rsid w:val="0EB65F51"/>
    <w:rsid w:val="0EC817E1"/>
    <w:rsid w:val="0EE41F7F"/>
    <w:rsid w:val="0F426F80"/>
    <w:rsid w:val="0F9067A2"/>
    <w:rsid w:val="0F9977AB"/>
    <w:rsid w:val="0FB122AC"/>
    <w:rsid w:val="0FF9A2D0"/>
    <w:rsid w:val="0FFF63E0"/>
    <w:rsid w:val="102E1B18"/>
    <w:rsid w:val="104F2039"/>
    <w:rsid w:val="1065378B"/>
    <w:rsid w:val="10C347AE"/>
    <w:rsid w:val="10CD233A"/>
    <w:rsid w:val="10FE773C"/>
    <w:rsid w:val="11245848"/>
    <w:rsid w:val="112E1DCF"/>
    <w:rsid w:val="114809B7"/>
    <w:rsid w:val="117479FE"/>
    <w:rsid w:val="119D06BE"/>
    <w:rsid w:val="11ED6B1F"/>
    <w:rsid w:val="11F70F68"/>
    <w:rsid w:val="127B54E8"/>
    <w:rsid w:val="12CD1ABC"/>
    <w:rsid w:val="12D544CC"/>
    <w:rsid w:val="1367781A"/>
    <w:rsid w:val="140625B8"/>
    <w:rsid w:val="14302302"/>
    <w:rsid w:val="145B75D5"/>
    <w:rsid w:val="14D50784"/>
    <w:rsid w:val="15104696"/>
    <w:rsid w:val="15227E9D"/>
    <w:rsid w:val="15453B8B"/>
    <w:rsid w:val="15593DCE"/>
    <w:rsid w:val="158E4A3E"/>
    <w:rsid w:val="15E76076"/>
    <w:rsid w:val="163559AE"/>
    <w:rsid w:val="16610551"/>
    <w:rsid w:val="16730284"/>
    <w:rsid w:val="16BE59A3"/>
    <w:rsid w:val="172B533A"/>
    <w:rsid w:val="17793FC0"/>
    <w:rsid w:val="179C417B"/>
    <w:rsid w:val="179E57D5"/>
    <w:rsid w:val="17E506FE"/>
    <w:rsid w:val="183B1275"/>
    <w:rsid w:val="184A7364"/>
    <w:rsid w:val="186D58D3"/>
    <w:rsid w:val="189866C8"/>
    <w:rsid w:val="18AC51CC"/>
    <w:rsid w:val="192817FA"/>
    <w:rsid w:val="193A7B25"/>
    <w:rsid w:val="19996254"/>
    <w:rsid w:val="19A52E4A"/>
    <w:rsid w:val="19B60BB4"/>
    <w:rsid w:val="19B60FB5"/>
    <w:rsid w:val="19F45B80"/>
    <w:rsid w:val="1A1D2C1E"/>
    <w:rsid w:val="1A3B555D"/>
    <w:rsid w:val="1A3D3083"/>
    <w:rsid w:val="1A497C7A"/>
    <w:rsid w:val="1AFA71C6"/>
    <w:rsid w:val="1B6050F1"/>
    <w:rsid w:val="1B610FF3"/>
    <w:rsid w:val="1B640851"/>
    <w:rsid w:val="1B866CAC"/>
    <w:rsid w:val="1B87029B"/>
    <w:rsid w:val="1B9A074B"/>
    <w:rsid w:val="1BBE1FA1"/>
    <w:rsid w:val="1BDA7737"/>
    <w:rsid w:val="1C262935"/>
    <w:rsid w:val="1C4C3A51"/>
    <w:rsid w:val="1C56042C"/>
    <w:rsid w:val="1CA72BFD"/>
    <w:rsid w:val="1CB6711D"/>
    <w:rsid w:val="1CBE66B6"/>
    <w:rsid w:val="1CC730D8"/>
    <w:rsid w:val="1D0432AA"/>
    <w:rsid w:val="1D0B7468"/>
    <w:rsid w:val="1D104A7F"/>
    <w:rsid w:val="1D1502E7"/>
    <w:rsid w:val="1D37200B"/>
    <w:rsid w:val="1D743260"/>
    <w:rsid w:val="1D7C2114"/>
    <w:rsid w:val="1D880AB9"/>
    <w:rsid w:val="1D8B05A9"/>
    <w:rsid w:val="1D943902"/>
    <w:rsid w:val="1D976F4E"/>
    <w:rsid w:val="1DBC66D4"/>
    <w:rsid w:val="1DFB128B"/>
    <w:rsid w:val="1E0839A8"/>
    <w:rsid w:val="1E14234D"/>
    <w:rsid w:val="1E28404A"/>
    <w:rsid w:val="1E876FC3"/>
    <w:rsid w:val="1E8A260F"/>
    <w:rsid w:val="1EA27958"/>
    <w:rsid w:val="1EC5684A"/>
    <w:rsid w:val="1F0C74C8"/>
    <w:rsid w:val="1F437284"/>
    <w:rsid w:val="1F8808B7"/>
    <w:rsid w:val="1F8B4890"/>
    <w:rsid w:val="1FAB0A8F"/>
    <w:rsid w:val="1FF47FEF"/>
    <w:rsid w:val="1FFE9366"/>
    <w:rsid w:val="202D3B9A"/>
    <w:rsid w:val="205E324D"/>
    <w:rsid w:val="20A0611A"/>
    <w:rsid w:val="20E701EC"/>
    <w:rsid w:val="20F23661"/>
    <w:rsid w:val="21076199"/>
    <w:rsid w:val="21254871"/>
    <w:rsid w:val="215A276C"/>
    <w:rsid w:val="21930E19"/>
    <w:rsid w:val="22205764"/>
    <w:rsid w:val="225546C0"/>
    <w:rsid w:val="226A69DF"/>
    <w:rsid w:val="22770125"/>
    <w:rsid w:val="227930C6"/>
    <w:rsid w:val="22851A6B"/>
    <w:rsid w:val="2292525A"/>
    <w:rsid w:val="232B0864"/>
    <w:rsid w:val="23580F2E"/>
    <w:rsid w:val="23671171"/>
    <w:rsid w:val="23716708"/>
    <w:rsid w:val="239D5D3A"/>
    <w:rsid w:val="23A30A4A"/>
    <w:rsid w:val="24D32F62"/>
    <w:rsid w:val="24DC6388"/>
    <w:rsid w:val="250208BF"/>
    <w:rsid w:val="251B66B7"/>
    <w:rsid w:val="251D41DD"/>
    <w:rsid w:val="25357778"/>
    <w:rsid w:val="258778A8"/>
    <w:rsid w:val="25B05051"/>
    <w:rsid w:val="25BA5ED0"/>
    <w:rsid w:val="25E62821"/>
    <w:rsid w:val="25FD1C98"/>
    <w:rsid w:val="25FD7B6A"/>
    <w:rsid w:val="260333D3"/>
    <w:rsid w:val="263C4B36"/>
    <w:rsid w:val="26BB1EFF"/>
    <w:rsid w:val="26F75575"/>
    <w:rsid w:val="271D6F1D"/>
    <w:rsid w:val="272B74FA"/>
    <w:rsid w:val="274F2647"/>
    <w:rsid w:val="276460F3"/>
    <w:rsid w:val="27A6670B"/>
    <w:rsid w:val="283755B5"/>
    <w:rsid w:val="28A311AE"/>
    <w:rsid w:val="28CB21A2"/>
    <w:rsid w:val="28DC6FCD"/>
    <w:rsid w:val="291256ED"/>
    <w:rsid w:val="291B0145"/>
    <w:rsid w:val="29E0564C"/>
    <w:rsid w:val="2A1E7D7C"/>
    <w:rsid w:val="2A9E7B6E"/>
    <w:rsid w:val="2AA80CAF"/>
    <w:rsid w:val="2AFB1D28"/>
    <w:rsid w:val="2B3C1135"/>
    <w:rsid w:val="2B536BAA"/>
    <w:rsid w:val="2BBF6043"/>
    <w:rsid w:val="2BF33EE9"/>
    <w:rsid w:val="2BF42C11"/>
    <w:rsid w:val="2C22657D"/>
    <w:rsid w:val="2CA64BAF"/>
    <w:rsid w:val="2CB27900"/>
    <w:rsid w:val="2CB566FD"/>
    <w:rsid w:val="2CDE1163"/>
    <w:rsid w:val="2CFA0815"/>
    <w:rsid w:val="2D17253C"/>
    <w:rsid w:val="2D524C40"/>
    <w:rsid w:val="2D5A5F1A"/>
    <w:rsid w:val="2E0E5C64"/>
    <w:rsid w:val="2E3305CD"/>
    <w:rsid w:val="2E47051C"/>
    <w:rsid w:val="2E7D5CEC"/>
    <w:rsid w:val="2EB07E70"/>
    <w:rsid w:val="2EBD03C2"/>
    <w:rsid w:val="2EF12C10"/>
    <w:rsid w:val="2F1139AA"/>
    <w:rsid w:val="2F2B399A"/>
    <w:rsid w:val="2F3565C7"/>
    <w:rsid w:val="2F776BDF"/>
    <w:rsid w:val="2FFE2E5D"/>
    <w:rsid w:val="300A7A53"/>
    <w:rsid w:val="301D32E3"/>
    <w:rsid w:val="307A24E3"/>
    <w:rsid w:val="30B005FB"/>
    <w:rsid w:val="30B05379"/>
    <w:rsid w:val="30BF439A"/>
    <w:rsid w:val="30FC739C"/>
    <w:rsid w:val="310E3859"/>
    <w:rsid w:val="310F526F"/>
    <w:rsid w:val="31102E48"/>
    <w:rsid w:val="31293D65"/>
    <w:rsid w:val="31441B75"/>
    <w:rsid w:val="318178A1"/>
    <w:rsid w:val="3192385D"/>
    <w:rsid w:val="31975A97"/>
    <w:rsid w:val="31A35A6A"/>
    <w:rsid w:val="31BE28A4"/>
    <w:rsid w:val="31CC4FC0"/>
    <w:rsid w:val="31EF6F01"/>
    <w:rsid w:val="32116E77"/>
    <w:rsid w:val="3221751C"/>
    <w:rsid w:val="32335040"/>
    <w:rsid w:val="32670A19"/>
    <w:rsid w:val="32AC6BA0"/>
    <w:rsid w:val="32BF2D77"/>
    <w:rsid w:val="32CB171C"/>
    <w:rsid w:val="33014459"/>
    <w:rsid w:val="33233306"/>
    <w:rsid w:val="33977850"/>
    <w:rsid w:val="344A35D0"/>
    <w:rsid w:val="344A6670"/>
    <w:rsid w:val="344F1ED9"/>
    <w:rsid w:val="349D6ABF"/>
    <w:rsid w:val="34A246FE"/>
    <w:rsid w:val="35045D4D"/>
    <w:rsid w:val="352F4C88"/>
    <w:rsid w:val="354B7492"/>
    <w:rsid w:val="357C6CFE"/>
    <w:rsid w:val="35C3492C"/>
    <w:rsid w:val="35F745D6"/>
    <w:rsid w:val="36370E76"/>
    <w:rsid w:val="365D42C3"/>
    <w:rsid w:val="36617CA1"/>
    <w:rsid w:val="36F86858"/>
    <w:rsid w:val="37272C99"/>
    <w:rsid w:val="37921F90"/>
    <w:rsid w:val="37DD15AA"/>
    <w:rsid w:val="37ED3EE3"/>
    <w:rsid w:val="380B25BB"/>
    <w:rsid w:val="385C4BC4"/>
    <w:rsid w:val="38897ECE"/>
    <w:rsid w:val="389C46FF"/>
    <w:rsid w:val="38B22C42"/>
    <w:rsid w:val="38BD38B5"/>
    <w:rsid w:val="38EF3C8A"/>
    <w:rsid w:val="39317DFF"/>
    <w:rsid w:val="39382341"/>
    <w:rsid w:val="393D0552"/>
    <w:rsid w:val="39754190"/>
    <w:rsid w:val="39916AF0"/>
    <w:rsid w:val="39A845DE"/>
    <w:rsid w:val="3A6B10EF"/>
    <w:rsid w:val="3AA913E6"/>
    <w:rsid w:val="3AAC3BE1"/>
    <w:rsid w:val="3AD528E1"/>
    <w:rsid w:val="3AF15A98"/>
    <w:rsid w:val="3B084B8F"/>
    <w:rsid w:val="3B4402BD"/>
    <w:rsid w:val="3BFAAE7F"/>
    <w:rsid w:val="3C125CC6"/>
    <w:rsid w:val="3C145EE2"/>
    <w:rsid w:val="3C8F7096"/>
    <w:rsid w:val="3CD35ED9"/>
    <w:rsid w:val="3CE33B06"/>
    <w:rsid w:val="3CE358B4"/>
    <w:rsid w:val="3D122796"/>
    <w:rsid w:val="3D793B23"/>
    <w:rsid w:val="3D850719"/>
    <w:rsid w:val="3D9F36B9"/>
    <w:rsid w:val="3DAAEBE9"/>
    <w:rsid w:val="3DB8289D"/>
    <w:rsid w:val="3DC92CFC"/>
    <w:rsid w:val="3E160E69"/>
    <w:rsid w:val="3E357BA4"/>
    <w:rsid w:val="3E374E7B"/>
    <w:rsid w:val="3E42660A"/>
    <w:rsid w:val="3E5B5B15"/>
    <w:rsid w:val="3F1B01E1"/>
    <w:rsid w:val="3F3D8456"/>
    <w:rsid w:val="3F454604"/>
    <w:rsid w:val="3F5F3D8D"/>
    <w:rsid w:val="3F620D9D"/>
    <w:rsid w:val="3F67457A"/>
    <w:rsid w:val="3F6D50BF"/>
    <w:rsid w:val="3F7D3D9E"/>
    <w:rsid w:val="3F7E4B18"/>
    <w:rsid w:val="3F830EED"/>
    <w:rsid w:val="3FAE7043"/>
    <w:rsid w:val="3FCF26D5"/>
    <w:rsid w:val="3FCF3ECE"/>
    <w:rsid w:val="3FF361FD"/>
    <w:rsid w:val="40330901"/>
    <w:rsid w:val="4081166C"/>
    <w:rsid w:val="40C61775"/>
    <w:rsid w:val="40DA0D7C"/>
    <w:rsid w:val="40ED0AAF"/>
    <w:rsid w:val="4166128B"/>
    <w:rsid w:val="41B00957"/>
    <w:rsid w:val="426E5C20"/>
    <w:rsid w:val="42755200"/>
    <w:rsid w:val="42A769DE"/>
    <w:rsid w:val="42C755F0"/>
    <w:rsid w:val="42EB7271"/>
    <w:rsid w:val="42FE0D52"/>
    <w:rsid w:val="42FE52B7"/>
    <w:rsid w:val="430F11B1"/>
    <w:rsid w:val="4327562C"/>
    <w:rsid w:val="435E4B40"/>
    <w:rsid w:val="43747266"/>
    <w:rsid w:val="43D1290A"/>
    <w:rsid w:val="43E91A02"/>
    <w:rsid w:val="440A3BB0"/>
    <w:rsid w:val="44315C9B"/>
    <w:rsid w:val="44983428"/>
    <w:rsid w:val="44EC107E"/>
    <w:rsid w:val="45142943"/>
    <w:rsid w:val="4530540F"/>
    <w:rsid w:val="45476FB4"/>
    <w:rsid w:val="45687D99"/>
    <w:rsid w:val="458163A0"/>
    <w:rsid w:val="458A4B1F"/>
    <w:rsid w:val="458C2E43"/>
    <w:rsid w:val="45BC4EF4"/>
    <w:rsid w:val="45F11042"/>
    <w:rsid w:val="46003033"/>
    <w:rsid w:val="46054AED"/>
    <w:rsid w:val="465B295F"/>
    <w:rsid w:val="46AE0CE1"/>
    <w:rsid w:val="470703F1"/>
    <w:rsid w:val="473F4890"/>
    <w:rsid w:val="475856E9"/>
    <w:rsid w:val="47C84D9D"/>
    <w:rsid w:val="47D209FF"/>
    <w:rsid w:val="47EA03B1"/>
    <w:rsid w:val="47F6649C"/>
    <w:rsid w:val="48564674"/>
    <w:rsid w:val="4856518C"/>
    <w:rsid w:val="48684DC2"/>
    <w:rsid w:val="48BF07AB"/>
    <w:rsid w:val="48EC789E"/>
    <w:rsid w:val="48FC21D7"/>
    <w:rsid w:val="490E5F02"/>
    <w:rsid w:val="494B0A69"/>
    <w:rsid w:val="49CB1BAA"/>
    <w:rsid w:val="49E5263B"/>
    <w:rsid w:val="49F40639"/>
    <w:rsid w:val="49F7299F"/>
    <w:rsid w:val="4A3B5A1D"/>
    <w:rsid w:val="4A3E237C"/>
    <w:rsid w:val="4A657908"/>
    <w:rsid w:val="4A7141B3"/>
    <w:rsid w:val="4A857FAB"/>
    <w:rsid w:val="4AAF5028"/>
    <w:rsid w:val="4AC705C3"/>
    <w:rsid w:val="4BD22068"/>
    <w:rsid w:val="4BF03B4A"/>
    <w:rsid w:val="4C121EBB"/>
    <w:rsid w:val="4C194E4E"/>
    <w:rsid w:val="4C344283"/>
    <w:rsid w:val="4C3A6B73"/>
    <w:rsid w:val="4C4F0870"/>
    <w:rsid w:val="4C577725"/>
    <w:rsid w:val="4CBF40BD"/>
    <w:rsid w:val="4CC0639D"/>
    <w:rsid w:val="4CC748AA"/>
    <w:rsid w:val="4CCA2BFB"/>
    <w:rsid w:val="4CE826DE"/>
    <w:rsid w:val="4D043409"/>
    <w:rsid w:val="4D080F53"/>
    <w:rsid w:val="4D1C5366"/>
    <w:rsid w:val="4D1F0243"/>
    <w:rsid w:val="4D6E7891"/>
    <w:rsid w:val="4DAE7818"/>
    <w:rsid w:val="4DD70B1D"/>
    <w:rsid w:val="4E797FAC"/>
    <w:rsid w:val="4E8642F1"/>
    <w:rsid w:val="4E8F764A"/>
    <w:rsid w:val="4EB24E72"/>
    <w:rsid w:val="4ED17C62"/>
    <w:rsid w:val="4EEE4370"/>
    <w:rsid w:val="4F304989"/>
    <w:rsid w:val="4F5E52D6"/>
    <w:rsid w:val="4F637270"/>
    <w:rsid w:val="4F7A3E56"/>
    <w:rsid w:val="4F9D5D96"/>
    <w:rsid w:val="4FC56BA9"/>
    <w:rsid w:val="4FE24125"/>
    <w:rsid w:val="4FF65D76"/>
    <w:rsid w:val="501E2A33"/>
    <w:rsid w:val="502F4C40"/>
    <w:rsid w:val="503C110B"/>
    <w:rsid w:val="505A2D25"/>
    <w:rsid w:val="5060129E"/>
    <w:rsid w:val="50DE0415"/>
    <w:rsid w:val="51234079"/>
    <w:rsid w:val="517A638F"/>
    <w:rsid w:val="51960CEF"/>
    <w:rsid w:val="51BF1F00"/>
    <w:rsid w:val="51C86503"/>
    <w:rsid w:val="51CD1972"/>
    <w:rsid w:val="51EE6435"/>
    <w:rsid w:val="523B0D32"/>
    <w:rsid w:val="5249207E"/>
    <w:rsid w:val="52500E9E"/>
    <w:rsid w:val="52530331"/>
    <w:rsid w:val="5275278C"/>
    <w:rsid w:val="52BE1547"/>
    <w:rsid w:val="52CB6777"/>
    <w:rsid w:val="530C54AC"/>
    <w:rsid w:val="53620E89"/>
    <w:rsid w:val="536E5A80"/>
    <w:rsid w:val="53811823"/>
    <w:rsid w:val="53C34DE7"/>
    <w:rsid w:val="53D11E6D"/>
    <w:rsid w:val="53D8021B"/>
    <w:rsid w:val="542D593B"/>
    <w:rsid w:val="54CD2C7A"/>
    <w:rsid w:val="54F75F49"/>
    <w:rsid w:val="55251D03"/>
    <w:rsid w:val="5552317F"/>
    <w:rsid w:val="55D122F6"/>
    <w:rsid w:val="56097CE2"/>
    <w:rsid w:val="56292132"/>
    <w:rsid w:val="56550A77"/>
    <w:rsid w:val="567856E2"/>
    <w:rsid w:val="56A8574D"/>
    <w:rsid w:val="56AE2637"/>
    <w:rsid w:val="56C105BC"/>
    <w:rsid w:val="5737262D"/>
    <w:rsid w:val="57650F48"/>
    <w:rsid w:val="57930620"/>
    <w:rsid w:val="57B4516F"/>
    <w:rsid w:val="57FAA990"/>
    <w:rsid w:val="586B4959"/>
    <w:rsid w:val="5899255C"/>
    <w:rsid w:val="58C63C68"/>
    <w:rsid w:val="58E97957"/>
    <w:rsid w:val="592B1A50"/>
    <w:rsid w:val="593B29B3"/>
    <w:rsid w:val="59554726"/>
    <w:rsid w:val="596F471E"/>
    <w:rsid w:val="599E4BE5"/>
    <w:rsid w:val="59C44088"/>
    <w:rsid w:val="59D24F7D"/>
    <w:rsid w:val="59D32AE1"/>
    <w:rsid w:val="59E3084A"/>
    <w:rsid w:val="5A017A89"/>
    <w:rsid w:val="5A1E59D0"/>
    <w:rsid w:val="5A236E98"/>
    <w:rsid w:val="5A5B2AD6"/>
    <w:rsid w:val="5A8E4C59"/>
    <w:rsid w:val="5A9252AD"/>
    <w:rsid w:val="5A9F0C15"/>
    <w:rsid w:val="5AB81CD6"/>
    <w:rsid w:val="5ACB1A0A"/>
    <w:rsid w:val="5AFFDF97"/>
    <w:rsid w:val="5B01649D"/>
    <w:rsid w:val="5B053443"/>
    <w:rsid w:val="5B0A0784"/>
    <w:rsid w:val="5B1B29F0"/>
    <w:rsid w:val="5B690C52"/>
    <w:rsid w:val="5B706967"/>
    <w:rsid w:val="5B8B1199"/>
    <w:rsid w:val="5B960AAF"/>
    <w:rsid w:val="5B9718EC"/>
    <w:rsid w:val="5BA04C44"/>
    <w:rsid w:val="5C50666A"/>
    <w:rsid w:val="5C545A2F"/>
    <w:rsid w:val="5C645C72"/>
    <w:rsid w:val="5C6E6AF1"/>
    <w:rsid w:val="5C9D1184"/>
    <w:rsid w:val="5CB01556"/>
    <w:rsid w:val="5CDA5F34"/>
    <w:rsid w:val="5D2D075A"/>
    <w:rsid w:val="5D300EA4"/>
    <w:rsid w:val="5D5E6B65"/>
    <w:rsid w:val="5D617267"/>
    <w:rsid w:val="5D924A61"/>
    <w:rsid w:val="5DAB167E"/>
    <w:rsid w:val="5E104686"/>
    <w:rsid w:val="5E135BA1"/>
    <w:rsid w:val="5E341674"/>
    <w:rsid w:val="5F3C1128"/>
    <w:rsid w:val="5F4D6E91"/>
    <w:rsid w:val="5F65732E"/>
    <w:rsid w:val="5F76167B"/>
    <w:rsid w:val="5F767D2F"/>
    <w:rsid w:val="5F7B2580"/>
    <w:rsid w:val="5F9C5723"/>
    <w:rsid w:val="5FA40A7B"/>
    <w:rsid w:val="5FB75018"/>
    <w:rsid w:val="5FEA6C51"/>
    <w:rsid w:val="5FEB8A53"/>
    <w:rsid w:val="603E67DA"/>
    <w:rsid w:val="60433DF0"/>
    <w:rsid w:val="60C83ED3"/>
    <w:rsid w:val="61256914"/>
    <w:rsid w:val="61776283"/>
    <w:rsid w:val="619B6500"/>
    <w:rsid w:val="61B663F3"/>
    <w:rsid w:val="61CD3451"/>
    <w:rsid w:val="61FA4982"/>
    <w:rsid w:val="623B7475"/>
    <w:rsid w:val="623C143F"/>
    <w:rsid w:val="62422518"/>
    <w:rsid w:val="62586279"/>
    <w:rsid w:val="62652396"/>
    <w:rsid w:val="626D33A6"/>
    <w:rsid w:val="6271418B"/>
    <w:rsid w:val="6283706E"/>
    <w:rsid w:val="629E17B2"/>
    <w:rsid w:val="62AC3ECF"/>
    <w:rsid w:val="62E37F41"/>
    <w:rsid w:val="631B72A6"/>
    <w:rsid w:val="635D78BF"/>
    <w:rsid w:val="6377202C"/>
    <w:rsid w:val="638210D3"/>
    <w:rsid w:val="63911317"/>
    <w:rsid w:val="63BD210C"/>
    <w:rsid w:val="646C793C"/>
    <w:rsid w:val="651231C8"/>
    <w:rsid w:val="653463FD"/>
    <w:rsid w:val="65423AF9"/>
    <w:rsid w:val="654F3A66"/>
    <w:rsid w:val="65516FAF"/>
    <w:rsid w:val="655E3CA0"/>
    <w:rsid w:val="656767D3"/>
    <w:rsid w:val="656E2BBA"/>
    <w:rsid w:val="659770B8"/>
    <w:rsid w:val="65C37EAD"/>
    <w:rsid w:val="65F53DDF"/>
    <w:rsid w:val="661C580F"/>
    <w:rsid w:val="664E34EF"/>
    <w:rsid w:val="667B5A46"/>
    <w:rsid w:val="66E634DC"/>
    <w:rsid w:val="67220C03"/>
    <w:rsid w:val="67292CCC"/>
    <w:rsid w:val="67472418"/>
    <w:rsid w:val="675B4115"/>
    <w:rsid w:val="676204CA"/>
    <w:rsid w:val="68143268"/>
    <w:rsid w:val="681F6412"/>
    <w:rsid w:val="6825208B"/>
    <w:rsid w:val="683055A2"/>
    <w:rsid w:val="68624F7B"/>
    <w:rsid w:val="68C857DA"/>
    <w:rsid w:val="691B3B5C"/>
    <w:rsid w:val="69407A67"/>
    <w:rsid w:val="69E2467A"/>
    <w:rsid w:val="69E50BCD"/>
    <w:rsid w:val="6A1D56B2"/>
    <w:rsid w:val="6A7774B8"/>
    <w:rsid w:val="6A7A16F4"/>
    <w:rsid w:val="6A8B6AC0"/>
    <w:rsid w:val="6AB75B07"/>
    <w:rsid w:val="6AD20B92"/>
    <w:rsid w:val="6AD44D7F"/>
    <w:rsid w:val="6AEA1A38"/>
    <w:rsid w:val="6B064398"/>
    <w:rsid w:val="6B0C6163"/>
    <w:rsid w:val="6B652A83"/>
    <w:rsid w:val="6B673AA6"/>
    <w:rsid w:val="6B6C68F1"/>
    <w:rsid w:val="6B7E3F6B"/>
    <w:rsid w:val="6B900F70"/>
    <w:rsid w:val="6BAF67DE"/>
    <w:rsid w:val="6BD91AAD"/>
    <w:rsid w:val="6C007039"/>
    <w:rsid w:val="6C467142"/>
    <w:rsid w:val="6C845EBC"/>
    <w:rsid w:val="6C924135"/>
    <w:rsid w:val="6CFB692B"/>
    <w:rsid w:val="6D16193B"/>
    <w:rsid w:val="6D254FA9"/>
    <w:rsid w:val="6D262AD0"/>
    <w:rsid w:val="6D9A49A6"/>
    <w:rsid w:val="6DA87988"/>
    <w:rsid w:val="6DA9017B"/>
    <w:rsid w:val="6DD16EDF"/>
    <w:rsid w:val="6E291CCC"/>
    <w:rsid w:val="6E4E6782"/>
    <w:rsid w:val="6E5D67E0"/>
    <w:rsid w:val="6E6905BA"/>
    <w:rsid w:val="6E9F6FDD"/>
    <w:rsid w:val="6EAB14DE"/>
    <w:rsid w:val="6ED977A6"/>
    <w:rsid w:val="6EDF562C"/>
    <w:rsid w:val="6F2D45E9"/>
    <w:rsid w:val="6F3D2C09"/>
    <w:rsid w:val="6F657FFB"/>
    <w:rsid w:val="6FE0165C"/>
    <w:rsid w:val="705838E8"/>
    <w:rsid w:val="70982E49"/>
    <w:rsid w:val="709F5073"/>
    <w:rsid w:val="70D016D0"/>
    <w:rsid w:val="70EE7DA8"/>
    <w:rsid w:val="71793B16"/>
    <w:rsid w:val="719130A1"/>
    <w:rsid w:val="719363BC"/>
    <w:rsid w:val="71CD20B4"/>
    <w:rsid w:val="71D3035D"/>
    <w:rsid w:val="71DB20DB"/>
    <w:rsid w:val="71EE6D25"/>
    <w:rsid w:val="72534367"/>
    <w:rsid w:val="72844CB5"/>
    <w:rsid w:val="72966EF6"/>
    <w:rsid w:val="72D354A8"/>
    <w:rsid w:val="73005B71"/>
    <w:rsid w:val="731A4E85"/>
    <w:rsid w:val="7346211D"/>
    <w:rsid w:val="73CE67B0"/>
    <w:rsid w:val="73D56FFD"/>
    <w:rsid w:val="74324450"/>
    <w:rsid w:val="74A9577F"/>
    <w:rsid w:val="74E474F8"/>
    <w:rsid w:val="75114065"/>
    <w:rsid w:val="757FC84C"/>
    <w:rsid w:val="75946D67"/>
    <w:rsid w:val="75A82C1C"/>
    <w:rsid w:val="75BA91FB"/>
    <w:rsid w:val="75CB2679"/>
    <w:rsid w:val="75EB4D2B"/>
    <w:rsid w:val="76037E52"/>
    <w:rsid w:val="762F1CF6"/>
    <w:rsid w:val="768A2321"/>
    <w:rsid w:val="76A333E3"/>
    <w:rsid w:val="76C37A5C"/>
    <w:rsid w:val="76DF7B93"/>
    <w:rsid w:val="76FA2349"/>
    <w:rsid w:val="76FF2D0F"/>
    <w:rsid w:val="77004391"/>
    <w:rsid w:val="770420D4"/>
    <w:rsid w:val="772F7E04"/>
    <w:rsid w:val="774D6F7A"/>
    <w:rsid w:val="777DF9A9"/>
    <w:rsid w:val="77935205"/>
    <w:rsid w:val="77C90C27"/>
    <w:rsid w:val="77DFB73A"/>
    <w:rsid w:val="77F959B0"/>
    <w:rsid w:val="7836450F"/>
    <w:rsid w:val="7855070D"/>
    <w:rsid w:val="79022643"/>
    <w:rsid w:val="790A599B"/>
    <w:rsid w:val="798278F9"/>
    <w:rsid w:val="79B41898"/>
    <w:rsid w:val="79BC4EE7"/>
    <w:rsid w:val="79BF6786"/>
    <w:rsid w:val="79C8388C"/>
    <w:rsid w:val="79D12015"/>
    <w:rsid w:val="7A066163"/>
    <w:rsid w:val="7A140880"/>
    <w:rsid w:val="7A7430CC"/>
    <w:rsid w:val="7A9B2D4F"/>
    <w:rsid w:val="7AAD4830"/>
    <w:rsid w:val="7B101B78"/>
    <w:rsid w:val="7B1B5C3E"/>
    <w:rsid w:val="7B28663D"/>
    <w:rsid w:val="7B31720F"/>
    <w:rsid w:val="7B3957FE"/>
    <w:rsid w:val="7B542EFE"/>
    <w:rsid w:val="7B5EE747"/>
    <w:rsid w:val="7B5F3D7C"/>
    <w:rsid w:val="7B635FC0"/>
    <w:rsid w:val="7B750447"/>
    <w:rsid w:val="7B840887"/>
    <w:rsid w:val="7B9B0B2D"/>
    <w:rsid w:val="7BA17972"/>
    <w:rsid w:val="7BD307B8"/>
    <w:rsid w:val="7BE77E98"/>
    <w:rsid w:val="7BEE5100"/>
    <w:rsid w:val="7C0F47B1"/>
    <w:rsid w:val="7C1508DF"/>
    <w:rsid w:val="7C7750F6"/>
    <w:rsid w:val="7C954B70"/>
    <w:rsid w:val="7CE47932"/>
    <w:rsid w:val="7CED6E1E"/>
    <w:rsid w:val="7CFF7126"/>
    <w:rsid w:val="7D4A7D5E"/>
    <w:rsid w:val="7DB40BFE"/>
    <w:rsid w:val="7DBA5DEF"/>
    <w:rsid w:val="7DDFC0C7"/>
    <w:rsid w:val="7DE44A0D"/>
    <w:rsid w:val="7DEB7B49"/>
    <w:rsid w:val="7DF764EE"/>
    <w:rsid w:val="7E2D1F10"/>
    <w:rsid w:val="7E3A462D"/>
    <w:rsid w:val="7E446934"/>
    <w:rsid w:val="7E8147E1"/>
    <w:rsid w:val="7E835FD4"/>
    <w:rsid w:val="7EB6172F"/>
    <w:rsid w:val="7EC62364"/>
    <w:rsid w:val="7F2F090D"/>
    <w:rsid w:val="7F2F1CB8"/>
    <w:rsid w:val="7F373B66"/>
    <w:rsid w:val="7F392B36"/>
    <w:rsid w:val="7F3B55F1"/>
    <w:rsid w:val="7F7F79B0"/>
    <w:rsid w:val="7F8D69DE"/>
    <w:rsid w:val="7F8E4C30"/>
    <w:rsid w:val="7F977DDE"/>
    <w:rsid w:val="7F9F9B91"/>
    <w:rsid w:val="7FDD1714"/>
    <w:rsid w:val="7FDF36DE"/>
    <w:rsid w:val="7FE505C8"/>
    <w:rsid w:val="7FF63BE5"/>
    <w:rsid w:val="7FF8479F"/>
    <w:rsid w:val="9FDEEA32"/>
    <w:rsid w:val="ABAFC4D1"/>
    <w:rsid w:val="ADEE7DEA"/>
    <w:rsid w:val="B2770AEA"/>
    <w:rsid w:val="B5BF65C5"/>
    <w:rsid w:val="B9DF8EDE"/>
    <w:rsid w:val="BCFB1DD9"/>
    <w:rsid w:val="BE3CEAAF"/>
    <w:rsid w:val="BFA78CF2"/>
    <w:rsid w:val="CFFF89D8"/>
    <w:rsid w:val="D85F925A"/>
    <w:rsid w:val="DF9926E6"/>
    <w:rsid w:val="DF9FDB0B"/>
    <w:rsid w:val="DFBFD8D2"/>
    <w:rsid w:val="DFFD178E"/>
    <w:rsid w:val="EDDA7C77"/>
    <w:rsid w:val="EED68673"/>
    <w:rsid w:val="F5FFF038"/>
    <w:rsid w:val="F6BF047D"/>
    <w:rsid w:val="F9FB455C"/>
    <w:rsid w:val="FDDFC417"/>
    <w:rsid w:val="FEFF1595"/>
    <w:rsid w:val="FF5FF399"/>
    <w:rsid w:val="FFE3605A"/>
    <w:rsid w:val="FFFFF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numPr>
        <w:ilvl w:val="0"/>
        <w:numId w:val="1"/>
      </w:numPr>
      <w:spacing w:line="580" w:lineRule="exact"/>
      <w:outlineLvl w:val="0"/>
    </w:pPr>
    <w:rPr>
      <w:rFonts w:hint="eastAsia" w:ascii="黑体" w:hAnsi="宋体" w:eastAsia="黑体" w:cs="Times New Roman"/>
      <w:sz w:val="32"/>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unhideWhenUsed/>
    <w:qFormat/>
    <w:uiPriority w:val="99"/>
    <w:pPr>
      <w:spacing w:after="12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 w:type="paragraph" w:styleId="12">
    <w:name w:val="List Paragraph"/>
    <w:basedOn w:val="1"/>
    <w:qFormat/>
    <w:uiPriority w:val="99"/>
    <w:pPr>
      <w:ind w:firstLine="420" w:firstLineChars="200"/>
    </w:pPr>
  </w:style>
  <w:style w:type="character" w:customStyle="1" w:styleId="13">
    <w:name w:val="font01"/>
    <w:basedOn w:val="9"/>
    <w:qFormat/>
    <w:uiPriority w:val="0"/>
    <w:rPr>
      <w:rFonts w:hint="eastAsia" w:ascii="宋体" w:hAnsi="宋体" w:eastAsia="宋体" w:cs="宋体"/>
      <w:color w:val="000000"/>
      <w:sz w:val="22"/>
      <w:szCs w:val="22"/>
      <w:u w:val="none"/>
    </w:rPr>
  </w:style>
  <w:style w:type="character" w:customStyle="1" w:styleId="14">
    <w:name w:val="font31"/>
    <w:basedOn w:val="9"/>
    <w:qFormat/>
    <w:uiPriority w:val="0"/>
    <w:rPr>
      <w:rFonts w:hint="eastAsia" w:ascii="仿宋_GB2312" w:eastAsia="仿宋_GB2312" w:cs="仿宋_GB2312"/>
      <w:color w:val="000000"/>
      <w:sz w:val="22"/>
      <w:szCs w:val="22"/>
      <w:u w:val="none"/>
    </w:rPr>
  </w:style>
  <w:style w:type="character" w:customStyle="1" w:styleId="15">
    <w:name w:val="font81"/>
    <w:basedOn w:val="9"/>
    <w:qFormat/>
    <w:uiPriority w:val="0"/>
    <w:rPr>
      <w:rFonts w:hint="eastAsia" w:ascii="宋体" w:hAnsi="宋体" w:eastAsia="宋体" w:cs="宋体"/>
      <w:color w:val="000000"/>
      <w:sz w:val="22"/>
      <w:szCs w:val="22"/>
      <w:u w:val="none"/>
    </w:rPr>
  </w:style>
  <w:style w:type="character" w:customStyle="1" w:styleId="16">
    <w:name w:val="font21"/>
    <w:basedOn w:val="9"/>
    <w:qFormat/>
    <w:uiPriority w:val="0"/>
    <w:rPr>
      <w:rFonts w:hint="eastAsia" w:ascii="仿宋_GB2312" w:eastAsia="仿宋_GB2312" w:cs="仿宋_GB2312"/>
      <w:color w:val="000000"/>
      <w:sz w:val="22"/>
      <w:szCs w:val="22"/>
      <w:u w:val="none"/>
    </w:rPr>
  </w:style>
  <w:style w:type="character" w:customStyle="1" w:styleId="17">
    <w:name w:val="font11"/>
    <w:basedOn w:val="9"/>
    <w:qFormat/>
    <w:uiPriority w:val="0"/>
    <w:rPr>
      <w:rFonts w:hint="eastAsia" w:ascii="仿宋_GB2312" w:eastAsia="仿宋_GB2312" w:cs="仿宋_GB2312"/>
      <w:color w:val="000000"/>
      <w:sz w:val="22"/>
      <w:szCs w:val="22"/>
      <w:u w:val="none"/>
    </w:rPr>
  </w:style>
  <w:style w:type="table" w:customStyle="1" w:styleId="18">
    <w:name w:val="Table Normal"/>
    <w:semiHidden/>
    <w:unhideWhenUsed/>
    <w:qFormat/>
    <w:uiPriority w:val="0"/>
    <w:tblPr>
      <w:tblCellMar>
        <w:top w:w="0" w:type="dxa"/>
        <w:left w:w="0" w:type="dxa"/>
        <w:bottom w:w="0" w:type="dxa"/>
        <w:right w:w="0" w:type="dxa"/>
      </w:tblCellMar>
    </w:tblPr>
  </w:style>
  <w:style w:type="paragraph" w:customStyle="1" w:styleId="19">
    <w:name w:val="Table Text"/>
    <w:basedOn w:val="1"/>
    <w:semiHidden/>
    <w:qFormat/>
    <w:uiPriority w:val="0"/>
    <w:rPr>
      <w:rFonts w:ascii="Arial" w:hAnsi="Arial" w:eastAsia="Arial" w:cs="Arial"/>
      <w:szCs w:val="21"/>
      <w:lang w:eastAsia="en-US"/>
    </w:rPr>
  </w:style>
  <w:style w:type="character" w:customStyle="1" w:styleId="20">
    <w:name w:val="font41"/>
    <w:basedOn w:val="9"/>
    <w:qFormat/>
    <w:uiPriority w:val="0"/>
    <w:rPr>
      <w:rFonts w:hint="default" w:ascii="微软雅黑" w:hAnsi="微软雅黑" w:eastAsia="微软雅黑" w:cs="微软雅黑"/>
      <w:b/>
      <w:bCs/>
      <w:color w:val="000000"/>
      <w:sz w:val="20"/>
      <w:szCs w:val="20"/>
      <w:u w:val="none"/>
    </w:rPr>
  </w:style>
  <w:style w:type="character" w:customStyle="1" w:styleId="21">
    <w:name w:val="font51"/>
    <w:basedOn w:val="9"/>
    <w:qFormat/>
    <w:uiPriority w:val="0"/>
    <w:rPr>
      <w:rFonts w:hint="default" w:ascii="微软雅黑" w:hAnsi="微软雅黑" w:eastAsia="微软雅黑" w:cs="微软雅黑"/>
      <w:color w:val="000000"/>
      <w:sz w:val="20"/>
      <w:szCs w:val="20"/>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Organization</Company>
  <Pages>11</Pages>
  <Words>6722</Words>
  <Characters>7270</Characters>
  <Lines>2106</Lines>
  <Paragraphs>1703</Paragraphs>
  <TotalTime>8</TotalTime>
  <ScaleCrop>false</ScaleCrop>
  <LinksUpToDate>false</LinksUpToDate>
  <CharactersWithSpaces>7290</CharactersWithSpaces>
  <Application>WPS Office_5.5.1.7991_F1E327BC-269C-435d-A152-05C5408002CA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2025-08-25T10:47:00Z</dcterms:created>
  <dc:creator>Lenovo</dc:creator>
  <cp:lastModifiedBy>新手</cp:lastModifiedBy>
  <dcterms:modified xsi:type="dcterms:W3CDTF">2025-10-15T18:39:52Z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KSOTemplateDocerSaveRecord">
    <vt:lpwstr>eyJoZGlkIjoiZTg4YjI2MWI1MjU4NjAwM2QwNDUxNTczNWIyY2NmODQiLCJ1c2VySWQiOiIxNjcyNDI0Mzc0In0=</vt:lpwstr>
  </property>
  <property fmtid="{D5CDD505-2E9C-101B-9397-08002B2CF9AE}" pid="4" name="ICV">
    <vt:lpwstr>D2C385B759014DB582A425E59366B51E_13</vt:lpwstr>
  </property>
</Properties>
</file>