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B802">
      <w:pPr>
        <w:rPr>
          <w:rFonts w:hint="eastAsia"/>
          <w:lang w:eastAsia="zh-CN"/>
        </w:rPr>
      </w:pPr>
      <w:r>
        <w:rPr>
          <w:rFonts w:hint="eastAsia"/>
        </w:rPr>
        <w:t>县域综合科技创新水平分析-菏泽市</w:t>
      </w:r>
      <w:r>
        <w:rPr>
          <w:rFonts w:hint="eastAsia"/>
          <w:lang w:eastAsia="zh-CN"/>
        </w:rPr>
        <w:t>：</w:t>
      </w:r>
    </w:p>
    <w:p w14:paraId="46509D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指标名称 涉及区县数 涉及区县 </w:t>
      </w:r>
    </w:p>
    <w:p w14:paraId="542FDB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万元GDP综合能耗下降率（%） 9 全部区县 </w:t>
      </w:r>
    </w:p>
    <w:p w14:paraId="0ABF40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规上工业企业中有研发活动企业占比（%） 9 全部区县 </w:t>
      </w:r>
    </w:p>
    <w:p w14:paraId="5594CD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规上工业企业新产品销售收入占营业收入比重（%） 8 除郓城县外全部区县</w:t>
      </w:r>
    </w:p>
    <w:p w14:paraId="37B7152D">
      <w:pPr>
        <w:rPr>
          <w:rFonts w:hint="eastAsia"/>
          <w:lang w:eastAsia="zh-CN"/>
        </w:rPr>
      </w:pPr>
    </w:p>
    <w:p w14:paraId="30ED42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县域综合科技创新水平分析-滨州市：</w:t>
      </w:r>
    </w:p>
    <w:p w14:paraId="1F186F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规上工业企业新产品销售收入占营业收入比重（%）</w:t>
      </w:r>
    </w:p>
    <w:p w14:paraId="331BF4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规上工业企业每万名就业人员中研发人员数（人年）</w:t>
      </w:r>
    </w:p>
    <w:p w14:paraId="075604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规上工业企业中有研发活动企业占比（%）</w:t>
      </w:r>
    </w:p>
    <w:p w14:paraId="6AFE02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万元GDP综合能耗下降率（%）</w:t>
      </w:r>
    </w:p>
    <w:p w14:paraId="1A2796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人均GDP（万元）</w:t>
      </w:r>
    </w:p>
    <w:p w14:paraId="5CE6C145">
      <w:pPr>
        <w:rPr>
          <w:rFonts w:hint="eastAsia"/>
          <w:lang w:eastAsia="zh-CN"/>
        </w:rPr>
      </w:pPr>
    </w:p>
    <w:p w14:paraId="6F468E1F">
      <w:pPr>
        <w:rPr>
          <w:rFonts w:hint="eastAsia"/>
          <w:lang w:eastAsia="zh-CN"/>
        </w:rPr>
      </w:pPr>
    </w:p>
    <w:p w14:paraId="781C656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区域：</w:t>
      </w:r>
    </w:p>
    <w:p w14:paraId="273A4C00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图2-6: 当年创新产出指数较上年提高百分点 ⚠️</w:t>
      </w:r>
    </w:p>
    <w:p w14:paraId="0CA103CD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- 校验结果 : 基本一致 (14/15一致，1项不一致)</w:t>
      </w:r>
    </w:p>
    <w:p w14:paraId="497A0BA0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- 不一致项 :</w:t>
      </w:r>
    </w:p>
    <w:p w14:paraId="37E1DC67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 xml:space="preserve">  - 济南 : 计算差值=14.82，图2-6显示=1.21，差异较大</w:t>
      </w:r>
    </w:p>
    <w:p w14:paraId="37BBFB59">
      <w:pPr>
        <w:rPr>
          <w:rFonts w:hint="eastAsia"/>
          <w:color w:val="FF0000"/>
          <w:lang w:eastAsia="zh-CN"/>
        </w:rPr>
      </w:pPr>
    </w:p>
    <w:p w14:paraId="44C9734B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需与用户确认具体计算方式</w:t>
      </w:r>
      <w:bookmarkStart w:id="0" w:name="_GoBack"/>
      <w:bookmarkEnd w:id="0"/>
    </w:p>
    <w:p w14:paraId="0F9C5235">
      <w:pPr>
        <w:rPr>
          <w:rFonts w:hint="eastAsia"/>
          <w:lang w:eastAsia="zh-CN"/>
        </w:rPr>
      </w:pPr>
    </w:p>
    <w:p w14:paraId="49756F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图2-14 上年创新驱动指数</w:t>
      </w:r>
    </w:p>
    <w:tbl>
      <w:tblPr>
        <w:tblStyle w:val="2"/>
        <w:tblpPr w:leftFromText="180" w:rightFromText="180" w:vertAnchor="text" w:horzAnchor="page" w:tblpX="3162" w:tblpY="309"/>
        <w:tblOverlap w:val="never"/>
        <w:tblW w:w="1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</w:tblGrid>
      <w:tr w14:paraId="0C0EC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DFD7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创新驱动</w:t>
            </w:r>
          </w:p>
        </w:tc>
      </w:tr>
      <w:tr w14:paraId="2FCA9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2655D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106.82 </w:t>
            </w:r>
          </w:p>
        </w:tc>
      </w:tr>
      <w:tr w14:paraId="56B66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37D3E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105.72 </w:t>
            </w:r>
          </w:p>
        </w:tc>
      </w:tr>
      <w:tr w14:paraId="44326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771D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78.53 </w:t>
            </w:r>
          </w:p>
        </w:tc>
      </w:tr>
      <w:tr w14:paraId="4A1D2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D1F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64.51 </w:t>
            </w:r>
          </w:p>
        </w:tc>
      </w:tr>
      <w:tr w14:paraId="11C55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FA05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86.90 </w:t>
            </w:r>
          </w:p>
        </w:tc>
      </w:tr>
      <w:tr w14:paraId="6A422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BCF4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96.31 </w:t>
            </w:r>
          </w:p>
        </w:tc>
      </w:tr>
      <w:tr w14:paraId="6FDB6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F2B95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73.78 </w:t>
            </w:r>
          </w:p>
        </w:tc>
      </w:tr>
      <w:tr w14:paraId="7CF9A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B6AF9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67.82 </w:t>
            </w:r>
          </w:p>
        </w:tc>
      </w:tr>
      <w:tr w14:paraId="5FA0C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D271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76.34 </w:t>
            </w:r>
          </w:p>
        </w:tc>
      </w:tr>
      <w:tr w14:paraId="43BC6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CCF5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98.77 </w:t>
            </w:r>
          </w:p>
        </w:tc>
      </w:tr>
      <w:tr w14:paraId="02002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ACDD7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53.71 </w:t>
            </w:r>
          </w:p>
        </w:tc>
      </w:tr>
      <w:tr w14:paraId="5BFDA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530E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62.04 </w:t>
            </w:r>
          </w:p>
        </w:tc>
      </w:tr>
      <w:tr w14:paraId="7927E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04D1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74.74 </w:t>
            </w:r>
          </w:p>
        </w:tc>
      </w:tr>
      <w:tr w14:paraId="03D2D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C1D1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69.01 </w:t>
            </w:r>
          </w:p>
        </w:tc>
      </w:tr>
      <w:tr w14:paraId="7E26D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F3E0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66.12 </w:t>
            </w:r>
          </w:p>
        </w:tc>
      </w:tr>
      <w:tr w14:paraId="1E266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78895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58.83 </w:t>
            </w:r>
          </w:p>
        </w:tc>
      </w:tr>
      <w:tr w14:paraId="265CC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AB7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79.21 </w:t>
            </w:r>
          </w:p>
        </w:tc>
      </w:tr>
    </w:tbl>
    <w:p w14:paraId="460F1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数据错误</w:t>
      </w:r>
    </w:p>
    <w:p w14:paraId="14CA6FB9"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4907" w:tblpY="13"/>
        <w:tblOverlap w:val="never"/>
        <w:tblW w:w="1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</w:tblGrid>
      <w:tr w14:paraId="34025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B1E5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</w:t>
            </w:r>
          </w:p>
        </w:tc>
      </w:tr>
      <w:tr w14:paraId="5BE1B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9C4D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济南</w:t>
            </w:r>
          </w:p>
        </w:tc>
      </w:tr>
      <w:tr w14:paraId="7AED5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4E8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青岛</w:t>
            </w:r>
          </w:p>
        </w:tc>
      </w:tr>
      <w:tr w14:paraId="007C7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111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淄博</w:t>
            </w:r>
          </w:p>
        </w:tc>
      </w:tr>
      <w:tr w14:paraId="02AC5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9FF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枣庄</w:t>
            </w:r>
          </w:p>
        </w:tc>
      </w:tr>
      <w:tr w14:paraId="36899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5AD6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东营</w:t>
            </w:r>
          </w:p>
        </w:tc>
      </w:tr>
      <w:tr w14:paraId="0757E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005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烟台</w:t>
            </w:r>
          </w:p>
        </w:tc>
      </w:tr>
      <w:tr w14:paraId="3BA99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80DA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潍坊</w:t>
            </w:r>
          </w:p>
        </w:tc>
      </w:tr>
      <w:tr w14:paraId="6376A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94B7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济宁</w:t>
            </w:r>
          </w:p>
        </w:tc>
      </w:tr>
      <w:tr w14:paraId="678BB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B38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泰安</w:t>
            </w:r>
          </w:p>
        </w:tc>
      </w:tr>
      <w:tr w14:paraId="09136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396E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威海</w:t>
            </w:r>
          </w:p>
        </w:tc>
      </w:tr>
      <w:tr w14:paraId="347DD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591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日照</w:t>
            </w:r>
          </w:p>
        </w:tc>
      </w:tr>
      <w:tr w14:paraId="58869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67F2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临沂</w:t>
            </w:r>
          </w:p>
        </w:tc>
      </w:tr>
      <w:tr w14:paraId="2F94B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01A5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德州</w:t>
            </w:r>
          </w:p>
        </w:tc>
      </w:tr>
      <w:tr w14:paraId="63351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A209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聊城</w:t>
            </w:r>
          </w:p>
        </w:tc>
      </w:tr>
      <w:tr w14:paraId="4935F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E56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滨州</w:t>
            </w:r>
          </w:p>
        </w:tc>
      </w:tr>
      <w:tr w14:paraId="2930C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7E5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菏泽</w:t>
            </w:r>
          </w:p>
        </w:tc>
      </w:tr>
      <w:tr w14:paraId="345C6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99D9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全省</w:t>
            </w:r>
          </w:p>
        </w:tc>
      </w:tr>
    </w:tbl>
    <w:p w14:paraId="4B295261">
      <w:pPr>
        <w:rPr>
          <w:rFonts w:hint="default"/>
          <w:lang w:val="en-US" w:eastAsia="zh-CN"/>
        </w:rPr>
      </w:pPr>
    </w:p>
    <w:p w14:paraId="087EA455">
      <w:pPr>
        <w:rPr>
          <w:rFonts w:hint="default"/>
          <w:lang w:val="en-US" w:eastAsia="zh-CN"/>
        </w:rPr>
      </w:pPr>
    </w:p>
    <w:p w14:paraId="640811EE">
      <w:pPr>
        <w:rPr>
          <w:rFonts w:hint="default"/>
          <w:lang w:val="en-US" w:eastAsia="zh-CN"/>
        </w:rPr>
      </w:pPr>
    </w:p>
    <w:p w14:paraId="70640E7F">
      <w:pPr>
        <w:rPr>
          <w:rFonts w:hint="default"/>
          <w:lang w:val="en-US" w:eastAsia="zh-CN"/>
        </w:rPr>
      </w:pPr>
    </w:p>
    <w:p w14:paraId="67AEC49C">
      <w:pPr>
        <w:rPr>
          <w:rFonts w:hint="default"/>
          <w:lang w:val="en-US" w:eastAsia="zh-CN"/>
        </w:rPr>
      </w:pPr>
    </w:p>
    <w:p w14:paraId="1A3268E6">
      <w:pPr>
        <w:rPr>
          <w:rFonts w:hint="default"/>
          <w:lang w:val="en-US" w:eastAsia="zh-CN"/>
        </w:rPr>
      </w:pPr>
    </w:p>
    <w:p w14:paraId="23F373A3">
      <w:pPr>
        <w:rPr>
          <w:rFonts w:hint="default"/>
          <w:lang w:val="en-US" w:eastAsia="zh-CN"/>
        </w:rPr>
      </w:pPr>
    </w:p>
    <w:p w14:paraId="54D14D0B">
      <w:pPr>
        <w:rPr>
          <w:rFonts w:hint="default"/>
          <w:lang w:val="en-US" w:eastAsia="zh-CN"/>
        </w:rPr>
      </w:pPr>
    </w:p>
    <w:p w14:paraId="27C3BD63">
      <w:pPr>
        <w:rPr>
          <w:rFonts w:hint="default"/>
          <w:lang w:val="en-US" w:eastAsia="zh-CN"/>
        </w:rPr>
      </w:pPr>
    </w:p>
    <w:p w14:paraId="33E3C2C6">
      <w:pPr>
        <w:rPr>
          <w:rFonts w:hint="default"/>
          <w:lang w:val="en-US" w:eastAsia="zh-CN"/>
        </w:rPr>
      </w:pPr>
    </w:p>
    <w:p w14:paraId="27BA62A3">
      <w:pPr>
        <w:rPr>
          <w:rFonts w:hint="default"/>
          <w:lang w:val="en-US" w:eastAsia="zh-CN"/>
        </w:rPr>
      </w:pPr>
    </w:p>
    <w:p w14:paraId="4E5E9326">
      <w:pPr>
        <w:rPr>
          <w:rFonts w:hint="default"/>
          <w:lang w:val="en-US" w:eastAsia="zh-CN"/>
        </w:rPr>
      </w:pPr>
    </w:p>
    <w:p w14:paraId="454ED5F9">
      <w:pPr>
        <w:rPr>
          <w:rFonts w:hint="default"/>
          <w:lang w:val="en-US" w:eastAsia="zh-CN"/>
        </w:rPr>
      </w:pPr>
    </w:p>
    <w:p w14:paraId="4DD9CCCB">
      <w:pPr>
        <w:rPr>
          <w:rFonts w:hint="default"/>
          <w:lang w:val="en-US" w:eastAsia="zh-CN"/>
        </w:rPr>
      </w:pPr>
    </w:p>
    <w:p w14:paraId="227A903C">
      <w:pPr>
        <w:rPr>
          <w:rFonts w:hint="default"/>
          <w:lang w:val="en-US" w:eastAsia="zh-CN"/>
        </w:rPr>
      </w:pPr>
    </w:p>
    <w:p w14:paraId="5A2CB27A">
      <w:pPr>
        <w:rPr>
          <w:rFonts w:hint="default"/>
          <w:lang w:val="en-US" w:eastAsia="zh-CN"/>
        </w:rPr>
      </w:pPr>
    </w:p>
    <w:p w14:paraId="26E22A5D">
      <w:pPr>
        <w:rPr>
          <w:rFonts w:hint="default"/>
          <w:lang w:val="en-US" w:eastAsia="zh-CN"/>
        </w:rPr>
      </w:pPr>
    </w:p>
    <w:p w14:paraId="4A5F20FF">
      <w:pPr>
        <w:rPr>
          <w:rFonts w:hint="default"/>
          <w:lang w:val="en-US" w:eastAsia="zh-CN"/>
        </w:rPr>
      </w:pPr>
    </w:p>
    <w:p w14:paraId="54318FC8">
      <w:pPr>
        <w:rPr>
          <w:rFonts w:hint="default"/>
          <w:lang w:val="en-US" w:eastAsia="zh-CN"/>
        </w:rPr>
      </w:pPr>
    </w:p>
    <w:p w14:paraId="73926878">
      <w:pPr>
        <w:rPr>
          <w:rFonts w:hint="default"/>
          <w:lang w:val="en-US" w:eastAsia="zh-CN"/>
        </w:rPr>
      </w:pPr>
    </w:p>
    <w:p w14:paraId="7C661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图2-15 当年创新驱动指数较上年提高百分点</w:t>
      </w:r>
    </w:p>
    <w:p w14:paraId="188F5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根据2-14数据重新计算</w:t>
      </w:r>
    </w:p>
    <w:p w14:paraId="103840AA">
      <w:pPr>
        <w:rPr>
          <w:rFonts w:hint="eastAsia"/>
          <w:lang w:val="en-US" w:eastAsia="zh-CN"/>
        </w:rPr>
      </w:pPr>
    </w:p>
    <w:p w14:paraId="1985E4F1">
      <w:pPr>
        <w:rPr>
          <w:rFonts w:hint="eastAsia"/>
          <w:lang w:val="en-US" w:eastAsia="zh-CN"/>
        </w:rPr>
      </w:pPr>
    </w:p>
    <w:p w14:paraId="5D833D80">
      <w:pPr>
        <w:rPr>
          <w:rFonts w:hint="default"/>
          <w:lang w:val="en-US" w:eastAsia="zh-CN"/>
        </w:rPr>
      </w:pPr>
      <w:r>
        <w:rPr>
          <w:rFonts w:hint="default" w:ascii="仿宋_GB2312" w:hAnsi="仿宋_GB2312" w:eastAsia="仿宋_GB2312" w:cs="仿宋_GB2312"/>
          <w:color w:val="333333"/>
          <w:kern w:val="0"/>
          <w:sz w:val="24"/>
          <w:szCs w:val="24"/>
          <w:lang w:val="en-US" w:eastAsia="zh-CN" w:bidi="ar"/>
        </w:rPr>
        <w:t>区域综合科技创新水平分析</w:t>
      </w:r>
      <w:r>
        <w:rPr>
          <w:rFonts w:hint="eastAsia" w:ascii="仿宋_GB2312" w:hAnsi="仿宋_GB2312" w:eastAsia="仿宋_GB2312" w:cs="仿宋_GB2312"/>
          <w:color w:val="333333"/>
          <w:kern w:val="0"/>
          <w:sz w:val="24"/>
          <w:szCs w:val="24"/>
          <w:lang w:val="en-US" w:eastAsia="zh-CN" w:bidi="ar"/>
        </w:rPr>
        <w:t>-16个地市（表3-1到表3-16）</w:t>
      </w:r>
    </w:p>
    <w:p w14:paraId="104C0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2023年 的 创新驱动指数 和 总指数</w:t>
      </w:r>
      <w:r>
        <w:rPr>
          <w:rFonts w:hint="eastAsia"/>
          <w:lang w:val="en-US" w:eastAsia="zh-CN"/>
        </w:rPr>
        <w:t xml:space="preserve"> ，2个数据均与原数据表不一致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3556D"/>
    <w:rsid w:val="01E26FBE"/>
    <w:rsid w:val="056F02C5"/>
    <w:rsid w:val="0933556D"/>
    <w:rsid w:val="09D8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428</Words>
  <Characters>545</Characters>
  <Lines>0</Lines>
  <Paragraphs>0</Paragraphs>
  <TotalTime>6</TotalTime>
  <ScaleCrop>false</ScaleCrop>
  <LinksUpToDate>false</LinksUpToDate>
  <CharactersWithSpaces>598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2026-03-02T02:28:00Z</dcterms:created>
  <dc:creator>王元</dc:creator>
  <cp:lastModifiedBy>王元</cp:lastModifiedBy>
  <dcterms:modified xsi:type="dcterms:W3CDTF">2026-03-04T09:13:53Z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FF400309854B40AABFA087EA7EF5D39E_11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