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5A632C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00" w:afterAutospacing="0"/>
        <w:ind w:left="0" w:right="0" w:firstLine="0"/>
      </w:pPr>
      <w:r>
        <w:rPr>
          <w:bdr w:val="none" w:color="auto" w:sz="0" w:space="0"/>
        </w:rPr>
        <w:t>各市党委网信办、大数据局、公安局、密码管理局，省直有关部门，有关单位：</w:t>
      </w:r>
    </w:p>
    <w:p w14:paraId="4BA007C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48"/>
      </w:pPr>
      <w:r>
        <w:rPr>
          <w:bdr w:val="none" w:color="auto" w:sz="0" w:space="0"/>
        </w:rPr>
        <w:t>为加强网络安全保障体系和能力建设，省委网信办、省大数据局、省公安厅、省密码管理局组织开展2025年度山东省网络安全创新案例征集工作。有关事项通知如下：</w:t>
      </w:r>
    </w:p>
    <w:p w14:paraId="4189459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4377F20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5"/>
          <w:bdr w:val="none" w:color="auto" w:sz="0" w:space="0"/>
        </w:rPr>
        <w:t>一、工作目标</w:t>
      </w:r>
    </w:p>
    <w:p w14:paraId="114ABA0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48"/>
      </w:pPr>
      <w:r>
        <w:rPr>
          <w:bdr w:val="none" w:color="auto" w:sz="0" w:space="0"/>
        </w:rPr>
        <w:t>坚持问题导向、实战牵引、创新驱动，面向新型智慧城市、数字政府、新技术新应用、商用密码等方向，重点关注教育、卫生健康、国有企业等行业领域网络安全需求，总结梳理网络安全工作实践路径、先进模式与创新举措，助力网络强省建设。</w:t>
      </w:r>
    </w:p>
    <w:p w14:paraId="00EEC45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0CFE1E3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5"/>
          <w:bdr w:val="none" w:color="auto" w:sz="0" w:space="0"/>
        </w:rPr>
        <w:t>二、工作要求</w:t>
      </w:r>
    </w:p>
    <w:p w14:paraId="32C7EF7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00" w:afterAutospacing="0"/>
        <w:ind w:left="0" w:right="0" w:firstLine="448"/>
      </w:pPr>
      <w:r>
        <w:rPr>
          <w:bdr w:val="none" w:color="auto" w:sz="0" w:space="0"/>
        </w:rPr>
        <w:t>（一）各市党委网信办、大数据局、公安局、密码管理局共同负责组织开展本市网络安全创新案例征集相关工作。省直单位、省属企业、中央驻鲁单位等负责本单位和归口管理</w:t>
      </w:r>
      <w:bookmarkStart w:id="0" w:name="_GoBack"/>
      <w:bookmarkEnd w:id="0"/>
      <w:r>
        <w:rPr>
          <w:bdr w:val="none" w:color="auto" w:sz="0" w:space="0"/>
        </w:rPr>
        <w:t>单位的创新案例征集、审核、汇总、推荐工作。</w:t>
      </w:r>
    </w:p>
    <w:p w14:paraId="09EE35F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00" w:afterAutospacing="0"/>
        <w:ind w:left="0" w:right="0" w:firstLine="448"/>
      </w:pPr>
      <w:r>
        <w:rPr>
          <w:bdr w:val="none" w:color="auto" w:sz="0" w:space="0"/>
        </w:rPr>
        <w:t>（二）申报范围包括不限于新型智慧城市和数字政府、网络和数据安全行政执法与刑事打击、重点行业和关键信息基础设施保护、商用密码合规应用与融合创新、新技术新应用、教育技术产业融合发展等领域网络安全创新等（详见附件1）。</w:t>
      </w:r>
    </w:p>
    <w:p w14:paraId="388ADE7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00" w:afterAutospacing="0"/>
        <w:ind w:left="0" w:right="0" w:firstLine="448"/>
      </w:pPr>
      <w:r>
        <w:rPr>
          <w:bdr w:val="none" w:color="auto" w:sz="0" w:space="0"/>
        </w:rPr>
        <w:t>（三）同一申报主体申报方向不限，同一案例不能重复申报。前两年已获创新案例的项目、申报单位近三年发生较大或有影响的网络安全事件的不予申报。</w:t>
      </w:r>
    </w:p>
    <w:p w14:paraId="46ADA17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00" w:afterAutospacing="0"/>
        <w:ind w:left="0" w:right="0" w:firstLine="448"/>
      </w:pPr>
      <w:r>
        <w:rPr>
          <w:bdr w:val="none" w:color="auto" w:sz="0" w:space="0"/>
        </w:rPr>
        <w:t>（四）各单位根据《山东省网络安全创新案例征集方向说明》（附件1），组织填报《山东省网络安全创新案例申报书》（附件2），经汇总后形成《山东省网络安全创新案例汇总表》（附件3）。</w:t>
      </w:r>
    </w:p>
    <w:p w14:paraId="398E1FB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48"/>
      </w:pPr>
      <w:r>
        <w:rPr>
          <w:bdr w:val="none" w:color="auto" w:sz="0" w:space="0"/>
        </w:rPr>
        <w:t>（五）为保障案例的可推广性，要求案例材料应进行脱敏，可以公开宣传推广。申报材料应内容真实、重点突出、表述准确，相关内容应拥有自主知识产权。</w:t>
      </w:r>
    </w:p>
    <w:p w14:paraId="78B85AB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45C24A9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5"/>
          <w:bdr w:val="none" w:color="auto" w:sz="0" w:space="0"/>
        </w:rPr>
        <w:t>三、工作安排</w:t>
      </w:r>
    </w:p>
    <w:p w14:paraId="46CB0D8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00" w:afterAutospacing="0"/>
        <w:ind w:left="0" w:right="0" w:firstLine="448"/>
      </w:pPr>
      <w:r>
        <w:rPr>
          <w:rStyle w:val="5"/>
          <w:bdr w:val="none" w:color="auto" w:sz="0" w:space="0"/>
        </w:rPr>
        <w:t>（一）组织申报。</w:t>
      </w:r>
      <w:r>
        <w:rPr>
          <w:bdr w:val="none" w:color="auto" w:sz="0" w:space="0"/>
        </w:rPr>
        <w:t>2026年3月10日前，各市、各部门组织本地区、本行业领域申报意向单位填写申报书（附件2），汇总案例材料并进行初审后，将汇总案例材料和汇总表（附件3）（盖章文件PDF扫描版和文档电子版刻录在光盘中）报送至国家互联网应急中心山东分中心（以下简称“山东分中心”）（地址：济南市市中区经九路66号817室;联系方式：李睿、薛俊凯，17553106921，17553106982，lir@cert.org.cn）。</w:t>
      </w:r>
    </w:p>
    <w:p w14:paraId="061D2CA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00" w:afterAutospacing="0"/>
        <w:ind w:left="0" w:right="0" w:firstLine="448"/>
      </w:pPr>
      <w:r>
        <w:rPr>
          <w:rStyle w:val="5"/>
          <w:bdr w:val="none" w:color="auto" w:sz="0" w:space="0"/>
        </w:rPr>
        <w:t>（二）遴选推广。</w:t>
      </w:r>
      <w:r>
        <w:rPr>
          <w:bdr w:val="none" w:color="auto" w:sz="0" w:space="0"/>
        </w:rPr>
        <w:t>省委网信办、省大数据局、省公安厅、省密码管理局组织领域内专家对申报项目开展遴选评审，对入选网络安全创新案例名单的申报项目进行公示，并将加强宣传推广。</w:t>
      </w:r>
    </w:p>
    <w:p w14:paraId="4D4FBCA5"/>
    <w:sectPr>
      <w:pgSz w:w="11900" w:h="16840"/>
      <w:pgMar w:top="1440" w:right="1800" w:bottom="1440" w:left="1800" w:header="851" w:footer="964" w:gutter="0"/>
      <w:pgNumType w:start="1"/>
      <w:cols w:space="0" w:num="1"/>
      <w:titlePg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CFF401B"/>
    <w:rsid w:val="5BEB7E1A"/>
    <w:rsid w:val="7E7F57CD"/>
    <w:rsid w:val="E969E2A1"/>
    <w:rsid w:val="FC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Office_7.3.0.8966_F1E327BC-269C-435d-A152-05C5408002CA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2026-02-05T14:50:00Z</dcterms:created>
  <dc:creator>王元</dc:creator>
  <cp:lastModifiedBy>王元</cp:lastModifiedBy>
  <dcterms:modified xsi:type="dcterms:W3CDTF">2026-02-05T14:50:26Z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2052-7.3.0.8966</vt:lpwstr>
  </property>
  <property fmtid="{D5CDD505-2E9C-101B-9397-08002B2CF9AE}" pid="3" name="ICV">
    <vt:lpwstr>E84F5532E0888F129D3D84697C228E67_41</vt:lpwstr>
  </property>
</Properties>
</file>