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596"/>
            </w:pPr>
          </w:p>
          <w:p>
            <w:pPr>
              <w:pBdr>
                <w:bottom w:val="single" w:color="37DCF2" w:sz="6" w:space="8"/>
              </w:pBdr>
              <w:spacing w:after="500"/>
              <w:ind w:left="1200" w:right="800"/>
            </w:pPr>
            <w:r>
              <w:rPr>
                <w:rFonts w:ascii="Calibri" w:eastAsia="SimHei"/>
                <w:color w:val="37DCF2"/>
                <w:spacing w:val="40"/>
                <w:sz w:val="18"/>
                <w:szCs w:val="18"/>
              </w:rPr>
              <w:t xml:space="preserve">R  E  P  O  S  I  T  O  R  Y     A  N  A  L  Y  S  I  S     R  E  P  O  R  T</w:t>
            </w:r>
          </w:p>
          <w:p>
            <w:pPr>
              <w:spacing w:after="300" w:line="920" w:lineRule="atLeast"/>
              <w:ind w:left="1200"/>
            </w:pPr>
            <w:r>
              <w:rPr>
                <w:rFonts w:ascii="Arial" w:eastAsia="SimHei"/>
                <w:b/>
                <w:bCs/>
                <w:color w:val="FFFFFF"/>
                <w:sz w:val="80"/>
                <w:szCs w:val="80"/>
              </w:rPr>
              <w:t xml:space="preserve">Awesome Zhuiju Free</w:t>
            </w:r>
          </w:p>
          <w:p>
            <w:pPr>
              <w:spacing w:after="800"/>
              <w:ind w:left="1200"/>
            </w:pPr>
            <w:r>
              <w:rPr>
                <w:rFonts w:ascii="Arial" w:eastAsia="Microsoft YaHei"/>
                <w:color w:val="B0B8C0"/>
                <w:sz w:val="24"/>
                <w:szCs w:val="24"/>
              </w:rPr>
              <w:t xml:space="preserve">laoma528/awesome-zhuiju-free · zhuiju.me</w:t>
            </w:r>
          </w:p>
          <w:p>
            <w:pPr>
              <w:pBdr>
                <w:left w:val="single" w:color="37DCF2" w:sz="8" w:space="12"/>
              </w:pBdr>
              <w:spacing w:after="80"/>
              <w:ind w:left="1400"/>
            </w:pPr>
            <w:r>
              <w:rPr>
                <w:rFonts w:ascii="Arial" w:eastAsia="Microsoft YaHei"/>
                <w:color w:val="90989F"/>
                <w:sz w:val="24"/>
                <w:szCs w:val="24"/>
              </w:rPr>
              <w:t xml:space="preserve">Subject: curated index of free Chinese streaming resources</w:t>
            </w:r>
          </w:p>
          <w:p>
            <w:pPr>
              <w:pBdr>
                <w:left w:val="single" w:color="37DCF2" w:sz="8" w:space="12"/>
              </w:pBdr>
              <w:spacing w:after="80"/>
              <w:ind w:left="1400"/>
            </w:pPr>
            <w:r>
              <w:rPr>
                <w:rFonts w:ascii="Arial" w:eastAsia="Microsoft YaHei"/>
                <w:color w:val="90989F"/>
                <w:sz w:val="24"/>
                <w:szCs w:val="24"/>
              </w:rPr>
              <w:t xml:space="preserve">Snapshot: October 14, 2026 · 119 resources · 9 categories</w:t>
            </w:r>
          </w:p>
          <w:p>
            <w:pPr>
              <w:pBdr>
                <w:left w:val="single" w:color="37DCF2" w:sz="8" w:space="12"/>
              </w:pBdr>
              <w:spacing w:after="80"/>
              <w:ind w:left="1400"/>
            </w:pPr>
            <w:r>
              <w:rPr>
                <w:rFonts w:ascii="Arial" w:eastAsia="Microsoft YaHei"/>
                <w:color w:val="90989F"/>
                <w:sz w:val="24"/>
                <w:szCs w:val="24"/>
              </w:rPr>
              <w:t xml:space="preserve">Scope: purpose, inventory, automation, growth, legal posture</w:t>
            </w:r>
          </w:p>
          <w:p>
            <w:pPr>
              <w:pBdr>
                <w:left w:val="single" w:color="37DCF2" w:sz="8" w:space="12"/>
              </w:pBdr>
              <w:spacing w:after="80"/>
              <w:ind w:left="1400"/>
            </w:pPr>
            <w:r>
              <w:rPr>
                <w:rFonts w:ascii="Arial" w:eastAsia="Microsoft YaHei"/>
                <w:color w:val="90989F"/>
                <w:sz w:val="24"/>
                <w:szCs w:val="24"/>
              </w:rPr>
              <w:t xml:space="preserve">Stance: neutral findings, no endorsement</w:t>
            </w:r>
          </w:p>
          <w:p>
            <w:pPr>
              <w:spacing w:before="4596"/>
            </w:pPr>
          </w:p>
          <w:p>
            <w:pPr>
              <w:pBdr>
                <w:top w:val="single" w:color="37DCF2" w:sz="2" w:space="8"/>
              </w:pBdr>
              <w:spacing w:before="200"/>
              <w:ind w:left="1200" w:right="800"/>
            </w:pPr>
            <w:r>
              <w:rPr>
                <w:rFonts w:ascii="Arial"/>
                <w:color w:val="687078"/>
                <w:sz w:val="16"/>
                <w:szCs w:val="16"/>
              </w:rPr>
              <w:t xml:space="preserve">Independent Repository Analysis</w:t>
            </w:r>
            <w:r>
              <w:t xml:space="preserve">                                        </w:t>
            </w:r>
            <w:r>
              <w:rPr>
                <w:rFonts w:ascii="Arial"/>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line="312"/>
        <w:jc w:val="center"/>
      </w:pPr>
      <w:r>
        <w:rPr>
          <w:rFonts w:ascii="Times New Roman" w:eastAsia="SimHei"/>
          <w:b/>
          <w:bCs/>
          <w:color w:val="162235"/>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p>
        <w:p>
          <w:pPr>
            <w:pStyle w:val="9"/>
            <w:tabs>
              <w:tab w:val="right" w:leader="dot" w:pos="9026"/>
            </w:tabs>
            <w:spacing w:before="120" w:after="60"/>
          </w:pPr>
          <w:r>
            <w:t>1. Executive Overview</w:t>
          </w:r>
          <w:r>
            <w:tab/>
          </w:r>
          <w:r>
            <w:t>1</w:t>
          </w:r>
        </w:p>
        <w:p>
          <w:pPr>
            <w:pStyle w:val="9"/>
            <w:tabs>
              <w:tab w:val="right" w:leader="dot" w:pos="9026"/>
            </w:tabs>
            <w:spacing w:before="120" w:after="60"/>
          </w:pPr>
          <w:r>
            <w:t>2. Purpose, Positioning and Target Audience</w:t>
          </w:r>
          <w:r>
            <w:tab/>
          </w:r>
          <w:r>
            <w:t>1</w:t>
          </w:r>
        </w:p>
        <w:p>
          <w:pPr>
            <w:pStyle w:val="9"/>
            <w:tabs>
              <w:tab w:val="right" w:leader="dot" w:pos="9026"/>
            </w:tabs>
            <w:spacing w:before="120" w:after="60"/>
          </w:pPr>
          <w:r>
            <w:t>3. Repository Structure and Resource Inventory</w:t>
          </w:r>
          <w:r>
            <w:tab/>
          </w:r>
          <w:r>
            <w:t>2</w:t>
          </w:r>
        </w:p>
        <w:p>
          <w:pPr>
            <w:pStyle w:val="11"/>
            <w:ind w:left="360"/>
            <w:tabs>
              <w:tab w:val="right" w:leader="dot" w:pos="9026"/>
            </w:tabs>
            <w:spacing w:before="120" w:after="60"/>
          </w:pPr>
          <w:r>
            <w:t>3.1 Data Architecture</w:t>
          </w:r>
          <w:r>
            <w:tab/>
          </w:r>
          <w:r>
            <w:t>2</w:t>
          </w:r>
        </w:p>
        <w:p>
          <w:pPr>
            <w:pStyle w:val="11"/>
            <w:ind w:left="360"/>
            <w:tabs>
              <w:tab w:val="right" w:leader="dot" w:pos="9026"/>
            </w:tabs>
            <w:spacing w:before="120" w:after="60"/>
          </w:pPr>
          <w:r>
            <w:t>3.2 Catalog Composition</w:t>
          </w:r>
          <w:r>
            <w:tab/>
          </w:r>
          <w:r>
            <w:t>3</w:t>
          </w:r>
        </w:p>
        <w:p>
          <w:pPr>
            <w:pStyle w:val="9"/>
            <w:tabs>
              <w:tab w:val="right" w:leader="dot" w:pos="9026"/>
            </w:tabs>
            <w:spacing w:before="120" w:after="60"/>
          </w:pPr>
          <w:r>
            <w:t>4. Automation and Maintenance Model</w:t>
          </w:r>
          <w:r>
            <w:tab/>
          </w:r>
          <w:r>
            <w:t>3</w:t>
          </w:r>
        </w:p>
        <w:p>
          <w:pPr>
            <w:pStyle w:val="11"/>
            <w:ind w:left="360"/>
            <w:tabs>
              <w:tab w:val="right" w:leader="dot" w:pos="9026"/>
            </w:tabs>
            <w:spacing w:before="120" w:after="60"/>
          </w:pPr>
          <w:r>
            <w:t>4.1 Automation Pipeline</w:t>
          </w:r>
          <w:r>
            <w:tab/>
          </w:r>
          <w:r>
            <w:t>3</w:t>
          </w:r>
        </w:p>
        <w:p>
          <w:pPr>
            <w:pStyle w:val="11"/>
            <w:ind w:left="360"/>
            <w:tabs>
              <w:tab w:val="right" w:leader="dot" w:pos="9026"/>
            </w:tabs>
            <w:spacing w:before="120" w:after="60"/>
          </w:pPr>
          <w:r>
            <w:t>4.2 Governance and Contribution Pipeline</w:t>
          </w:r>
          <w:r>
            <w:tab/>
          </w:r>
          <w:r>
            <w:t>4</w:t>
          </w:r>
        </w:p>
        <w:p>
          <w:pPr>
            <w:pStyle w:val="9"/>
            <w:tabs>
              <w:tab w:val="right" w:leader="dot" w:pos="9026"/>
            </w:tabs>
            <w:spacing w:before="120" w:after="60"/>
          </w:pPr>
          <w:r>
            <w:t>5. Community, Growth and Monetization</w:t>
          </w:r>
          <w:r>
            <w:tab/>
          </w:r>
          <w:r>
            <w:t>4</w:t>
          </w:r>
        </w:p>
        <w:p>
          <w:pPr>
            <w:pStyle w:val="9"/>
            <w:tabs>
              <w:tab w:val="right" w:leader="dot" w:pos="9026"/>
            </w:tabs>
            <w:spacing w:before="120" w:after="60"/>
          </w:pPr>
          <w:r>
            <w:t>6. Legal, Risk and Compliance Considerations</w:t>
          </w:r>
          <w:r>
            <w:tab/>
          </w:r>
          <w:r>
            <w:t>5</w:t>
          </w:r>
        </w:p>
        <w:p>
          <w:pPr>
            <w:pStyle w:val="11"/>
            <w:ind w:left="360"/>
            <w:tabs>
              <w:tab w:val="right" w:leader="dot" w:pos="9026"/>
            </w:tabs>
            <w:spacing w:before="120" w:after="60"/>
          </w:pPr>
          <w:r>
            <w:t>6.1 Safeguards and Transparency</w:t>
          </w:r>
          <w:r>
            <w:tab/>
          </w:r>
          <w:r>
            <w:t>5</w:t>
          </w:r>
        </w:p>
        <w:p>
          <w:pPr>
            <w:pStyle w:val="11"/>
            <w:ind w:left="360"/>
            <w:tabs>
              <w:tab w:val="right" w:leader="dot" w:pos="9026"/>
            </w:tabs>
            <w:spacing w:before="120" w:after="60"/>
          </w:pPr>
          <w:r>
            <w:t>6.2 Residual Risks</w:t>
          </w:r>
          <w:r>
            <w:tab/>
          </w:r>
          <w:r>
            <w:t>5</w:t>
          </w:r>
        </w:p>
        <w:p>
          <w:pPr>
            <w:pStyle w:val="9"/>
            <w:tabs>
              <w:tab w:val="right" w:leader="dot" w:pos="9026"/>
            </w:tabs>
            <w:spacing w:before="120" w:after="60"/>
          </w:pPr>
          <w:r>
            <w:t>7. Neutral Observations and Closing Assessment</w:t>
          </w:r>
          <w:r>
            <w:tab/>
          </w:r>
          <w:r>
            <w:t>5</w:t>
          </w:r>
        </w:p>
        <w:p>
          <w:r>
            <w:fldChar w:fldCharType="end"/>
          </w:r>
        </w:p>
      </w:sdtContent>
    </w:sdt>
    <w:p>
      <w:pPr>
        <w:spacing w:before="200" w:line="24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jc w:val="center"/>
      </w:pPr>
      <w:bookmarkStart w:name="_Toc1" w:id="1"/>
      <w:r>
        <w:rPr>
          <w:rFonts w:ascii="Times New Roman" w:eastAsia="SimHei"/>
          <w:b/>
          <w:bCs/>
          <w:color w:val="162235"/>
          <w:sz w:val="32"/>
          <w:szCs w:val="32"/>
        </w:rPr>
        <w:t xml:space="preserve">1. Executive Overview</w:t>
      </w:r>
      <w:bookmarkEnd w:id="1"/>
    </w:p>
    <w:p>
      <w:pPr>
        <w:spacing w:after="120" w:line="312"/>
        <w:jc w:val="left"/>
      </w:pPr>
      <w:r>
        <w:rPr>
          <w:rFonts w:ascii="Times New Roman" w:eastAsia="SimSun"/>
          <w:color w:val="000000"/>
          <w:sz w:val="24"/>
          <w:szCs w:val="24"/>
        </w:rPr>
        <w:t xml:space="preserve">This report analyzes the GitHub repository laoma528/awesome-zhuiju-free, a Chinese-language curated list that describes itself as a free, ad-free guide to binge-watching resources (免费无广告的追剧资源指南). The project aggregates links to online streaming sites, video apps, cloud-drive search engines, magnet and subtitle sources, TVBox-style player shells and their configuration feeds, IPTV live sources, membership group-buy offers, and open-source projects. Its stated intent is to help Chinese-speaking viewers find working video sources without wading through dead links and advertising-heavy portals. The repository is written almost entirely in Chinese and is accompanied by a public navigation website at zhuiju.me.</w:t>
      </w:r>
    </w:p>
    <w:p>
      <w:pPr>
        <w:spacing w:after="120" w:line="312"/>
        <w:jc w:val="left"/>
      </w:pPr>
      <w:r>
        <w:rPr>
          <w:rFonts w:ascii="Times New Roman" w:eastAsia="SimSun"/>
          <w:color w:val="000000"/>
          <w:sz w:val="24"/>
          <w:szCs w:val="24"/>
        </w:rPr>
        <w:t xml:space="preserve">The measurable profile is strong for a list-type repository. As of the data snapshot taken on October 14, 2026, the project holds approximately 12,000 stars and 821 forks with 12 open issues, and it accumulated that star count within roughly four months of its creation in June 2026. Its catalog contains 119 resources organized into nine data categories, each described in a machine-readable JSON database licensed under Creative Commons Attribution 4.0 (CC BY 4.0). Automated availability checks run daily through GitHub Actions; the most recent run tested 96 featured destinations and found 68 reachable, 19 restricted, and 9 unreachable.</w:t>
      </w:r>
    </w:p>
    <w:p>
      <w:pPr>
        <w:spacing w:after="120" w:line="312"/>
        <w:jc w:val="left"/>
      </w:pPr>
      <w:r>
        <w:rPr>
          <w:rFonts w:ascii="Times New Roman" w:eastAsia="SimSun"/>
          <w:color w:val="000000"/>
          <w:sz w:val="24"/>
          <w:szCs w:val="24"/>
        </w:rPr>
        <w:t xml:space="preserve">Three findings frame the remainder of this report. First, the project is engineered well beyond the average awesome-list: a single JSON source of truth, a README generated from that database, five automation workflows, and an issue-driven publishing pipeline replace most manual curation work. Second, its growth was deliberately cultivated through a documented outreach campaign across Chinese content platforms rather than left to organic discovery. Third, the project operates in a legally grey niche yet is unusually candid about that fact, flagging 90 of its 119 entries as carrying high copyright risk. The analysis below is descriptive and neutral in line with its stated purpose; it neither endorses nor condemns the destinations that the list indexes.</w:t>
      </w:r>
    </w:p>
    <w:p>
      <w:pPr>
        <w:pStyle w:val="Heading1"/>
        <w:spacing w:after="160" w:before="360" w:line="312"/>
        <w:jc w:val="center"/>
      </w:pPr>
      <w:bookmarkStart w:name="_Toc2" w:id="2"/>
      <w:r>
        <w:rPr>
          <w:rFonts w:ascii="Times New Roman" w:eastAsia="SimHei"/>
          <w:b/>
          <w:bCs/>
          <w:color w:val="162235"/>
          <w:sz w:val="32"/>
          <w:szCs w:val="32"/>
        </w:rPr>
        <w:t xml:space="preserve">2. Purpose, Positioning and Target Audience</w:t>
      </w:r>
      <w:bookmarkEnd w:id="2"/>
    </w:p>
    <w:p>
      <w:pPr>
        <w:spacing w:after="120" w:line="312"/>
        <w:jc w:val="left"/>
      </w:pPr>
      <w:r>
        <w:rPr>
          <w:rFonts w:ascii="Times New Roman" w:eastAsia="SimSun"/>
          <w:color w:val="000000"/>
          <w:sz w:val="24"/>
          <w:szCs w:val="24"/>
        </w:rPr>
        <w:t xml:space="preserve">The word zhuiju (追剧) translates literally as chasing dramas and is the common Chinese term for following serialized television content. The repository positions itself as an antidote to a familiar set of problems: navigation sites that list links nobody has verified, pages saturated with advertisements and pop-ups, and domains that vanish or change overnight. The README's own comparison table contrasts the project with ordinary navigation sites on four axes, namely human curation, daily automated availability checks, open data, and the ability for anyone to contribute through GitHub issues. These are the project's self-declared claims, and the mechanisms behind them are examined in Section 4 of this report.</w:t>
      </w:r>
    </w:p>
    <w:p>
      <w:pPr>
        <w:spacing w:after="120" w:line="312"/>
        <w:jc w:val="left"/>
      </w:pPr>
      <w:r>
        <w:rPr>
          <w:rFonts w:ascii="Times New Roman" w:eastAsia="SimSun"/>
          <w:color w:val="000000"/>
          <w:sz w:val="24"/>
          <w:szCs w:val="24"/>
        </w:rPr>
        <w:t xml:space="preserve">The intended audience is Chinese-speaking viewers, with a visible emphasis on three communities. The first is users of the TVBox and Yingshicang (影视仓) ecosystem, Android TV player shells that load third-party configuration feeds; fifteen catalog entries exist specifically for such configuration sources and seven for player shells. The second is IPTV users, who consume the live-source entries. The third is users of cloud-drive search and magnet services. One indexed example, the overseas-drama aggregator No Video (No影视), is explicitly annotated as requiring a VPN, which indicates the audience also includes users who route around regional restrictions.</w:t>
      </w:r>
    </w:p>
    <w:p>
      <w:pPr>
        <w:spacing w:after="120" w:line="312"/>
        <w:jc w:val="left"/>
      </w:pPr>
      <w:r>
        <w:rPr>
          <w:rFonts w:ascii="Times New Roman" w:eastAsia="SimSun"/>
          <w:color w:val="000000"/>
          <w:sz w:val="24"/>
          <w:szCs w:val="24"/>
        </w:rPr>
        <w:t xml:space="preserve">The README groups the catalog into ten display sections: online video sites (在线影视), video apps (影视APP), cloud-drive search (网盘资源搜索), magnet and BT (磁力&amp;BT), subtitles (字幕资源), TVBox/Yingshicang shells (TVBox/影视仓空壳), TVBox/Yingshicang configuration addresses (TVBox/影视仓配置地址), live sources (直播源), membership group-buys (会员拼团), and open-source projects (开源项目). The underlying data model normalizes these into nine categories, since the TVBox display split between shells and configuration addresses collapses into adjacent data groupings. Coverage is therefore broad rather than narrow, spanning browser-based sites, native applications, and home-theater tooling.</w:t>
      </w:r>
    </w:p>
    <w:p>
      <w:pPr>
        <w:spacing w:after="120" w:line="312"/>
        <w:jc w:val="left"/>
      </w:pPr>
      <w:r>
        <w:rPr>
          <w:rFonts w:ascii="Times New Roman" w:eastAsia="SimSun"/>
          <w:color w:val="000000"/>
          <w:sz w:val="24"/>
          <w:szCs w:val="24"/>
        </w:rPr>
        <w:t xml:space="preserve">Positioning is index-only by design. The published project principles state that the repository does not host, upload, copy, or sell third-party video content, and describe its output as an index combined with experience records and risk warnings. The project also emphasizes that inclusion is not the end of the process, because every record should display its most recent verification date. This framing is central to how the project presents its own legality, and it is revisited in detail in Section 6.</w:t>
      </w:r>
    </w:p>
    <w:p>
      <w:pPr>
        <w:pStyle w:val="Heading1"/>
        <w:spacing w:after="160" w:before="360" w:line="312"/>
        <w:jc w:val="center"/>
      </w:pPr>
      <w:bookmarkStart w:name="_Toc3" w:id="3"/>
      <w:r>
        <w:rPr>
          <w:rFonts w:ascii="Times New Roman" w:eastAsia="SimHei"/>
          <w:b/>
          <w:bCs/>
          <w:color w:val="162235"/>
          <w:sz w:val="32"/>
          <w:szCs w:val="32"/>
        </w:rPr>
        <w:t xml:space="preserve">3. Repository Structure and Resource Inventory</w:t>
      </w:r>
      <w:bookmarkEnd w:id="3"/>
    </w:p>
    <w:p>
      <w:pPr>
        <w:pStyle w:val="Heading2"/>
        <w:spacing w:after="120" w:before="240" w:line="312"/>
      </w:pPr>
      <w:bookmarkStart w:name="_Toc4" w:id="4"/>
      <w:r>
        <w:rPr>
          <w:rFonts w:ascii="Times New Roman" w:eastAsia="SimHei"/>
          <w:b/>
          <w:bCs/>
          <w:color w:val="162235"/>
          <w:sz w:val="30"/>
          <w:szCs w:val="30"/>
        </w:rPr>
        <w:t xml:space="preserve">3.1 Data Architecture</w:t>
      </w:r>
      <w:bookmarkEnd w:id="4"/>
    </w:p>
    <w:p>
      <w:pPr>
        <w:spacing w:after="120" w:line="312"/>
        <w:jc w:val="left"/>
      </w:pPr>
      <w:r>
        <w:rPr>
          <w:rFonts w:ascii="Times New Roman" w:eastAsia="SimSun"/>
          <w:color w:val="000000"/>
          <w:sz w:val="24"/>
          <w:szCs w:val="24"/>
        </w:rPr>
        <w:t xml:space="preserve">The engineering model is data-as-code. The file resources/resources.json is described in the maintainer handbook (MAINTAINERS.md) as the single formal database, and every entry carries an identifier, name, URL, category, summary, short summary, tags, access attributes covering login requirement, free level and regions, five experience scores, four risk labels, a verification record with the last-checked date and method, submission source, and a featured flag. A JSON schema (resources/schema.json) formalizes the structure, and a validation script (scripts/validate-data.mjs) enforces it on every change. At the time of analysis the database stood at schema version 1 with an updated_at stamp of October 12, 2026.</w:t>
      </w:r>
    </w:p>
    <w:p>
      <w:pPr>
        <w:spacing w:after="120" w:line="312"/>
        <w:jc w:val="left"/>
      </w:pPr>
      <w:r>
        <w:rPr>
          <w:rFonts w:ascii="Times New Roman" w:eastAsia="SimSun"/>
          <w:color w:val="000000"/>
          <w:sz w:val="24"/>
          <w:szCs w:val="24"/>
        </w:rPr>
        <w:t xml:space="preserve">The README itself is a generated artifact rather than a hand-edited document. A sync script (scripts/sync-readme.mjs) rebuilds the featured-resource tables from the JSON database, and the repository guidance file (CLAUDE.md) instructs contributors not to hand-edit those blocks. This keeps the 119 entries consistent across the README, the JSON database, and the zhuiju.me mirror site, whose synchronization state is tracked in reports/navigation-sync.json. It also means that front-page badges such as the resource count and the last check date are refreshed automatically instead of manually, which materially reduces the drift that plagues conventional awesome-lists.</w:t>
      </w:r>
    </w:p>
    <w:p>
      <w:pPr>
        <w:pStyle w:val="Heading2"/>
        <w:spacing w:after="120" w:before="240" w:line="312"/>
      </w:pPr>
      <w:bookmarkStart w:name="_Toc5" w:id="5"/>
      <w:r>
        <w:rPr>
          <w:rFonts w:ascii="Times New Roman" w:eastAsia="SimHei"/>
          <w:b/>
          <w:bCs/>
          <w:color w:val="162235"/>
          <w:sz w:val="30"/>
          <w:szCs w:val="30"/>
        </w:rPr>
        <w:t xml:space="preserve">3.2 Catalog Composition</w:t>
      </w:r>
      <w:bookmarkEnd w:id="5"/>
    </w:p>
    <w:p>
      <w:pPr>
        <w:spacing w:after="120" w:line="312"/>
        <w:jc w:val="left"/>
      </w:pPr>
      <w:r>
        <w:rPr>
          <w:rFonts w:ascii="Times New Roman" w:eastAsia="SimSun"/>
          <w:color w:val="000000"/>
          <w:sz w:val="24"/>
          <w:szCs w:val="24"/>
        </w:rPr>
        <w:t xml:space="preserve">The category distribution across 119 entries is as follows: online video sites account for 53 entries (44.5 percent), magnet and BT search for 16 (13.4 percent), TVBox configuration sources for 15 (12.6 percent), open-source projects for 15 (12.6 percent), players for 7 (5.9 percent), video apps for 4 (3.4 percent), cloud-drive search for 4 (3.4 percent), subtitles for 3 (2.5 percent), and subscription group-buys for 2 (1.7 percent). The catalog is therefore dominated by direct streaming destinations, with a meaningful secondary cluster around the TVBox home-theater ecosystem. Only one entry in the entire catalog requires login, and 17 are explicitly classified as free of charge, which underlines how strongly the list is oriented toward no-cost access.</w:t>
      </w:r>
    </w:p>
    <w:p>
      <w:pPr>
        <w:spacing w:after="120" w:line="312"/>
        <w:jc w:val="left"/>
      </w:pPr>
      <w:r>
        <w:rPr>
          <w:rFonts w:ascii="Times New Roman" w:eastAsia="SimSun"/>
          <w:color w:val="000000"/>
          <w:sz w:val="24"/>
          <w:szCs w:val="24"/>
        </w:rPr>
        <w:t xml:space="preserve">Catalog growth was heavily front-loaded. Thirty resources were added in June 2026, fifty-one in July, thirty in August, and then only four each in September and October. Of the current records, 111 are flagged as featured on the README while eight are not. Removal and renaming are part of normal operations: commit history shows unreachable sites such as Xinghe and Darkvod being deleted, and a rename of Kuakeso to KK cloud-drive search (KK网盘搜) after what the commit trail describes as an access change. This churn is consistent with the domain-rotation dynamics of the niche the catalog covers.</w:t>
      </w:r>
    </w:p>
    <w:p>
      <w:pPr>
        <w:spacing w:after="120" w:line="312"/>
        <w:jc w:val="left"/>
      </w:pPr>
      <w:r>
        <w:rPr>
          <w:rFonts w:ascii="Times New Roman" w:eastAsia="SimSun"/>
          <w:color w:val="000000"/>
          <w:sz w:val="24"/>
          <w:szCs w:val="24"/>
        </w:rPr>
        <w:t xml:space="preserve">Every entry carries structured scoring and risk labels. The data model defines five experience dimensions, namely resource breadth (多), speed (快), cleanliness (净), stability (稳), and ease of use, of which the first four are averaged and rounded into the public one-to-five star recommendation index shown on the README. Risks are assessed separately in four classes covering copyright, safety, privacy, and payment, each marked low, medium, high, or unknown. Verification status currently stands at 95 entries marked caution, 16 marked recommended (mostly open-source projects), and 8 marked removed. All 119 records carry manually performed verification entries, and 65 verification records in reports/verifications.json document checks going back to the initial validation round of June 6, 2026.</w:t>
      </w:r>
    </w:p>
    <w:p>
      <w:pPr>
        <w:pStyle w:val="Heading1"/>
        <w:spacing w:after="160" w:before="360" w:line="312"/>
        <w:jc w:val="center"/>
      </w:pPr>
      <w:bookmarkStart w:name="_Toc6" w:id="6"/>
      <w:r>
        <w:rPr>
          <w:rFonts w:ascii="Times New Roman" w:eastAsia="SimHei"/>
          <w:b/>
          <w:bCs/>
          <w:color w:val="162235"/>
          <w:sz w:val="32"/>
          <w:szCs w:val="32"/>
        </w:rPr>
        <w:t xml:space="preserve">4. Automation and Maintenance Model</w:t>
      </w:r>
      <w:bookmarkEnd w:id="6"/>
    </w:p>
    <w:p>
      <w:pPr>
        <w:pStyle w:val="Heading2"/>
        <w:spacing w:after="120" w:before="240" w:line="312"/>
      </w:pPr>
      <w:bookmarkStart w:name="_Toc7" w:id="7"/>
      <w:r>
        <w:rPr>
          <w:rFonts w:ascii="Times New Roman" w:eastAsia="SimHei"/>
          <w:b/>
          <w:bCs/>
          <w:color w:val="162235"/>
          <w:sz w:val="30"/>
          <w:szCs w:val="30"/>
        </w:rPr>
        <w:t xml:space="preserve">4.1 Automation Pipeline</w:t>
      </w:r>
      <w:bookmarkEnd w:id="7"/>
    </w:p>
    <w:p>
      <w:pPr>
        <w:spacing w:after="120" w:line="312"/>
        <w:jc w:val="left"/>
      </w:pPr>
      <w:r>
        <w:rPr>
          <w:rFonts w:ascii="Times New Roman" w:eastAsia="SimSun"/>
          <w:color w:val="000000"/>
          <w:sz w:val="24"/>
          <w:szCs w:val="24"/>
        </w:rPr>
        <w:t xml:space="preserve">Five GitHub Actions workflows under .github/workflows operate the repository. A check-availability workflow runs daily at 01:00 Asia/Shanghai time; an update-open-source-stats workflow refreshes GitHub star counts and last-push dates for open-source entries every Monday; a weekly-release workflow packages the week's state every Sunday at 14:00; an issue-to-resource workflow converts approved resource submissions into automated pull requests; and a validate-data workflow checks JSON integrity on pushes and pull requests. The availability checker runs from the GitHub Actions environment with a 15-second timeout, concurrency of 4, and up to 2 attempts per URL, writing its results to reports/availability.json and refreshing the README badges on each run.</w:t>
      </w:r>
    </w:p>
    <w:p>
      <w:pPr>
        <w:spacing w:after="120" w:line="312"/>
        <w:jc w:val="left"/>
      </w:pPr>
      <w:r>
        <w:rPr>
          <w:rFonts w:ascii="Times New Roman" w:eastAsia="SimSun"/>
          <w:color w:val="000000"/>
          <w:sz w:val="24"/>
          <w:szCs w:val="24"/>
        </w:rPr>
        <w:t xml:space="preserve">The most recent availability run, dated October 14, 2026, tested 96 featured destinations and classified 68 as reachable (70.8 percent), 19 as restricted (19.8 percent), and 9 as unreachable (9.4 percent). The restricted label generally reflects network-level or regional blocking rather than server downtime, which matters for an audience that includes users behind firewalls. The commit history mirrors this automation: in the most recent 50 commits, 32 (64 percent) were authored by the github-actions bot, largely the daily availability-update commits, alongside 18 human commits by the maintainer covering content edits, description refinements, and the removal of dead sites.</w:t>
      </w:r>
    </w:p>
    <w:p>
      <w:pPr>
        <w:pStyle w:val="Heading2"/>
        <w:spacing w:after="120" w:before="240" w:line="312"/>
      </w:pPr>
      <w:bookmarkStart w:name="_Toc8" w:id="8"/>
      <w:r>
        <w:rPr>
          <w:rFonts w:ascii="Times New Roman" w:eastAsia="SimHei"/>
          <w:b/>
          <w:bCs/>
          <w:color w:val="162235"/>
          <w:sz w:val="30"/>
          <w:szCs w:val="30"/>
        </w:rPr>
        <w:t xml:space="preserve">4.2 Governance and Contribution Pipeline</w:t>
      </w:r>
      <w:bookmarkEnd w:id="8"/>
    </w:p>
    <w:p>
      <w:pPr>
        <w:spacing w:after="120" w:line="312"/>
        <w:jc w:val="left"/>
      </w:pPr>
      <w:r>
        <w:rPr>
          <w:rFonts w:ascii="Times New Roman" w:eastAsia="SimSun"/>
          <w:color w:val="000000"/>
          <w:sz w:val="24"/>
          <w:szCs w:val="24"/>
        </w:rPr>
        <w:t xml:space="preserve">Contribution governance is documented and unusually concrete. Three issue templates exist for new resources, broken links, and rights-holder requests. Under the MAINTAINERS.md handbook, user-submitted issues are treated as candidate leads rather than direct database writes. A maintainer reviews the link, summary, risk notes, and submitter disclosure, then comments either ok, optionally followed by replacement summary text, or no. The automation bot then publishes approved entries into resources.json with defined defaults, namely a caution status (recommended for open-source projects), all five scores set to 4.0, a featured flag of true, and an auto-generated short summary. The pipeline then syncs the README, validates the data, and closes the issue. Publication can be triggered only by collaborators holding write, maintain, or admin permission.</w:t>
      </w:r>
    </w:p>
    <w:p>
      <w:pPr>
        <w:spacing w:after="120" w:line="312"/>
        <w:jc w:val="left"/>
      </w:pPr>
      <w:r>
        <w:rPr>
          <w:rFonts w:ascii="Times New Roman" w:eastAsia="SimSun"/>
          <w:color w:val="000000"/>
          <w:sz w:val="24"/>
          <w:szCs w:val="24"/>
        </w:rPr>
        <w:t xml:space="preserve">The resulting maintenance model concentrates editorial judgment in a single visible account, the maintainer laoma, supported by automation. Of the 119 catalog entries, 105 were added by the maintainer and 14 by fourteen distinct community submitters through the issue pipeline. Sixty-five manual verification records provide the audit trail for quality claims, and weekly release notes are generated mechanically by scripts/generate-weekly-release.mjs. The design lowers the cost of each contribution dramatically, but it also means the catalog's editorial voice, and its revision capacity, rest with one person plus bots.</w:t>
      </w:r>
    </w:p>
    <w:p>
      <w:pPr>
        <w:pStyle w:val="Heading1"/>
        <w:spacing w:after="160" w:before="360" w:line="312"/>
        <w:jc w:val="center"/>
      </w:pPr>
      <w:bookmarkStart w:name="_Toc9" w:id="9"/>
      <w:r>
        <w:rPr>
          <w:rFonts w:ascii="Times New Roman" w:eastAsia="SimHei"/>
          <w:b/>
          <w:bCs/>
          <w:color w:val="162235"/>
          <w:sz w:val="32"/>
          <w:szCs w:val="32"/>
        </w:rPr>
        <w:t xml:space="preserve">5. Community, Growth and Monetization</w:t>
      </w:r>
      <w:bookmarkEnd w:id="9"/>
    </w:p>
    <w:p>
      <w:pPr>
        <w:spacing w:after="120" w:line="312"/>
        <w:jc w:val="left"/>
      </w:pPr>
      <w:r>
        <w:rPr>
          <w:rFonts w:ascii="Times New Roman" w:eastAsia="SimSun"/>
          <w:color w:val="000000"/>
          <w:sz w:val="24"/>
          <w:szCs w:val="24"/>
        </w:rPr>
        <w:t xml:space="preserve">Reaching approximately 12,000 stars within four months is atypical for an awesome-list, and the repository openly documents how it was achieved. The outreach directory contains a document titled as an action plan for breaking 10,000 stars (突破 10000 Star 行动方案), written when the project stood at roughly 1,000 stars. It analyzes the project's selling points, prioritizes actions by impact and cost, and prescribes concrete steps: optimizing the README's first screen with badges and a comparison table, completing repository topics and description, and publishing launch articles on developer platforms. The plan explicitly identifies the star badge itself as a trust signal to be displayed prominently.</w:t>
      </w:r>
    </w:p>
    <w:p>
      <w:pPr>
        <w:spacing w:after="120" w:line="312"/>
        <w:jc w:val="left"/>
      </w:pPr>
      <w:r>
        <w:rPr>
          <w:rFonts w:ascii="Times New Roman" w:eastAsia="SimSun"/>
          <w:color w:val="000000"/>
          <w:sz w:val="24"/>
          <w:szCs w:val="24"/>
        </w:rPr>
        <w:t xml:space="preserve">The same directory holds fourteen prepared outreach documents targeting juejin, V2EX, zhihu, sspai, 52pojie, appinn, WeChat official accounts, a Telegram channel, bloggers, and a tracker for awesome-list submissions. A parallel search-optimization layer exists in blog/articles, which contains thirteen dated articles from July to September 2026 addressing long-tail queries such as TVBox configuration guides, Yingshicang configuration addresses, and download guides for players including FongMi and OK Ying Shi. A publishing script (scripts/publish-typecho.py) automates posting to the zhuiju.me blog. The skills/geo-article-writer directory defines an AI-assisted article-writing skill complete with a brand profile and quality checklist, and CLAUDE.md shows the repository is maintained with Claude Code. Language-model tooling is therefore an explicit, documented part of both content production and repository maintenance.</w:t>
      </w:r>
    </w:p>
    <w:p>
      <w:pPr>
        <w:spacing w:after="120" w:line="312"/>
        <w:jc w:val="left"/>
      </w:pPr>
      <w:r>
        <w:rPr>
          <w:rFonts w:ascii="Times New Roman" w:eastAsia="SimSun"/>
          <w:color w:val="000000"/>
          <w:sz w:val="24"/>
          <w:szCs w:val="24"/>
        </w:rPr>
        <w:t xml:space="preserve">Monetization is minimal and disclosed. The README carries one commercial advertisement, a third-party ChatGPT Plus subscription reseller listing at 128 yuan per month, and labels it as a commercial ad unrelated to resource recommendations, ratings, or inclusion. The project principles state that scores are not modified on the basis of cooperation, advertising, or personal preference. No other revenue mechanism, such as paid placement or donation links, is visible in the repository.</w:t>
      </w:r>
    </w:p>
    <w:p>
      <w:pPr>
        <w:spacing w:after="120" w:line="312"/>
        <w:jc w:val="left"/>
      </w:pPr>
      <w:r>
        <w:rPr>
          <w:rFonts w:ascii="Times New Roman" w:eastAsia="SimSun"/>
          <w:color w:val="000000"/>
          <w:sz w:val="24"/>
          <w:szCs w:val="24"/>
        </w:rPr>
        <w:t xml:space="preserve">Community depth lags visible popularity. The 821 forks are consistent with mirror-and-clone behavior typical of resource lists, the 12 open issues are a modest queue, and substantive content contributions have come from only fourteen distinct submitters against 105 maintainer-added entries. The star velocity therefore reflects two factors in combination: genuine utility in the form of daily-verified links, and deliberate distribution engineering that the project itself has published. Both factors are visible, and neither is hidden.</w:t>
      </w:r>
    </w:p>
    <w:p>
      <w:pPr>
        <w:pStyle w:val="Heading1"/>
        <w:spacing w:after="160" w:before="360" w:line="312"/>
        <w:jc w:val="center"/>
      </w:pPr>
      <w:bookmarkStart w:name="_Toc10" w:id="10"/>
      <w:r>
        <w:rPr>
          <w:rFonts w:ascii="Times New Roman" w:eastAsia="SimHei"/>
          <w:b/>
          <w:bCs/>
          <w:color w:val="162235"/>
          <w:sz w:val="32"/>
          <w:szCs w:val="32"/>
        </w:rPr>
        <w:t xml:space="preserve">6. Legal, Risk and Compliance Considerations</w:t>
      </w:r>
      <w:bookmarkEnd w:id="10"/>
    </w:p>
    <w:p>
      <w:pPr>
        <w:pStyle w:val="Heading2"/>
        <w:spacing w:after="120" w:before="240" w:line="312"/>
      </w:pPr>
      <w:bookmarkStart w:name="_Toc11" w:id="11"/>
      <w:r>
        <w:rPr>
          <w:rFonts w:ascii="Times New Roman" w:eastAsia="SimHei"/>
          <w:b/>
          <w:bCs/>
          <w:color w:val="162235"/>
          <w:sz w:val="30"/>
          <w:szCs w:val="30"/>
        </w:rPr>
        <w:t xml:space="preserve">6.1 Safeguards and Transparency</w:t>
      </w:r>
      <w:bookmarkEnd w:id="11"/>
    </w:p>
    <w:p>
      <w:pPr>
        <w:spacing w:after="120" w:line="312"/>
        <w:jc w:val="left"/>
      </w:pPr>
      <w:r>
        <w:rPr>
          <w:rFonts w:ascii="Times New Roman" w:eastAsia="SimSun"/>
          <w:color w:val="000000"/>
          <w:sz w:val="24"/>
          <w:szCs w:val="24"/>
        </w:rPr>
        <w:t xml:space="preserve">The project is forthright about the nature of its catalog. Ninety of the 119 entries (75.6 percent) are labeled high copyright risk, 23 are marked unknown, 5 medium, and 1 low. Safety is marked medium on 118 entries, and privacy is marked unknown on 117, which means the project declines to invent certainty where it has none. Keeping these dimensions separate in a four-class risk model, rather than collapsing them into a single score, is a deliberate design choice that makes the limitations of the assessment visible to the reader.</w:t>
      </w:r>
    </w:p>
    <w:p>
      <w:pPr>
        <w:spacing w:after="120" w:line="312"/>
        <w:jc w:val="left"/>
      </w:pPr>
      <w:r>
        <w:rPr>
          <w:rFonts w:ascii="Times New Roman" w:eastAsia="SimSun"/>
          <w:color w:val="000000"/>
          <w:sz w:val="24"/>
          <w:szCs w:val="24"/>
        </w:rPr>
        <w:t xml:space="preserve">The published principles and disclaimer reinforce this posture. The project states that it provides resource indexing, experience records, and risk warnings only, that it does not host, upload, copy, or sell third-party video content, and that visitors must comply with the law of their own jurisdiction. Five operating principles are published: continuous verification with visible last-checked dates, public transparency for scores and status changes, honest descriptions unaffected by cooperation or advertising, an index-only scope, and timely review of rights-holder notices. A dedicated rights-holder request template provides a takedown channel, and the disclaimer commits to recording requests and outcomes publicly while withholding unnecessary personal information. The CC BY 4.0 license covers the list and its data, not any third-party content to which entries point.</w:t>
      </w:r>
    </w:p>
    <w:p>
      <w:pPr>
        <w:pStyle w:val="Heading2"/>
        <w:spacing w:after="120" w:before="240" w:line="312"/>
      </w:pPr>
      <w:bookmarkStart w:name="_Toc12" w:id="12"/>
      <w:r>
        <w:rPr>
          <w:rFonts w:ascii="Times New Roman" w:eastAsia="SimHei"/>
          <w:b/>
          <w:bCs/>
          <w:color w:val="162235"/>
          <w:sz w:val="30"/>
          <w:szCs w:val="30"/>
        </w:rPr>
        <w:t xml:space="preserve">6.2 Residual Risks</w:t>
      </w:r>
      <w:bookmarkEnd w:id="12"/>
    </w:p>
    <w:p>
      <w:pPr>
        <w:spacing w:after="120" w:line="312"/>
        <w:jc w:val="left"/>
      </w:pPr>
      <w:r>
        <w:rPr>
          <w:rFonts w:ascii="Times New Roman" w:eastAsia="SimSun"/>
          <w:color w:val="000000"/>
          <w:sz w:val="24"/>
          <w:szCs w:val="24"/>
        </w:rPr>
        <w:t xml:space="preserve">An index-only posture reduces exposure but does not eliminate it. In several jurisdictions, aggregating and directing users to unlicensed sources can itself attract liability, and the maintainer operates under a persistent public identity tied to a commercial website. The catalog's own churn, including removals of unreachable sites and renames after domain changes, illustrates the cat-and-mouse dynamic typical of unlicensed streaming. Availability checking measures reachability rather than legality: the 19 restricted entries reflect network or regional blocks, not rights status, and a reachable site is not a lawful one.</w:t>
      </w:r>
    </w:p>
    <w:p>
      <w:pPr>
        <w:spacing w:after="120" w:line="312"/>
        <w:jc w:val="left"/>
      </w:pPr>
      <w:r>
        <w:rPr>
          <w:rFonts w:ascii="Times New Roman" w:eastAsia="SimSun"/>
          <w:color w:val="000000"/>
          <w:sz w:val="24"/>
          <w:szCs w:val="24"/>
        </w:rPr>
        <w:t xml:space="preserve">User-side risks also remain real. Third-party destinations carry advertisements, pop-ups, and redirect chains that the cleanliness score attempts to quantify but cannot remove. Payment and privacy practices are unassessed across most of the catalog, with payment risk unclassified and privacy marked unknown on 117 of 119 entries. The labels are self-assessed and manually assigned, so they function as informational signals rather than guarantees. A reader should treat the list as a discovery aid with candid warnings attached, not as a vetting guarantee, and should assume that any indexed site may change hands, content, or behavior at any time.</w:t>
      </w:r>
    </w:p>
    <w:p>
      <w:pPr>
        <w:pStyle w:val="Heading1"/>
        <w:spacing w:after="160" w:before="360" w:line="312"/>
        <w:jc w:val="center"/>
      </w:pPr>
      <w:bookmarkStart w:name="_Toc13" w:id="13"/>
      <w:r>
        <w:rPr>
          <w:rFonts w:ascii="Times New Roman" w:eastAsia="SimHei"/>
          <w:b/>
          <w:bCs/>
          <w:color w:val="162235"/>
          <w:sz w:val="32"/>
          <w:szCs w:val="32"/>
        </w:rPr>
        <w:t xml:space="preserve">7. Neutral Observations and Closing Assessment</w:t>
      </w:r>
      <w:bookmarkEnd w:id="13"/>
    </w:p>
    <w:p>
      <w:pPr>
        <w:spacing w:after="120" w:line="312"/>
        <w:jc w:val="left"/>
      </w:pPr>
      <w:r>
        <w:rPr>
          <w:rFonts w:ascii="Times New Roman" w:eastAsia="SimSun"/>
          <w:color w:val="000000"/>
          <w:sz w:val="24"/>
          <w:szCs w:val="24"/>
        </w:rPr>
        <w:t xml:space="preserve">On the strengths side, the repository demonstrates an engineering discipline that is rare in this genre. A single JSON source of truth with schema validation eliminates manual drift; the README is generated from data rather than edited by hand; daily availability checks produce published, machine-readable results; a four-dimension experience score is paired with per-class risk labels; governance is documented in a contributor guide and a maintainer handbook; a working rights-holder channel exists; and all of the automation code is public and auditable. For what it claims to be, namely an index with verification, the claim and the mechanism match.</w:t>
      </w:r>
    </w:p>
    <w:p>
      <w:pPr>
        <w:spacing w:after="120" w:line="312"/>
        <w:jc w:val="left"/>
      </w:pPr>
      <w:r>
        <w:rPr>
          <w:rFonts w:ascii="Times New Roman" w:eastAsia="SimSun"/>
          <w:color w:val="000000"/>
          <w:sz w:val="24"/>
          <w:szCs w:val="24"/>
        </w:rPr>
        <w:t xml:space="preserve">On the limitations side, several caveats are worth recording. Editorial capacity is concentrated in one maintainer, who added 105 of 119 entries. Auto-published entries receive uniform default scores of 4.0 across all five dimensions until manually revised, which dilutes the rating signal. The caution status covers 79.8 percent of the catalog, making the status distinction coarse. Community contribution is thin relative to the star count, and the star count itself measures distribution reach as much as organic merit, since the growth campaign is documented in the repository. Finally, the README's first screen carries a commercial affiliate advertisement even as the project advertises itself as ad-free, a distinction the project addresses by scoping the ad-free claim to the indexed resources rather than to itself.</w:t>
      </w:r>
    </w:p>
    <w:p>
      <w:pPr>
        <w:spacing w:after="120" w:line="312"/>
        <w:jc w:val="left"/>
      </w:pPr>
      <w:r>
        <w:rPr>
          <w:rFonts w:ascii="Times New Roman" w:eastAsia="SimSun"/>
          <w:color w:val="000000"/>
          <w:sz w:val="24"/>
          <w:szCs w:val="24"/>
        </w:rPr>
        <w:t xml:space="preserve">The trajectory shows a project settling into operations. Catalog growth decelerated sharply after August 2026, from fifty-one additions in July to four each in September and October, which is consistent either with stabilization after the growth campaign or with the maintenance capacity of a single curator. Operational automation, by contrast, continues unabated: daily checks, weekly releases, and statistics updates all ran on schedule through the October 14, 2026 snapshot, and the most recent commits in the analysis window fall on that same date.</w:t>
      </w:r>
    </w:p>
    <w:p>
      <w:pPr>
        <w:spacing w:after="120" w:line="312"/>
        <w:jc w:val="left"/>
      </w:pPr>
      <w:r>
        <w:rPr>
          <w:rFonts w:ascii="Times New Roman" w:eastAsia="SimSun"/>
          <w:color w:val="000000"/>
          <w:sz w:val="24"/>
          <w:szCs w:val="24"/>
        </w:rPr>
        <w:t xml:space="preserve">The fair way to treat this repository is as a maintained, machine-readable index that is unusually transparent about both its methods and the grey-zone character of its subject matter. Its verification dates, availability reports, and risk labels are the most defensible reasons to prefer it over static navigation pages, and those same artifacts make clear that it describes destinations without endorsing them. All figures in this report are a snapshot as of October 14, 2026 and will drift; the authoritative live sources remain resources/resources.json, reports/availability.json, and reports/verifications.json within the repository.</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center"/>
    </w:pPr>
    <w:r>
      <w:rPr>
        <w:rFonts w:ascii="Times New Roman" w:eastAsia="SimSun"/>
        <w:color w:val="808080"/>
        <w:sz w:val="18"/>
        <w:szCs w:val="18"/>
      </w:rPr>
      <w:t xml:space="preserve">Awesome Zhuiju Free — Repository Analysis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center"/>
    </w:pPr>
    <w:r>
      <w:rPr>
        <w:rFonts w:ascii="Times New Roman" w:eastAsia="SimSun"/>
        <w:color w:val="808080"/>
        <w:sz w:val="18"/>
        <w:szCs w:val="18"/>
      </w:rPr>
      <w:t xml:space="preserve">Awesome Zhuiju Free — Repository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2235"/>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62235"/>
      <w:sz w:val="30"/>
      <w:szCs w:val="30"/>
    </w:rPr>
  </w:style>
  <w:style w:type="paragraph" w:styleId="Heading3">
    <w:name w:val="Heading 3"/>
    <w:basedOn w:val="Normal"/>
    <w:next w:val="Normal"/>
    <w:qFormat/>
    <w:pPr>
      <w:spacing w:after="100" w:before="200" w:line="312"/>
      <w:outlineLvl w:val="2"/>
    </w:pPr>
    <w:rPr>
      <w:rFonts w:ascii="Times New Roman" w:eastAsia="SimHei"/>
      <w:b/>
      <w:bCs/>
      <w:color w:val="162235"/>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Awesome Zhuiju Free — Repository Analysis Report</dc:title>
  <dc:subject>Neutral analysis of the GitHub repository laoma528/awesome-zhuiju-free</dc:subject>
  <dc:creator>Z.ai</dc:creator>
  <dc:description>Purpose, inventory, automation, growth, and legal-risk profile of awesome-zhuiju-free, snapshot October 14, 2026.</dc:description>
  <cp:lastModifiedBy>Un-named</cp:lastModifiedBy>
  <cp:revision>1</cp:revision>
  <dcterms:created xsi:type="dcterms:W3CDTF">2026-10-14T02:54:09.917Z</dcterms:created>
  <dcterms:modified xsi:type="dcterms:W3CDTF">2026-10-14T02:54:09.917Z</dcterms:modified>
</cp:coreProperties>
</file>

<file path=docProps/custom.xml><?xml version="1.0" encoding="utf-8"?>
<Properties xmlns="http://schemas.openxmlformats.org/officeDocument/2006/custom-properties" xmlns:vt="http://schemas.openxmlformats.org/officeDocument/2006/docPropsVTypes"/>
</file>