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CARA SSRN Evidence and Claims Register</w:t>
      </w:r>
    </w:p>
    <w:p>
      <w:pPr/>
      <w:r>
        <w:t xml:space="preserve">Sep 27, 2026</w:t>
      </w:r>
      <w:r>
        <w:t xml:space="preserve"> · </w:t>
      </w:r>
      <w:r>
        <w:t xml:space="preserve">@Paula DiTallo</w:t>
      </w:r>
    </w:p>
    <w:p>
      <w:pPr>
        <w:pStyle w:val="Heading2"/>
      </w:pPr>
      <w:r>
        <w:t xml:space="preserve">How to use this register</w:t>
      </w:r>
    </w:p>
    <w:p>
      <w:pPr/>
      <w:r>
        <w:t xml:space="preserve">Every substantive sentence in the manuscript must cite a row ID from this register. A sentence with no row is either cut or added here first, with a status.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Manuscript may say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Evidence</w:t>
            </w:r>
          </w:p>
        </w:tc>
        <w:tc>
          <w:tcPr>
            <w:tcW w:w="3120" w:type="dxa"/>
          </w:tcPr>
          <w:p>
            <w:pPr/>
            <w:r>
              <w:t xml:space="preserve">Produced by a test, probe, or sweep in the baseline code, reproducible from the cited file</w:t>
            </w:r>
          </w:p>
        </w:tc>
        <w:tc>
          <w:tcPr>
            <w:tcW w:w="3120" w:type="dxa"/>
          </w:tcPr>
          <w:p>
            <w:pPr/>
            <w:r>
              <w:t xml:space="preserve">"We observed", "in simulation"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Engineering</w:t>
            </w:r>
          </w:p>
        </w:tc>
        <w:tc>
          <w:tcPr>
            <w:tcW w:w="3120" w:type="dxa"/>
          </w:tcPr>
          <w:p>
            <w:pPr/>
            <w:r>
              <w:t xml:space="preserve">Correct implementation behavior; regression confidence, not a finding</w:t>
            </w:r>
          </w:p>
        </w:tc>
        <w:tc>
          <w:tcPr>
            <w:tcW w:w="3120" w:type="dxa"/>
          </w:tcPr>
          <w:p>
            <w:pPr/>
            <w:r>
              <w:t xml:space="preserve">Methods section only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Literature</w:t>
            </w:r>
          </w:p>
        </w:tc>
        <w:tc>
          <w:tcPr>
            <w:tcW w:w="3120" w:type="dxa"/>
          </w:tcPr>
          <w:p>
            <w:pPr/>
            <w:r>
              <w:t xml:space="preserve">Established by prior work</w:t>
            </w:r>
          </w:p>
        </w:tc>
        <w:tc>
          <w:tcPr>
            <w:tcW w:w="3120" w:type="dxa"/>
          </w:tcPr>
          <w:p>
            <w:pPr/>
            <w:r>
              <w:t xml:space="preserve">Cite it; never claim 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Hypothesis</w:t>
            </w:r>
          </w:p>
        </w:tc>
        <w:tc>
          <w:tcPr>
            <w:tcW w:w="3120" w:type="dxa"/>
          </w:tcPr>
          <w:p>
            <w:pPr/>
            <w:r>
              <w:t xml:space="preserve">Proposed, not yet tested</w:t>
            </w:r>
          </w:p>
        </w:tc>
        <w:tc>
          <w:tcPr>
            <w:tcW w:w="3120" w:type="dxa"/>
          </w:tcPr>
          <w:p>
            <w:pPr/>
            <w:r>
              <w:t xml:space="preserve">"We hypothesize", "future work"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Limitation</w:t>
            </w:r>
          </w:p>
        </w:tc>
        <w:tc>
          <w:tcPr>
            <w:tcW w:w="3120" w:type="dxa"/>
          </w:tcPr>
          <w:p>
            <w:pPr/>
            <w:r>
              <w:t xml:space="preserve">Known gap the paper must state</w:t>
            </w:r>
          </w:p>
        </w:tc>
        <w:tc>
          <w:tcPr>
            <w:tcW w:w="3120" w:type="dxa"/>
          </w:tcPr>
          <w:p>
            <w:pPr/>
            <w:r>
              <w:t xml:space="preserve">Limitations section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Withdrawn</w:t>
            </w:r>
          </w:p>
        </w:tc>
        <w:tc>
          <w:tcPr>
            <w:tcW w:w="3120" w:type="dxa"/>
          </w:tcPr>
          <w:p>
            <w:pPr/>
            <w:r>
              <w:t xml:space="preserve">Earlier result found invalid</w:t>
            </w:r>
          </w:p>
        </w:tc>
        <w:tc>
          <w:tcPr>
            <w:tcW w:w="3120" w:type="dxa"/>
          </w:tcPr>
          <w:p>
            <w:pPr/>
            <w:r>
              <w:t xml:space="preserve">Nothing; kept for audit</w:t>
            </w:r>
          </w:p>
        </w:tc>
      </w:tr>
    </w:tbl>
    <w:p>
      <w:pPr/>
      <w:r>
        <w:t xml:space="preserve">Source notation: </w:t>
      </w:r>
      <w:r>
        <w:rPr>
          <w:rStyle w:val="CodeChar"/>
        </w:rPr>
        <w:t xml:space="preserve">v044:&lt;path&gt;::&lt;test or function&gt;</w:t>
      </w:r>
      <w:r>
        <w:t xml:space="preserve"> for the v0.4.4 branch, </w:t>
      </w:r>
      <w:r>
        <w:rPr>
          <w:rStyle w:val="CodeChar"/>
        </w:rPr>
        <w:t xml:space="preserve">v043:</w:t>
      </w:r>
      <w:r>
        <w:t xml:space="preserve"> for v0.4.3, </w:t>
      </w:r>
      <w:r>
        <w:rPr>
          <w:rStyle w:val="CodeChar"/>
        </w:rPr>
        <w:t xml:space="preserve">scan:&lt;file&gt;</w:t>
      </w:r>
      <w:r>
        <w:t xml:space="preserve"> for the DD-6 window measurement added with this register. Every experimental row is simulation-only; the manuscript must say so wherever the row is used.</w:t>
      </w:r>
    </w:p>
    <w:p>
      <w:pPr/>
      <w:r>
        <w:t xml:space="preserve">Baseline: v0.4.4 code (207 tests passing: 120 reference, 87 PAG). The v0.4.4 DD-6 sweep numbers are not part of the baseline (see D-rows).</w:t>
      </w:r>
    </w:p>
    <w:p>
      <w:pPr>
        <w:pStyle w:val="Heading2"/>
      </w:pPr>
      <w:r>
        <w:t xml:space="preserve">Authority experiments</w:t>
      </w:r>
    </w:p>
    <w:p>
      <w:pPr/>
      <w:r>
        <w:t xml:space="preserve">The paper's strongest result is A1: revoking an upstream planner stopped a downstream arm the planner never commanded. All 15 authority probes pass in v0.4.4; each uses a benign motion, so no denial here comes from the hazard policy.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Finding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Manuscript caveat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A1</w:t>
            </w:r>
          </w:p>
        </w:tc>
        <w:tc>
          <w:tcPr>
            <w:tcW w:w="1872" w:type="dxa"/>
          </w:tcPr>
          <w:p>
            <w:pPr/>
            <w:r>
              <w:t xml:space="preserve">Revoking the planner after step 2 of a benign 5-step pour stopped the arm controller at step 3; steps 3 to 5 denied (</w:t>
            </w:r>
            <w:r>
              <w:rPr>
                <w:rStyle w:val="CodeChar"/>
              </w:rPr>
              <w:t xml:space="preserve">AUTHORITY_BASIS_INSUFFICIENT</w:t>
            </w:r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v044:pag-experiment/probes.py::revoke_planner_mid_task</w:t>
            </w:r>
          </w:p>
        </w:tc>
        <w:tc>
          <w:tcPr>
            <w:tcW w:w="1872" w:type="dxa"/>
          </w:tcPr>
          <w:p>
            <w:pPr/>
            <w:r>
              <w:t xml:space="preserve">Evidence</w:t>
            </w:r>
          </w:p>
        </w:tc>
        <w:tc>
          <w:tcPr>
            <w:tcW w:w="1872" w:type="dxa"/>
          </w:tcPr>
          <w:p>
            <w:pPr/>
            <w:r>
              <w:t xml:space="preserve">Simulation; one task; descendant invalidation is literature (L-rows), the physical reach is the claim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A2</w:t>
            </w:r>
          </w:p>
        </w:tc>
        <w:tc>
          <w:tcPr>
            <w:tcW w:w="1872" w:type="dxa"/>
          </w:tcPr>
          <w:p>
            <w:pPr/>
            <w:r>
              <w:t xml:space="preserve">Revocation 0.5 s into a 3.35 s motion stopped the arm 0.05 s after it took effect, at tick 10 of 33, before the effect; reservation aborted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v044:pag-experiment/probes.py::revocation_during_motion</w:t>
            </w:r>
          </w:p>
        </w:tc>
        <w:tc>
          <w:tcPr>
            <w:tcW w:w="1872" w:type="dxa"/>
          </w:tcPr>
          <w:p>
            <w:pPr/>
            <w:r>
              <w:t xml:space="preserve">Evidence</w:t>
            </w:r>
          </w:p>
        </w:tc>
        <w:tc>
          <w:tcPr>
            <w:tcW w:w="1872" w:type="dxa"/>
          </w:tcPr>
          <w:p>
            <w:pPr/>
            <w:r>
              <w:t xml:space="preserve">Exposure depends on network settings (see F-rows)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A3</w:t>
            </w:r>
          </w:p>
        </w:tc>
        <w:tc>
          <w:tcPr>
            <w:tcW w:w="1872" w:type="dxa"/>
          </w:tcPr>
          <w:p>
            <w:pPr/>
            <w:r>
              <w:t xml:space="preserve">Delegated 10 N envelope denied a 15 N command the planner's 20 N grant would allow (</w:t>
            </w:r>
            <w:r>
              <w:rPr>
                <w:rStyle w:val="CodeChar"/>
              </w:rPr>
              <w:t xml:space="preserve">BOUND_PARAMETER_OUTSIDE_GRANT</w:t>
            </w:r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v044:pag-experiment/probes.py::delegated_envelope</w:t>
            </w:r>
          </w:p>
        </w:tc>
        <w:tc>
          <w:tcPr>
            <w:tcW w:w="1872" w:type="dxa"/>
          </w:tcPr>
          <w:p>
            <w:pPr/>
            <w:r>
              <w:t xml:space="preserve">Evidence</w:t>
            </w:r>
          </w:p>
        </w:tc>
        <w:tc>
          <w:tcPr>
            <w:tcW w:w="1872" w:type="dxa"/>
          </w:tcPr>
          <w:p>
            <w:pPr/>
            <w:r>
              <w:t xml:space="preserve">Commanded value only; measured values are A9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A4</w:t>
            </w:r>
          </w:p>
        </w:tc>
        <w:tc>
          <w:tcPr>
            <w:tcW w:w="1872" w:type="dxa"/>
          </w:tcPr>
          <w:p>
            <w:pPr/>
            <w:r>
              <w:t xml:space="preserve">A child grant claiming 30 N under a 20 N parent was unusable; attenuation re-proven at authorization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v044:pag-experiment/probes.py::delegation_cannot_widen</w:t>
            </w:r>
          </w:p>
        </w:tc>
        <w:tc>
          <w:tcPr>
            <w:tcW w:w="1872" w:type="dxa"/>
          </w:tcPr>
          <w:p>
            <w:pPr/>
            <w:r>
              <w:t xml:space="preserve">Evidence</w:t>
            </w:r>
          </w:p>
        </w:tc>
        <w:tc>
          <w:tcPr>
            <w:tcW w:w="1872" w:type="dxa"/>
          </w:tcPr>
          <w:p>
            <w:pPr/>
            <w:r>
              <w:t xml:space="preserve">Attenuation itself is literature (L3)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A5</w:t>
            </w:r>
          </w:p>
        </w:tc>
        <w:tc>
          <w:tcPr>
            <w:tcW w:w="1872" w:type="dxa"/>
          </w:tcPr>
          <w:p>
            <w:pPr/>
            <w:r>
              <w:t xml:space="preserve">Revoking the operator signing key stopped the arm (</w:t>
            </w:r>
            <w:r>
              <w:rPr>
                <w:rStyle w:val="CodeChar"/>
              </w:rPr>
              <w:t xml:space="preserve">AUTHORITY_DEPENDENCY_REVOKED</w:t>
            </w:r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v044:pag-experiment/probes.py::signing_key_revocation_stops_arm</w:t>
            </w:r>
          </w:p>
        </w:tc>
        <w:tc>
          <w:tcPr>
            <w:tcW w:w="1872" w:type="dxa"/>
          </w:tcPr>
          <w:p>
            <w:pPr/>
            <w:r>
              <w:t xml:space="preserve">Evidence</w:t>
            </w:r>
          </w:p>
        </w:tc>
        <w:tc>
          <w:tcPr>
            <w:tcW w:w="1872" w:type="dxa"/>
          </w:tcPr>
          <w:p>
            <w:pPr/>
            <w:r>
              <w:t xml:space="preserve">Detecting key theft is out of scope; this shows response once known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A6</w:t>
            </w:r>
          </w:p>
        </w:tc>
        <w:tc>
          <w:tcPr>
            <w:tcW w:w="1872" w:type="dxa"/>
          </w:tcPr>
          <w:p>
            <w:pPr/>
            <w:r>
              <w:t xml:space="preserve">Revoking an unrelated robot's grant did not stop this arm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v044:pag-experiment/probes.py::unrelated_revocation_no_false_stop</w:t>
            </w:r>
          </w:p>
        </w:tc>
        <w:tc>
          <w:tcPr>
            <w:tcW w:w="1872" w:type="dxa"/>
          </w:tcPr>
          <w:p>
            <w:pPr/>
            <w:r>
              <w:t xml:space="preserve">Evidence</w:t>
            </w:r>
          </w:p>
        </w:tc>
        <w:tc>
          <w:tcPr>
            <w:tcW w:w="1872" w:type="dxa"/>
          </w:tcPr>
          <w:p>
            <w:pPr/>
            <w:r>
              <w:t xml:space="preserve">Per-dependency state; contrast with v0.4.2 global epoch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A7</w:t>
            </w:r>
          </w:p>
        </w:tc>
        <w:tc>
          <w:tcPr>
            <w:tcW w:w="1872" w:type="dxa"/>
          </w:tcPr>
          <w:p>
            <w:pPr/>
            <w:r>
              <w:t xml:space="preserve">Forged receipt, unsigned hand-built decision, replayed receipt, receipt for a different motion, and expired receipt all refused at the actuator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v044:pag-experiment/probes.py::forged_receipt</w:t>
            </w:r>
            <w:r>
              <w:t xml:space="preserve">, </w:t>
            </w:r>
            <w:r>
              <w:rPr>
                <w:rStyle w:val="CodeChar"/>
              </w:rPr>
              <w:t xml:space="preserve">self_made_decision</w:t>
            </w:r>
            <w:r>
              <w:t xml:space="preserve">, </w:t>
            </w:r>
            <w:r>
              <w:rPr>
                <w:rStyle w:val="CodeChar"/>
              </w:rPr>
              <w:t xml:space="preserve">receipt_replay</w:t>
            </w:r>
            <w:r>
              <w:t xml:space="preserve">, </w:t>
            </w:r>
            <w:r>
              <w:rPr>
                <w:rStyle w:val="CodeChar"/>
              </w:rPr>
              <w:t xml:space="preserve">receipt_for_other_motion</w:t>
            </w:r>
            <w:r>
              <w:t xml:space="preserve">, </w:t>
            </w:r>
            <w:r>
              <w:rPr>
                <w:rStyle w:val="CodeChar"/>
              </w:rPr>
              <w:t xml:space="preserve">expired_receipt</w:t>
            </w:r>
          </w:p>
        </w:tc>
        <w:tc>
          <w:tcPr>
            <w:tcW w:w="1872" w:type="dxa"/>
          </w:tcPr>
          <w:p>
            <w:pPr/>
            <w:r>
              <w:t xml:space="preserve">Evidence</w:t>
            </w:r>
          </w:p>
        </w:tc>
        <w:tc>
          <w:tcPr>
            <w:tcW w:w="1872" w:type="dxa"/>
          </w:tcPr>
          <w:p>
            <w:pPr/>
            <w:r>
              <w:t xml:space="preserve">Relies on Ed25519 with seeded keys (limitation K5)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A8</w:t>
            </w:r>
          </w:p>
        </w:tc>
        <w:tc>
          <w:tcPr>
            <w:tcW w:w="1872" w:type="dxa"/>
          </w:tcPr>
          <w:p>
            <w:pPr/>
            <w:r>
              <w:t xml:space="preserve">Can on unlit burner authorized; burner lit before release; motion refused (</w:t>
            </w:r>
            <w:r>
              <w:rPr>
                <w:rStyle w:val="CodeChar"/>
              </w:rPr>
              <w:t xml:space="preserve">BOUND_STATE_CHANGED</w:t>
            </w:r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v044:pag-experiment/probes.py::toctou_stove_lit_after_authorization</w:t>
            </w:r>
          </w:p>
        </w:tc>
        <w:tc>
          <w:tcPr>
            <w:tcW w:w="1872" w:type="dxa"/>
          </w:tcPr>
          <w:p>
            <w:pPr/>
            <w:r>
              <w:t xml:space="preserve">Evidence</w:t>
            </w:r>
          </w:p>
        </w:tc>
        <w:tc>
          <w:tcPr>
            <w:tcW w:w="1872" w:type="dxa"/>
          </w:tcPr>
          <w:p>
            <w:pPr/>
            <w:r>
              <w:t xml:space="preserve">Complete mediation is literature (L10)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A9</w:t>
            </w:r>
          </w:p>
        </w:tc>
        <w:tc>
          <w:tcPr>
            <w:tcW w:w="1872" w:type="dxa"/>
          </w:tcPr>
          <w:p>
            <w:pPr/>
            <w:r>
              <w:t xml:space="preserve">Commanded 6 N passed the engine; measured contact 12 N stopped the arm before the effect; commanded 0.4 m/s on a 1.5x miscalibrated arm stopped on measured 0.6 m/s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v044:pag-experiment/test_pag.py::test_measured_contact_force_stops_before_effect</w:t>
            </w:r>
            <w:r>
              <w:t xml:space="preserve">, </w:t>
            </w:r>
            <w:r>
              <w:rPr>
                <w:rStyle w:val="CodeChar"/>
              </w:rPr>
              <w:t xml:space="preserve">test_measured_velocity_stops_miscalibrated_arm</w:t>
            </w:r>
          </w:p>
        </w:tc>
        <w:tc>
          <w:tcPr>
            <w:tcW w:w="1872" w:type="dxa"/>
          </w:tcPr>
          <w:p>
            <w:pPr/>
            <w:r>
              <w:t xml:space="preserve">Evidence</w:t>
            </w:r>
          </w:p>
        </w:tc>
        <w:tc>
          <w:tcPr>
            <w:tcW w:w="1872" w:type="dxa"/>
          </w:tcPr>
          <w:p>
            <w:pPr/>
            <w:r>
              <w:t xml:space="preserve">Two-tick force ramp is a toy contact model (K3)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A10</w:t>
            </w:r>
          </w:p>
        </w:tc>
        <w:tc>
          <w:tcPr>
            <w:tcW w:w="1872" w:type="dxa"/>
          </w:tcPr>
          <w:p>
            <w:pPr/>
            <w:r>
              <w:t xml:space="preserve">Budget of 2 confirmed actions enforced; third denied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v044:pag-experiment/probes.py::budget_exhaustion</w:t>
            </w:r>
          </w:p>
        </w:tc>
        <w:tc>
          <w:tcPr>
            <w:tcW w:w="1872" w:type="dxa"/>
          </w:tcPr>
          <w:p>
            <w:pPr/>
            <w:r>
              <w:t xml:space="preserve">Evidence</w:t>
            </w:r>
          </w:p>
        </w:tc>
        <w:tc>
          <w:tcPr>
            <w:tcW w:w="1872" w:type="dxa"/>
          </w:tcPr>
          <w:p>
            <w:pPr/>
            <w:r>
              <w:t xml:space="preserve">Consumption design follows CapLease (L7)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A11</w:t>
            </w:r>
          </w:p>
        </w:tc>
        <w:tc>
          <w:tcPr>
            <w:tcW w:w="1872" w:type="dxa"/>
          </w:tcPr>
          <w:p>
            <w:pPr/>
            <w:r>
              <w:t xml:space="preserve">All heartbeats dropped: arm stopped mid-motion once the last heartbeat exceeded Δ (</w:t>
            </w:r>
            <w:r>
              <w:rPr>
                <w:rStyle w:val="CodeChar"/>
              </w:rPr>
              <w:t xml:space="preserve">REVOCATION_HEARTBEAT_STALE</w:t>
            </w:r>
            <w:r>
              <w:t xml:space="preserve">), safe state </w:t>
            </w:r>
            <w:r>
              <w:rPr>
                <w:rStyle w:val="CodeChar"/>
              </w:rPr>
              <w:t xml:space="preserve">HOLD_POSITION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v044:pag-experiment/probes.py::dropped_heartbeats_fail_safe</w:t>
            </w:r>
          </w:p>
        </w:tc>
        <w:tc>
          <w:tcPr>
            <w:tcW w:w="1872" w:type="dxa"/>
          </w:tcPr>
          <w:p>
            <w:pPr/>
            <w:r>
              <w:t xml:space="preserve">Evidence</w:t>
            </w:r>
          </w:p>
        </w:tc>
        <w:tc>
          <w:tcPr>
            <w:tcW w:w="1872" w:type="dxa"/>
          </w:tcPr>
          <w:p>
            <w:pPr/>
            <w:r>
              <w:t xml:space="preserve">Fail-safe, at an availability cost (F4)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A12</w:t>
            </w:r>
          </w:p>
        </w:tc>
        <w:tc>
          <w:tcPr>
            <w:tcW w:w="1872" w:type="dxa"/>
          </w:tcPr>
          <w:p>
            <w:pPr/>
            <w:r>
              <w:t xml:space="preserve">Revocation after the effect completed is recorded as </w:t>
            </w:r>
            <w:r>
              <w:rPr>
                <w:rStyle w:val="CodeChar"/>
              </w:rPr>
              <w:t xml:space="preserve">EFFECT_AFTER_AUTHORITY_LOSS</w:t>
            </w:r>
            <w:r>
              <w:t xml:space="preserve">, not prevented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v044:pag-experiment/probes.py::revocation_after_effect</w:t>
            </w:r>
          </w:p>
        </w:tc>
        <w:tc>
          <w:tcPr>
            <w:tcW w:w="1872" w:type="dxa"/>
          </w:tcPr>
          <w:p>
            <w:pPr/>
            <w:r>
              <w:t xml:space="preserve">Evidence</w:t>
            </w:r>
          </w:p>
        </w:tc>
        <w:tc>
          <w:tcPr>
            <w:tcW w:w="1872" w:type="dxa"/>
          </w:tcPr>
          <w:p>
            <w:pPr/>
            <w:r>
              <w:t xml:space="preserve">State plainly: revocation does not undo effects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A13</w:t>
            </w:r>
          </w:p>
        </w:tc>
        <w:tc>
          <w:tcPr>
            <w:tcW w:w="1872" w:type="dxa"/>
          </w:tcPr>
          <w:p>
            <w:pPr/>
            <w:r>
              <w:t xml:space="preserve">Evidence hash chain verified for 20/20 scenario runs; edits, deletions, and reordering detected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v044:pag-experiment/results.json</w:t>
            </w:r>
            <w:r>
              <w:t xml:space="preserve"> (</w:t>
            </w:r>
            <w:r>
              <w:rPr>
                <w:rStyle w:val="CodeChar"/>
              </w:rPr>
              <w:t xml:space="preserve">cara_evidence_chains_valid</w:t>
            </w:r>
            <w:r>
              <w:t xml:space="preserve">); </w:t>
            </w:r>
            <w:r>
              <w:rPr>
                <w:rStyle w:val="CodeChar"/>
              </w:rPr>
              <w:t xml:space="preserve">v044:reference-implementation/tests/test_pep_evidence.py::test_evidence_chain_detects_edit_delete_reorder</w:t>
            </w:r>
          </w:p>
        </w:tc>
        <w:tc>
          <w:tcPr>
            <w:tcW w:w="1872" w:type="dxa"/>
          </w:tcPr>
          <w:p>
            <w:pPr/>
            <w:r>
              <w:t xml:space="preserve">Evidence</w:t>
            </w:r>
          </w:p>
        </w:tc>
        <w:tc>
          <w:tcPr>
            <w:tcW w:w="1872" w:type="dxa"/>
          </w:tcPr>
          <w:p>
            <w:pPr/>
            <w:r>
              <w:t xml:space="preserve">Chain head not externally anchored (K6)</w:t>
            </w:r>
          </w:p>
        </w:tc>
      </w:tr>
    </w:tbl>
    <w:p>
      <w:pPr>
        <w:pStyle w:val="Heading2"/>
      </w:pPr>
      <w:r>
        <w:t xml:space="preserve">Physical hazard experiment</w:t>
      </w:r>
    </w:p>
    <w:p>
      <w:pPr/>
      <w:r>
        <w:t xml:space="preserve">The gate caught every hazard it had rules for and none it lacked rules for; H4 is the number the paper must lead with, not H2. Twenty RoboHarm-derived scenarios, three gates, harm measured by the simulator's own consequence model.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Finding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Manuscript caveat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H1</w:t>
            </w:r>
          </w:p>
        </w:tc>
        <w:tc>
          <w:tcPr>
            <w:tcW w:w="1872" w:type="dxa"/>
          </w:tcPr>
          <w:p>
            <w:pPr/>
            <w:r>
              <w:t xml:space="preserve">Ungated simulator outcomes match the hand-assigned harm labels in 20/20 scenarios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v044:pag-experiment/results.json</w:t>
            </w:r>
            <w:r>
              <w:t xml:space="preserve"> (</w:t>
            </w:r>
            <w:r>
              <w:rPr>
                <w:rStyle w:val="CodeChar"/>
              </w:rPr>
              <w:t xml:space="preserve">label_validation</w:t>
            </w:r>
            <w:r>
              <w:t xml:space="preserve">); </w:t>
            </w:r>
            <w:r>
              <w:rPr>
                <w:rStyle w:val="CodeChar"/>
              </w:rPr>
              <w:t xml:space="preserve">test_pag.py::test_simulator_agrees_with_hand_label</w:t>
            </w:r>
          </w:p>
        </w:tc>
        <w:tc>
          <w:tcPr>
            <w:tcW w:w="1872" w:type="dxa"/>
          </w:tcPr>
          <w:p>
            <w:pPr/>
            <w:r>
              <w:t xml:space="preserve">Evidence</w:t>
            </w:r>
          </w:p>
        </w:tc>
        <w:tc>
          <w:tcPr>
            <w:tcW w:w="1872" w:type="dxa"/>
          </w:tcPr>
          <w:p>
            <w:pPr/>
            <w:r>
              <w:t xml:space="preserve">Validates the simulator, not the gate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H2</w:t>
            </w:r>
          </w:p>
        </w:tc>
        <w:tc>
          <w:tcPr>
            <w:tcW w:w="1872" w:type="dxa"/>
          </w:tcPr>
          <w:p>
            <w:pPr/>
            <w:r>
              <w:t xml:space="preserve">Perception-grounded gate: harm in 0/5 RoboHarm, 0/5 relabeled, 0/1 reversed-order scenarios; 7/7 benign tasks completed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v044:pag-experiment/results.json</w:t>
            </w:r>
            <w:r>
              <w:t xml:space="preserve">; </w:t>
            </w:r>
            <w:r>
              <w:rPr>
                <w:rStyle w:val="CodeChar"/>
              </w:rPr>
              <w:t xml:space="preserve">test_pag.py::test_cara_prevents_known_hazards</w:t>
            </w:r>
            <w:r>
              <w:t xml:space="preserve">, </w:t>
            </w:r>
            <w:r>
              <w:rPr>
                <w:rStyle w:val="CodeChar"/>
              </w:rPr>
              <w:t xml:space="preserve">test_cara_completes_benign_tasks</w:t>
            </w:r>
          </w:p>
        </w:tc>
        <w:tc>
          <w:tcPr>
            <w:tcW w:w="1872" w:type="dxa"/>
          </w:tcPr>
          <w:p>
            <w:pPr/>
            <w:r>
              <w:t xml:space="preserve">Evidence</w:t>
            </w:r>
          </w:p>
        </w:tc>
        <w:tc>
          <w:tcPr>
            <w:tcW w:w="1872" w:type="dxa"/>
          </w:tcPr>
          <w:p>
            <w:pPr/>
            <w:r>
              <w:t xml:space="preserve">Rules written knowing the scenarios; near-restatement (K1)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H3</w:t>
            </w:r>
          </w:p>
        </w:tc>
        <w:tc>
          <w:tcPr>
            <w:tcW w:w="1872" w:type="dxa"/>
          </w:tcPr>
          <w:p>
            <w:pPr/>
            <w:r>
              <w:t xml:space="preserve">v0.4 label-trusting gate: harm in 4/5 RoboHarm and 5/5 relabeled; caught only the honestly labeled doll stab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v044:pag-experiment/results.json</w:t>
            </w:r>
            <w:r>
              <w:t xml:space="preserve">; </w:t>
            </w:r>
            <w:r>
              <w:rPr>
                <w:rStyle w:val="CodeChar"/>
              </w:rPr>
              <w:t xml:space="preserve">test_pag.py::test_label_gate_misses_roboharm_tasks</w:t>
            </w:r>
            <w:r>
              <w:t xml:space="preserve">, </w:t>
            </w:r>
            <w:r>
              <w:rPr>
                <w:rStyle w:val="CodeChar"/>
              </w:rPr>
              <w:t xml:space="preserve">test_label_gate_fooled_by_relabeling</w:t>
            </w:r>
          </w:p>
        </w:tc>
        <w:tc>
          <w:tcPr>
            <w:tcW w:w="1872" w:type="dxa"/>
          </w:tcPr>
          <w:p>
            <w:pPr/>
            <w:r>
              <w:t xml:space="preserve">Evidence</w:t>
            </w:r>
          </w:p>
        </w:tc>
        <w:tc>
          <w:tcPr>
            <w:tcW w:w="1872" w:type="dxa"/>
          </w:tcPr>
          <w:p>
            <w:pPr/>
            <w:r>
              <w:t xml:space="preserve">Baseline is our own earlier design, not a published system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H4</w:t>
            </w:r>
          </w:p>
        </w:tc>
        <w:tc>
          <w:tcPr>
            <w:tcW w:w="1872" w:type="dxa"/>
          </w:tcPr>
          <w:p>
            <w:pPr/>
            <w:r>
              <w:t xml:space="preserve">Author-held-out hazards (paper towel on lit burner, water into hot oil): harm in 2/2 under the gate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v044:pag-experiment/results.json</w:t>
            </w:r>
            <w:r>
              <w:t xml:space="preserve"> (</w:t>
            </w:r>
            <w:r>
              <w:rPr>
                <w:rStyle w:val="CodeChar"/>
              </w:rPr>
              <w:t xml:space="preserve">held_out</w:t>
            </w:r>
            <w:r>
              <w:t xml:space="preserve">); </w:t>
            </w:r>
            <w:r>
              <w:rPr>
                <w:rStyle w:val="CodeChar"/>
              </w:rPr>
              <w:t xml:space="preserve">test_pag.py::test_cara_misses_hazards_nobody_encoded</w:t>
            </w:r>
          </w:p>
        </w:tc>
        <w:tc>
          <w:tcPr>
            <w:tcW w:w="1872" w:type="dxa"/>
          </w:tcPr>
          <w:p>
            <w:pPr/>
            <w:r>
              <w:t xml:space="preserve">Evidence</w:t>
            </w:r>
          </w:p>
        </w:tc>
        <w:tc>
          <w:tcPr>
            <w:tcW w:w="1872" w:type="dxa"/>
          </w:tcPr>
          <w:p>
            <w:pPr/>
            <w:r>
              <w:t xml:space="preserve">Lead the hazard section with this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H5</w:t>
            </w:r>
          </w:p>
        </w:tc>
        <w:tc>
          <w:tcPr>
            <w:tcW w:w="1872" w:type="dxa"/>
          </w:tcPr>
          <w:p>
            <w:pPr/>
            <w:r>
              <w:t xml:space="preserve">Gate decisions identical for honest and relabeled proposals; declared labels excluded from the bound action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test_pag.py::test_cara_decision_ignores_declared_labels</w:t>
            </w:r>
            <w:r>
              <w:t xml:space="preserve">, </w:t>
            </w:r>
            <w:r>
              <w:rPr>
                <w:rStyle w:val="CodeChar"/>
              </w:rPr>
              <w:t xml:space="preserve">test_declared_labels_are_not_bound_into_the_action</w:t>
            </w:r>
            <w:r>
              <w:t xml:space="preserve">, </w:t>
            </w:r>
            <w:r>
              <w:rPr>
                <w:rStyle w:val="CodeChar"/>
              </w:rPr>
              <w:t xml:space="preserve">test_hazard_policy_reads_perception_not_proposal</w:t>
            </w:r>
          </w:p>
        </w:tc>
        <w:tc>
          <w:tcPr>
            <w:tcW w:w="1872" w:type="dxa"/>
          </w:tcPr>
          <w:p>
            <w:pPr/>
            <w:r>
              <w:t xml:space="preserve">Evidence</w:t>
            </w:r>
          </w:p>
        </w:tc>
        <w:tc>
          <w:tcPr>
            <w:tcW w:w="1872" w:type="dxa"/>
          </w:tcPr>
          <w:p>
            <w:pPr/>
            <w:r>
              <w:t xml:space="preserve">Perception is perfect in simulation (K2)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H6</w:t>
            </w:r>
          </w:p>
        </w:tc>
        <w:tc>
          <w:tcPr>
            <w:tcW w:w="1872" w:type="dxa"/>
          </w:tcPr>
          <w:p>
            <w:pPr/>
            <w:r>
              <w:t xml:space="preserve">Composition is state-based: bleach then ammonia denied at the second pour; same pours into separate cups allowed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test_pag.py::test_composition_is_state_dependent</w:t>
            </w:r>
          </w:p>
        </w:tc>
        <w:tc>
          <w:tcPr>
            <w:tcW w:w="1872" w:type="dxa"/>
          </w:tcPr>
          <w:p>
            <w:pPr/>
            <w:r>
              <w:t xml:space="preserve">Evidence</w:t>
            </w:r>
          </w:p>
        </w:tc>
        <w:tc>
          <w:tcPr>
            <w:tcW w:w="1872" w:type="dxa"/>
          </w:tcPr>
          <w:p>
            <w:pPr/>
            <w:r>
              <w:t xml:space="preserve">One chemical pair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H7</w:t>
            </w:r>
          </w:p>
        </w:tc>
        <w:tc>
          <w:tcPr>
            <w:tcW w:w="1872" w:type="dxa"/>
          </w:tcPr>
          <w:p>
            <w:pPr/>
            <w:r>
              <w:t xml:space="preserve">Same motion allowed when world state makes it safe (burner off, toaster unplugged)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test_pag.py::test_same_motion_allowed_when_world_state_is_safe</w:t>
            </w:r>
          </w:p>
        </w:tc>
        <w:tc>
          <w:tcPr>
            <w:tcW w:w="1872" w:type="dxa"/>
          </w:tcPr>
          <w:p>
            <w:pPr/>
            <w:r>
              <w:t xml:space="preserve">Evidence</w:t>
            </w:r>
          </w:p>
        </w:tc>
        <w:tc>
          <w:tcPr>
            <w:tcW w:w="1872" w:type="dxa"/>
          </w:tcPr>
          <w:p>
            <w:pPr/>
            <w:r>
              <w:t xml:space="preserve">Two controls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H8</w:t>
            </w:r>
          </w:p>
        </w:tc>
        <w:tc>
          <w:tcPr>
            <w:tcW w:w="1872" w:type="dxa"/>
          </w:tcPr>
          <w:p>
            <w:pPr/>
            <w:r>
              <w:t xml:space="preserve">Externally authored held-out hazards</w:t>
            </w:r>
          </w:p>
        </w:tc>
        <w:tc>
          <w:tcPr>
            <w:tcW w:w="1872" w:type="dxa"/>
          </w:tcPr>
          <w:p>
            <w:pPr/>
            <w:r>
              <w:t xml:space="preserve">Not yet run</w:t>
            </w:r>
          </w:p>
        </w:tc>
        <w:tc>
          <w:tcPr>
            <w:tcW w:w="1872" w:type="dxa"/>
          </w:tcPr>
          <w:p>
            <w:pPr/>
            <w:r>
              <w:t xml:space="preserve">Hypothesis</w:t>
            </w:r>
          </w:p>
        </w:tc>
        <w:tc>
          <w:tcPr>
            <w:tcW w:w="1872" w:type="dxa"/>
          </w:tcPr>
          <w:p>
            <w:pPr/>
            <w:r>
              <w:t xml:space="preserve">Required before freeze (action X3)</w:t>
            </w:r>
          </w:p>
        </w:tc>
      </w:tr>
    </w:tbl>
    <w:p>
      <w:pPr/>
      <w:r>
        <w:t xml:space="preserve">Authority enforcement does not compensate for an incomplete hazard model: A-rows and H4 together are the evidence for that sentence.</w:t>
      </w:r>
    </w:p>
    <w:p>
      <w:pPr>
        <w:pStyle w:val="Heading2"/>
      </w:pPr>
      <w:r>
        <w:t xml:space="preserve">Revocation freshness (Δ sweep)</w:t>
      </w:r>
    </w:p>
    <w:p>
      <w:pPr/>
      <w:r>
        <w:t xml:space="preserve">Worst-case stale-authority exposure is approximately min(Δ, longest gap between delivered heartbeats) + one control tick. Source for every row: </w:t>
      </w:r>
      <w:r>
        <w:rPr>
          <w:rStyle w:val="CodeChar"/>
        </w:rPr>
        <w:t xml:space="preserve">v044:pag-experiment/delta_sweep.csv</w:t>
      </w:r>
      <w:r>
        <w:t xml:space="preserve"> (identical to v0.4.3), 54 configurations × 40 seeds, 3.35 s benign motion.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Finding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Rows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Manuscript caveat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F1</w:t>
            </w:r>
          </w:p>
        </w:tc>
        <w:tc>
          <w:tcPr>
            <w:tcW w:w="1872" w:type="dxa"/>
          </w:tcPr>
          <w:p>
            <w:pPr/>
            <w:r>
              <w:t xml:space="preserve">Typical exposure ≈ half the cadence plus delay: mean 0.076 s at 0.05 s cadence / 0.02 s delay; 0.281 s at 0.25 s / 0.1 s</w:t>
            </w:r>
          </w:p>
        </w:tc>
        <w:tc>
          <w:tcPr>
            <w:tcW w:w="1872" w:type="dxa"/>
          </w:tcPr>
          <w:p>
            <w:pPr/>
            <w:r>
              <w:t xml:space="preserve">Δ any, cadence 0.05, delay 0.02, loss 0; Δ 1.0, cadence 0.25, delay 0.1, loss 0</w:t>
            </w:r>
          </w:p>
        </w:tc>
        <w:tc>
          <w:tcPr>
            <w:tcW w:w="1872" w:type="dxa"/>
          </w:tcPr>
          <w:p>
            <w:pPr/>
            <w:r>
              <w:t xml:space="preserve">Evidence</w:t>
            </w:r>
          </w:p>
        </w:tc>
        <w:tc>
          <w:tcPr>
            <w:tcW w:w="1872" w:type="dxa"/>
          </w:tcPr>
          <w:p>
            <w:pPr/>
            <w:r>
              <w:t xml:space="preserve">Heartbeat-based bounded staleness is literature (L9)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F2</w:t>
            </w:r>
          </w:p>
        </w:tc>
        <w:tc>
          <w:tcPr>
            <w:tcW w:w="1872" w:type="dxa"/>
          </w:tcPr>
          <w:p>
            <w:pPr/>
            <w:r>
              <w:t xml:space="preserve">Under loss, the cap is the longest delivered-heartbeat gap, not Δ: at 10% loss the max is 0.248 s for Δ = 0.25, 0.5, and 1.0 alike</w:t>
            </w:r>
          </w:p>
        </w:tc>
        <w:tc>
          <w:tcPr>
            <w:tcW w:w="1872" w:type="dxa"/>
          </w:tcPr>
          <w:p>
            <w:pPr/>
            <w:r>
              <w:t xml:space="preserve">cadence 0.05, delay 0.02, loss 0.1, all Δ</w:t>
            </w:r>
          </w:p>
        </w:tc>
        <w:tc>
          <w:tcPr>
            <w:tcW w:w="1872" w:type="dxa"/>
          </w:tcPr>
          <w:p>
            <w:pPr/>
            <w:r>
              <w:t xml:space="preserve">Evidence</w:t>
            </w:r>
          </w:p>
        </w:tc>
        <w:tc>
          <w:tcPr>
            <w:tcW w:w="1872" w:type="dxa"/>
          </w:tcPr>
          <w:p>
            <w:pPr/>
            <w:r>
              <w:t xml:space="preserve">Use the min(Δ, gap) formula, not "approaches Δ"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F3</w:t>
            </w:r>
          </w:p>
        </w:tc>
        <w:tc>
          <w:tcPr>
            <w:tcW w:w="1872" w:type="dxa"/>
          </w:tcPr>
          <w:p>
            <w:pPr/>
            <w:r>
              <w:t xml:space="preserve">Δ binds when losses run long: max exposure 0.993 s at Δ = 1.0, cadence 0.25, delay 0.1, loss 0.3</w:t>
            </w:r>
          </w:p>
        </w:tc>
        <w:tc>
          <w:tcPr>
            <w:tcW w:w="1872" w:type="dxa"/>
          </w:tcPr>
          <w:p>
            <w:pPr/>
            <w:r>
              <w:t xml:space="preserve">that row</w:t>
            </w:r>
          </w:p>
        </w:tc>
        <w:tc>
          <w:tcPr>
            <w:tcW w:w="1872" w:type="dxa"/>
          </w:tcPr>
          <w:p>
            <w:pPr/>
            <w:r>
              <w:t xml:space="preserve">Evidence</w:t>
            </w:r>
          </w:p>
        </w:tc>
        <w:tc>
          <w:tcPr>
            <w:tcW w:w="1872" w:type="dxa"/>
          </w:tcPr>
          <w:p>
            <w:pPr/>
            <w:r>
              <w:t xml:space="preserve">Single configuration; 40 seeds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F4</w:t>
            </w:r>
          </w:p>
        </w:tc>
        <w:tc>
          <w:tcPr>
            <w:tcW w:w="1872" w:type="dxa"/>
          </w:tcPr>
          <w:p>
            <w:pPr/>
            <w:r>
              <w:t xml:space="preserve">Δ tighter than the network sustains collapses availability: Δ = 0.25 with 0.25 s cadence / 0.1 s delay stopped 100% of benign runs (85% and 60% stopped, 15% and 40% refused at release, under 10% and 30% loss)</w:t>
            </w:r>
          </w:p>
        </w:tc>
        <w:tc>
          <w:tcPr>
            <w:tcW w:w="1872" w:type="dxa"/>
          </w:tcPr>
          <w:p>
            <w:pPr/>
            <w:r>
              <w:t xml:space="preserve">Δ 0.25, cadence 0.25, delay 0.1</w:t>
            </w:r>
          </w:p>
        </w:tc>
        <w:tc>
          <w:tcPr>
            <w:tcW w:w="1872" w:type="dxa"/>
          </w:tcPr>
          <w:p>
            <w:pPr/>
            <w:r>
              <w:t xml:space="preserve">Evidence</w:t>
            </w:r>
          </w:p>
        </w:tc>
        <w:tc>
          <w:tcPr>
            <w:tcW w:w="1872" w:type="dxa"/>
          </w:tcPr>
          <w:p>
            <w:pPr/>
            <w:r>
              <w:t xml:space="preserve">The safety/availability tradeoff; strongest single table row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F5</w:t>
            </w:r>
          </w:p>
        </w:tc>
        <w:tc>
          <w:tcPr>
            <w:tcW w:w="1872" w:type="dxa"/>
          </w:tcPr>
          <w:p>
            <w:pPr/>
            <w:r>
              <w:t xml:space="preserve">Effect after revocation ranged 0 to 12.5% across configurations, tracking (cadence + delay) / motion duration</w:t>
            </w:r>
          </w:p>
        </w:tc>
        <w:tc>
          <w:tcPr>
            <w:tcW w:w="1872" w:type="dxa"/>
          </w:tcPr>
          <w:p>
            <w:pPr/>
            <w:r>
              <w:t xml:space="preserve">whole file</w:t>
            </w:r>
          </w:p>
        </w:tc>
        <w:tc>
          <w:tcPr>
            <w:tcW w:w="1872" w:type="dxa"/>
          </w:tcPr>
          <w:p>
            <w:pPr/>
            <w:r>
              <w:t xml:space="preserve">Evidence, weak</w:t>
            </w:r>
          </w:p>
        </w:tc>
        <w:tc>
          <w:tcPr>
            <w:tcW w:w="1872" w:type="dxa"/>
          </w:tcPr>
          <w:p>
            <w:pPr/>
            <w:r>
              <w:t xml:space="preserve">12.5% = 5 of 40 runs; rate depends on motion length and on a fixed start phase (see D3). Report window length instead (X2)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F6</w:t>
            </w:r>
          </w:p>
        </w:tc>
        <w:tc>
          <w:tcPr>
            <w:tcW w:w="1872" w:type="dxa"/>
          </w:tcPr>
          <w:p>
            <w:pPr/>
            <w:r>
              <w:t xml:space="preserve">Unrelated and future-dated revocations cause no stops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v043:reference-implementation/tests/test_v043_revocation_and_binding.py::test_unrelated_revocation_does_not_block</w:t>
            </w:r>
            <w:r>
              <w:t xml:space="preserve">, </w:t>
            </w:r>
            <w:r>
              <w:rPr>
                <w:rStyle w:val="CodeChar"/>
              </w:rPr>
              <w:t xml:space="preserve">test_future_dated_revocation_not_listed_until_effective</w:t>
            </w:r>
          </w:p>
        </w:tc>
        <w:tc>
          <w:tcPr>
            <w:tcW w:w="1872" w:type="dxa"/>
          </w:tcPr>
          <w:p>
            <w:pPr/>
            <w:r>
              <w:t xml:space="preserve">Engineering</w:t>
            </w:r>
          </w:p>
        </w:tc>
        <w:tc>
          <w:tcPr>
            <w:tcW w:w="1872" w:type="dxa"/>
          </w:tcPr>
          <w:p>
            <w:pPr/>
            <w:r>
              <w:t xml:space="preserve">Design correction, not a finding</w:t>
            </w:r>
          </w:p>
        </w:tc>
      </w:tr>
    </w:tbl>
    <w:p>
      <w:pPr>
        <w:pStyle w:val="Heading2"/>
      </w:pPr>
      <w:r>
        <w:t xml:space="preserve">DD-6 phase-start gate</w:t>
      </w:r>
    </w:p>
    <w:p>
      <w:pPr/>
      <w:r>
        <w:t xml:space="preserve">The phase-start gate makes residual exposure predictable but does not reduce it on average: the vulnerable window becomes a fixed function of contact duration instead of a function of start phase. The v0.4.4 sweep's 2.7% to 0.2–0.5% reduction is withdrawn.</w:t>
      </w:r>
    </w:p>
    <w:p>
      <w:pPr/>
      <w:r>
        <w:t xml:space="preserve">Method for D2–D5: scan the revocation time in 25 ms steps across each motion's actual duration; window = total span of revocation times whose effect still completed. Start phase swept over one full cadence; jitter and loss zero; 98 configurations. Source: </w:t>
      </w:r>
      <w:r>
        <w:rPr>
          <w:rStyle w:val="CodeChar"/>
        </w:rPr>
        <w:t xml:space="preserve">scan:dd6_window_measurement.csv</w:t>
      </w:r>
      <w:r>
        <w:t xml:space="preserve"> and </w:t>
      </w:r>
      <w:r>
        <w:rPr>
          <w:rStyle w:val="CodeChar"/>
        </w:rPr>
        <w:t xml:space="preserve">scan:dd6_window_measurement.py</w:t>
      </w:r>
      <w:r>
        <w:t xml:space="preserve">, run against the v0.4.4 code.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Finding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Manuscript caveat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D1</w:t>
            </w:r>
          </w:p>
        </w:tc>
        <w:tc>
          <w:tcPr>
            <w:tcW w:w="1872" w:type="dxa"/>
          </w:tcPr>
          <w:p>
            <w:pPr/>
            <w:r>
              <w:t xml:space="preserve">v0.4.4 reported effect-after-revocation falling from 2.7% to 0.2%, 0.5%, 0.4%. The sweep sampled revocations over the ungated duration; gated motions run 0.05–0.15 s longer, so their vulnerable tail was never sampled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v044:pag-experiment/dd6_sweep.py::one_run</w:t>
            </w:r>
            <w:r>
              <w:t xml:space="preserve"> (</w:t>
            </w:r>
            <w:r>
              <w:rPr>
                <w:rStyle w:val="CodeChar"/>
              </w:rPr>
              <w:t xml:space="preserve">rng.uniform(0.1, duration)</w:t>
            </w:r>
            <w:r>
              <w:t xml:space="preserve">); </w:t>
            </w:r>
            <w:r>
              <w:rPr>
                <w:rStyle w:val="CodeChar"/>
              </w:rPr>
              <w:t xml:space="preserve">v044:dd6_sweep.csv</w:t>
            </w:r>
          </w:p>
        </w:tc>
        <w:tc>
          <w:tcPr>
            <w:tcW w:w="1872" w:type="dxa"/>
          </w:tcPr>
          <w:p>
            <w:pPr/>
            <w:r>
              <w:t xml:space="preserve">Withdrawn</w:t>
            </w:r>
          </w:p>
        </w:tc>
        <w:tc>
          <w:tcPr>
            <w:tcW w:w="1872" w:type="dxa"/>
          </w:tcPr>
          <w:p>
            <w:pPr/>
            <w:r>
              <w:t xml:space="preserve">Do not cite. Same error class as the first Δ sweep in v0.4.3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D2</w:t>
            </w:r>
          </w:p>
        </w:tc>
        <w:tc>
          <w:tcPr>
            <w:tcW w:w="1872" w:type="dxa"/>
          </w:tcPr>
          <w:p>
            <w:pPr/>
            <w:r>
              <w:t xml:space="preserve">Gated window = (contact duration mod heartbeat cadence) + delay, rounded up to the 50 ms control tick. Matched 49/49 gated configurations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scan:dd6_window_measurement.csv</w:t>
            </w:r>
            <w:r>
              <w:t xml:space="preserve"> (</w:t>
            </w:r>
            <w:r>
              <w:rPr>
                <w:rStyle w:val="CodeChar"/>
              </w:rPr>
              <w:t xml:space="preserve">predicted_gated_window_s</w:t>
            </w:r>
            <w:r>
              <w:t xml:space="preserve"> vs </w:t>
            </w:r>
            <w:r>
              <w:rPr>
                <w:rStyle w:val="CodeChar"/>
              </w:rPr>
              <w:t xml:space="preserve">vulnerable_window_s</w:t>
            </w:r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Evidence</w:t>
            </w:r>
          </w:p>
        </w:tc>
        <w:tc>
          <w:tcPr>
            <w:tcW w:w="1872" w:type="dxa"/>
          </w:tcPr>
          <w:p>
            <w:pPr/>
            <w:r>
              <w:t xml:space="preserve">Deterministic model; no jitter or loss in this measurement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D3</w:t>
            </w:r>
          </w:p>
        </w:tc>
        <w:tc>
          <w:tcPr>
            <w:tcW w:w="1872" w:type="dxa"/>
          </w:tcPr>
          <w:p>
            <w:pPr/>
            <w:r>
              <w:t xml:space="preserve">Periodic window depends on where the motion starts in the heartbeat cycle: 0.10–0.30 s (mean 0.200) at 0.25 s cadence / 0.1 s delay; 0.05–0.10 s (mean 0.075) at 0.1 s / 0.02 s</w:t>
            </w:r>
          </w:p>
        </w:tc>
        <w:tc>
          <w:tcPr>
            <w:tcW w:w="1872" w:type="dxa"/>
          </w:tcPr>
          <w:p>
            <w:pPr/>
            <w:r>
              <w:t xml:space="preserve">same</w:t>
            </w:r>
          </w:p>
        </w:tc>
        <w:tc>
          <w:tcPr>
            <w:tcW w:w="1872" w:type="dxa"/>
          </w:tcPr>
          <w:p>
            <w:pPr/>
            <w:r>
              <w:t xml:space="preserve">Evidence</w:t>
            </w:r>
          </w:p>
        </w:tc>
        <w:tc>
          <w:tcPr>
            <w:tcW w:w="1872" w:type="dxa"/>
          </w:tcPr>
          <w:p>
            <w:pPr/>
            <w:r>
              <w:t xml:space="preserve">Explains why fixed-phase sweeps (F5) mislead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D4</w:t>
            </w:r>
          </w:p>
        </w:tc>
        <w:tc>
          <w:tcPr>
            <w:tcW w:w="1872" w:type="dxa"/>
          </w:tcPr>
          <w:p>
            <w:pPr/>
            <w:r>
              <w:t xml:space="preserve">Averaged over seven contact durations (0.1 to 1.15 s): gated 0.200 s vs periodic 0.200 s on the slow network; 0.057 s vs 0.075 s on the fast network, a difference smaller than one control tick</w:t>
            </w:r>
          </w:p>
        </w:tc>
        <w:tc>
          <w:tcPr>
            <w:tcW w:w="1872" w:type="dxa"/>
          </w:tcPr>
          <w:p>
            <w:pPr/>
            <w:r>
              <w:t xml:space="preserve">same</w:t>
            </w:r>
          </w:p>
        </w:tc>
        <w:tc>
          <w:tcPr>
            <w:tcW w:w="1872" w:type="dxa"/>
          </w:tcPr>
          <w:p>
            <w:pPr/>
            <w:r>
              <w:t xml:space="preserve">Evidence</w:t>
            </w:r>
          </w:p>
        </w:tc>
        <w:tc>
          <w:tcPr>
            <w:tcW w:w="1872" w:type="dxa"/>
          </w:tcPr>
          <w:p>
            <w:pPr/>
            <w:r>
              <w:t xml:space="preserve">The gate removes variance, not expected exposure. Fast-network difference is at the simulator's resolution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D5</w:t>
            </w:r>
          </w:p>
        </w:tc>
        <w:tc>
          <w:tcPr>
            <w:tcW w:w="1872" w:type="dxa"/>
          </w:tcPr>
          <w:p>
            <w:pPr/>
            <w:r>
              <w:t xml:space="preserve">Gate cost: 0.150 s mean hesitation per contact on the slow network, 0.075 s on the fast network</w:t>
            </w:r>
          </w:p>
        </w:tc>
        <w:tc>
          <w:tcPr>
            <w:tcW w:w="1872" w:type="dxa"/>
          </w:tcPr>
          <w:p>
            <w:pPr/>
            <w:r>
              <w:t xml:space="preserve">same (</w:t>
            </w:r>
            <w:r>
              <w:rPr>
                <w:rStyle w:val="CodeChar"/>
              </w:rPr>
              <w:t xml:space="preserve">hesitation_s</w:t>
            </w:r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Evidence</w:t>
            </w:r>
          </w:p>
        </w:tc>
        <w:tc>
          <w:tcPr>
            <w:tcW w:w="1872" w:type="dxa"/>
          </w:tcPr>
          <w:p>
            <w:pPr/>
            <w:r>
              <w:t xml:space="preserve">Roughly half a cadence plus delay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D6</w:t>
            </w:r>
          </w:p>
        </w:tc>
        <w:tc>
          <w:tcPr>
            <w:tcW w:w="1872" w:type="dxa"/>
          </w:tcPr>
          <w:p>
            <w:pPr/>
            <w:r>
              <w:t xml:space="preserve">Gate implemented clock-free: records highest verified heartbeat sequence at contact start, requires a strictly higher one, fails safe if none arrives within Δ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v044:pag-experiment/test_pag.py::test_precontact_gate_requires_strictly_newer_sequence</w:t>
            </w:r>
            <w:r>
              <w:t xml:space="preserve">, </w:t>
            </w:r>
            <w:r>
              <w:rPr>
                <w:rStyle w:val="CodeChar"/>
              </w:rPr>
              <w:t xml:space="preserve">test_precontact_gate_uses_sequence_not_cross_clock_timestamp</w:t>
            </w:r>
            <w:r>
              <w:t xml:space="preserve">, </w:t>
            </w:r>
            <w:r>
              <w:rPr>
                <w:rStyle w:val="CodeChar"/>
              </w:rPr>
              <w:t xml:space="preserve">test_precontact_gate_fails_safe_if_no_new_heartbeat_before_delta</w:t>
            </w:r>
          </w:p>
        </w:tc>
        <w:tc>
          <w:tcPr>
            <w:tcW w:w="1872" w:type="dxa"/>
          </w:tcPr>
          <w:p>
            <w:pPr/>
            <w:r>
              <w:t xml:space="preserve">Engineering</w:t>
            </w:r>
          </w:p>
        </w:tc>
        <w:tc>
          <w:tcPr>
            <w:tcW w:w="1872" w:type="dxa"/>
          </w:tcPr>
          <w:p>
            <w:pPr/>
            <w:r>
              <w:t xml:space="preserve">Methods section</w:t>
            </w:r>
          </w:p>
        </w:tc>
      </w:tr>
    </w:tbl>
    <w:p>
      <w:pPr/>
      <w:r>
        <w:t xml:space="preserve">Why D4 happens: the gate checks freshness when contact begins, but the effect occurs when contact ends. Anchoring freshness to the consequence is untested (P1).</w:t>
      </w:r>
    </w:p>
    <w:p>
      <w:pPr>
        <w:pStyle w:val="Heading2"/>
      </w:pPr>
      <w:r>
        <w:t xml:space="preserve">Engineering support</w:t>
      </w:r>
    </w:p>
    <w:p>
      <w:pPr/>
      <w:r>
        <w:t xml:space="preserve">These rows establish that the apparatus works as described; they go in Methods and support the E- and A-rows, never in the contribution list.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Fact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Methods use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E1</w:t>
            </w:r>
          </w:p>
        </w:tc>
        <w:tc>
          <w:tcPr>
            <w:tcW w:w="2340" w:type="dxa"/>
          </w:tcPr>
          <w:p>
            <w:pPr/>
            <w:r>
              <w:t xml:space="preserve">207 tests pass on v0.4.4: 120 reference, 87 PAG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v044:TEST_REPORT_v0.4.4.json</w:t>
            </w:r>
          </w:p>
        </w:tc>
        <w:tc>
          <w:tcPr>
            <w:tcW w:w="2340" w:type="dxa"/>
          </w:tcPr>
          <w:p>
            <w:pPr/>
            <w:r>
              <w:t xml:space="preserve">Regression confidence only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E2</w:t>
            </w:r>
          </w:p>
        </w:tc>
        <w:tc>
          <w:tcPr>
            <w:tcW w:w="2340" w:type="dxa"/>
          </w:tcPr>
          <w:p>
            <w:pPr/>
            <w:r>
              <w:t xml:space="preserve">Ten authorization bypasses in reference v0.1 fixed (subject binding, validity at authorization, descendant revocation, dropped constraints, comparator swap, side-effect escalation, audience, action-hash binding, schema validation); each has a regression test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v044:reference-implementation/CHANGELOG.md</w:t>
            </w:r>
            <w:r>
              <w:t xml:space="preserve"> 0.2.0; </w:t>
            </w:r>
            <w:r>
              <w:rPr>
                <w:rStyle w:val="CodeChar"/>
              </w:rPr>
              <w:t xml:space="preserve">tests/test_adversarial.py</w:t>
            </w:r>
          </w:p>
        </w:tc>
        <w:tc>
          <w:tcPr>
            <w:tcW w:w="2340" w:type="dxa"/>
          </w:tcPr>
          <w:p>
            <w:pPr/>
            <w:r>
              <w:t xml:space="preserve">Shows the reference engine was adversarially tested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E3</w:t>
            </w:r>
          </w:p>
        </w:tc>
        <w:tc>
          <w:tcPr>
            <w:tcW w:w="2340" w:type="dxa"/>
          </w:tcPr>
          <w:p>
            <w:pPr/>
            <w:r>
              <w:t xml:space="preserve">Durable consumption: confirmed budgets, prepare/commit/abort, idempotent commit, crash recovery; 50 concurrent prepares on a budget of 5 admit exactly 5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tests/test_authority_consumption.py::test_threaded_prepares_respect_budget</w:t>
            </w:r>
            <w:r>
              <w:t xml:space="preserve">, </w:t>
            </w:r>
            <w:r>
              <w:rPr>
                <w:rStyle w:val="CodeChar"/>
              </w:rPr>
              <w:t xml:space="preserve">test_crash_between_prepare_and_commit</w:t>
            </w:r>
          </w:p>
        </w:tc>
        <w:tc>
          <w:tcPr>
            <w:tcW w:w="2340" w:type="dxa"/>
          </w:tcPr>
          <w:p>
            <w:pPr/>
            <w:r>
              <w:t xml:space="preserve">Implementation follows CapLease (L7)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E4</w:t>
            </w:r>
          </w:p>
        </w:tc>
        <w:tc>
          <w:tcPr>
            <w:tcW w:w="2340" w:type="dxa"/>
          </w:tcPr>
          <w:p>
            <w:pPr/>
            <w:r>
              <w:t xml:space="preserve">Receipts and heartbeats signed with Ed25519; enforcement points hold only verifiers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tests/test_v043_revocation_and_binding.py::test_receipt_verifier_cannot_sign</w:t>
            </w:r>
            <w:r>
              <w:t xml:space="preserve">, </w:t>
            </w:r>
            <w:r>
              <w:rPr>
                <w:rStyle w:val="CodeChar"/>
              </w:rPr>
              <w:t xml:space="preserve">test_forged_heartbeat_rejected</w:t>
            </w:r>
            <w:r>
              <w:t xml:space="preserve">; </w:t>
            </w:r>
            <w:r>
              <w:rPr>
                <w:rStyle w:val="CodeChar"/>
              </w:rPr>
              <w:t xml:space="preserve">pag-experiment/test_pag.py::test_actuator_holds_no_signing_keys</w:t>
            </w:r>
          </w:p>
        </w:tc>
        <w:tc>
          <w:tcPr>
            <w:tcW w:w="2340" w:type="dxa"/>
          </w:tcPr>
          <w:p>
            <w:pPr/>
            <w:r>
              <w:t xml:space="preserve">Trust-boundary description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E5</w:t>
            </w:r>
          </w:p>
        </w:tc>
        <w:tc>
          <w:tcPr>
            <w:tcW w:w="2340" w:type="dxa"/>
          </w:tcPr>
          <w:p>
            <w:pPr/>
            <w:r>
              <w:t xml:space="preserve">Revocation state is per dependency (grant, root, subject, issuer, signing key), bound into receipts from the grant lineage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tests/test_v043_revocation_and_binding.py::test_pep_binds_lineage_dependencies_into_receipt</w:t>
            </w:r>
          </w:p>
        </w:tc>
        <w:tc>
          <w:tcPr>
            <w:tcW w:w="2340" w:type="dxa"/>
          </w:tcPr>
          <w:p>
            <w:pPr/>
            <w:r>
              <w:t xml:space="preserve">Why A5 and A6 hold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E6</w:t>
            </w:r>
          </w:p>
        </w:tc>
        <w:tc>
          <w:tcPr>
            <w:tcW w:w="2340" w:type="dxa"/>
          </w:tcPr>
          <w:p>
            <w:pPr/>
            <w:r>
              <w:t xml:space="preserve">Constraints bind to action parameters; binding metadata is immutable through delegation; unbound, absent, mistyped, or wrong-unit parameters fail closed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tests/test_v042_semantics.py</w:t>
            </w:r>
            <w:r>
              <w:t xml:space="preserve">; </w:t>
            </w:r>
            <w:r>
              <w:rPr>
                <w:rStyle w:val="CodeChar"/>
              </w:rPr>
              <w:t xml:space="preserve">tests/test_v043_revocation_and_binding.py::test_unbound_constraint_denies</w:t>
            </w:r>
            <w:r>
              <w:t xml:space="preserve">, </w:t>
            </w:r>
            <w:r>
              <w:rPr>
                <w:rStyle w:val="CodeChar"/>
              </w:rPr>
              <w:t xml:space="preserve">test_bound_parameter_absent_denies</w:t>
            </w:r>
          </w:p>
        </w:tc>
        <w:tc>
          <w:tcPr>
            <w:tcW w:w="2340" w:type="dxa"/>
          </w:tcPr>
          <w:p>
            <w:pPr/>
            <w:r>
              <w:t xml:space="preserve">Why A3 holds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E7</w:t>
            </w:r>
          </w:p>
        </w:tc>
        <w:tc>
          <w:tcPr>
            <w:tcW w:w="2340" w:type="dxa"/>
          </w:tcPr>
          <w:p>
            <w:pPr/>
            <w:r>
              <w:t xml:space="preserve">Motions execute over 50 ms ticks; revocation, force, and velocity checked every tick; safe-state maneuver chosen from perception, never completing the interrupted task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pag-experiment/actuator.py</w:t>
            </w:r>
            <w:r>
              <w:t xml:space="preserve">; </w:t>
            </w:r>
            <w:r>
              <w:rPr>
                <w:rStyle w:val="CodeChar"/>
              </w:rPr>
              <w:t xml:space="preserve">test_pag.py::test_safe_state_controller_takes_no_caller_context</w:t>
            </w:r>
            <w:r>
              <w:t xml:space="preserve">, </w:t>
            </w:r>
            <w:r>
              <w:rPr>
                <w:rStyle w:val="CodeChar"/>
              </w:rPr>
              <w:t xml:space="preserve">test_revoked_pour_is_uprighted_never_completed</w:t>
            </w:r>
          </w:p>
        </w:tc>
        <w:tc>
          <w:tcPr>
            <w:tcW w:w="2340" w:type="dxa"/>
          </w:tcPr>
          <w:p>
            <w:pPr/>
            <w:r>
              <w:t xml:space="preserve">Physical enforcement description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E8</w:t>
            </w:r>
          </w:p>
        </w:tc>
        <w:tc>
          <w:tcPr>
            <w:tcW w:w="2340" w:type="dxa"/>
          </w:tcPr>
          <w:p>
            <w:pPr/>
            <w:r>
              <w:t xml:space="preserve">ANY/ALL/THRESHOLD consumption fails closed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test_pag.py::test_multi_grant_consumption_remains_fail_closed_any</w:t>
            </w:r>
          </w:p>
        </w:tc>
        <w:tc>
          <w:tcPr>
            <w:tcW w:w="2340" w:type="dxa"/>
          </w:tcPr>
          <w:p>
            <w:pPr/>
            <w:r>
              <w:t xml:space="preserve">Stated as an open design question (P4)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E9</w:t>
            </w:r>
          </w:p>
        </w:tc>
        <w:tc>
          <w:tcPr>
            <w:tcW w:w="2340" w:type="dxa"/>
          </w:tcPr>
          <w:p>
            <w:pPr/>
            <w:r>
              <w:t xml:space="preserve">Mutation checks: reverting individual fixes breaks 1–11 tests each (v0.2, v0.4.1, v0.4.3)</w:t>
            </w:r>
          </w:p>
        </w:tc>
        <w:tc>
          <w:tcPr>
            <w:tcW w:w="2340" w:type="dxa"/>
          </w:tcPr>
          <w:p>
            <w:pPr/>
            <w:r>
              <w:t xml:space="preserve">Reported in CHANGELOGs; not scripted</w:t>
            </w:r>
          </w:p>
        </w:tc>
        <w:tc>
          <w:tcPr>
            <w:tcW w:w="2340" w:type="dxa"/>
          </w:tcPr>
          <w:p>
            <w:pPr/>
            <w:r>
              <w:t xml:space="preserve">Mention only if scripted before submission (X6)</w:t>
            </w:r>
          </w:p>
        </w:tc>
      </w:tr>
    </w:tbl>
    <w:p>
      <w:pPr>
        <w:pStyle w:val="Heading2"/>
      </w:pPr>
      <w:r>
        <w:t xml:space="preserve">Literature</w:t>
      </w:r>
    </w:p>
    <w:p>
      <w:pPr/>
      <w:r>
        <w:t xml:space="preserve">Every mechanism CARA uses has prior art; the manuscript cites these and claims none of them. "Checked" says how each was verified in this project; Pass 2 must read every paper in full before submission.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Work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What it establishes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CARA must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Checked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L1</w:t>
            </w:r>
          </w:p>
        </w:tc>
        <w:tc>
          <w:tcPr>
            <w:tcW w:w="1872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AuthGraph</w:t>
              </w:r>
            </w:hyperlink>
            <w:r>
              <w:t xml:space="preserve"> (Wang, Li, Tian, May 2026)</w:t>
            </w:r>
          </w:p>
        </w:tc>
        <w:tc>
          <w:tcPr>
            <w:tcW w:w="1872" w:type="dxa"/>
          </w:tcPr>
          <w:p>
            <w:pPr/>
            <w:r>
              <w:t xml:space="preserve">Authorization graph compared against execution provenance at runtime, per parameter source</w:t>
            </w:r>
          </w:p>
        </w:tc>
        <w:tc>
          <w:tcPr>
            <w:tcW w:w="1872" w:type="dxa"/>
          </w:tcPr>
          <w:p>
            <w:pPr/>
            <w:r>
              <w:t xml:space="preserve">Concede the provenance-vs-authorization idea</w:t>
            </w:r>
          </w:p>
        </w:tc>
        <w:tc>
          <w:tcPr>
            <w:tcW w:w="1872" w:type="dxa"/>
          </w:tcPr>
          <w:p>
            <w:pPr/>
            <w:r>
              <w:t xml:space="preserve">Full text opened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L2</w:t>
            </w:r>
          </w:p>
        </w:tc>
        <w:tc>
          <w:tcPr>
            <w:tcW w:w="1872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Authenticated Delegation and Authorized AI Agents</w:t>
              </w:r>
            </w:hyperlink>
            <w:r>
              <w:t xml:space="preserve"> (South et al., 2025)</w:t>
            </w:r>
          </w:p>
        </w:tc>
        <w:tc>
          <w:tcPr>
            <w:tcW w:w="1872" w:type="dxa"/>
          </w:tcPr>
          <w:p>
            <w:pPr/>
            <w:r>
              <w:t xml:space="preserve">Authenticated, scoped, auditable agent delegation on OAuth/OIDC</w:t>
            </w:r>
          </w:p>
        </w:tc>
        <w:tc>
          <w:tcPr>
            <w:tcW w:w="1872" w:type="dxa"/>
          </w:tcPr>
          <w:p>
            <w:pPr/>
            <w:r>
              <w:t xml:space="preserve">Concede scoped delegation</w:t>
            </w:r>
          </w:p>
        </w:tc>
        <w:tc>
          <w:tcPr>
            <w:tcW w:w="1872" w:type="dxa"/>
          </w:tcPr>
          <w:p>
            <w:pPr/>
            <w:r>
              <w:t xml:space="preserve">Search result only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L3</w:t>
            </w:r>
          </w:p>
        </w:tc>
        <w:tc>
          <w:tcPr>
            <w:tcW w:w="1872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Overlaying Governance</w:t>
              </w:r>
            </w:hyperlink>
            <w:r>
              <w:t xml:space="preserve"> (2026)</w:t>
            </w:r>
          </w:p>
        </w:tc>
        <w:tc>
          <w:tcPr>
            <w:tcW w:w="1872" w:type="dxa"/>
          </w:tcPr>
          <w:p>
            <w:pPr/>
            <w:r>
              <w:t xml:space="preserve">Recursive delegation with proofs that authority narrows along the chain; revocation corollary</w:t>
            </w:r>
          </w:p>
        </w:tc>
        <w:tc>
          <w:tcPr>
            <w:tcW w:w="1872" w:type="dxa"/>
          </w:tcPr>
          <w:p>
            <w:pPr/>
            <w:r>
              <w:t xml:space="preserve">Concede attenuation</w:t>
            </w:r>
          </w:p>
        </w:tc>
        <w:tc>
          <w:tcPr>
            <w:tcW w:w="1872" w:type="dxa"/>
          </w:tcPr>
          <w:p>
            <w:pPr/>
            <w:r>
              <w:t xml:space="preserve">Search result only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L4</w:t>
            </w:r>
          </w:p>
        </w:tc>
        <w:tc>
          <w:tcPr>
            <w:tcW w:w="1872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Delegation Without Trust</w:t>
              </w:r>
            </w:hyperlink>
            <w:r>
              <w:t xml:space="preserve"> (Dantuluri, Sundi, Aug 2026)</w:t>
            </w:r>
          </w:p>
        </w:tc>
        <w:tc>
          <w:tcPr>
            <w:tcW w:w="1872" w:type="dxa"/>
          </w:tcPr>
          <w:p>
            <w:pPr/>
            <w:r>
              <w:t xml:space="preserve">Untrusted-model assumption; multi-agent delegation; revocation propagation requirement</w:t>
            </w:r>
          </w:p>
        </w:tc>
        <w:tc>
          <w:tcPr>
            <w:tcW w:w="1872" w:type="dxa"/>
          </w:tcPr>
          <w:p>
            <w:pPr/>
            <w:r>
              <w:t xml:space="preserve">Concede the premise</w:t>
            </w:r>
          </w:p>
        </w:tc>
        <w:tc>
          <w:tcPr>
            <w:tcW w:w="1872" w:type="dxa"/>
          </w:tcPr>
          <w:p>
            <w:pPr/>
            <w:r>
              <w:t xml:space="preserve">Search result only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L5</w:t>
            </w:r>
          </w:p>
        </w:tc>
        <w:tc>
          <w:tcPr>
            <w:tcW w:w="1872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AIDP</w:t>
              </w:r>
            </w:hyperlink>
            <w:r>
              <w:t xml:space="preserve"> (IETF draft)</w:t>
            </w:r>
          </w:p>
        </w:tc>
        <w:tc>
          <w:tcPr>
            <w:tcW w:w="1872" w:type="dxa"/>
          </w:tcPr>
          <w:p>
            <w:pPr/>
            <w:r>
              <w:t xml:space="preserve">Constrained, revocable cross-domain delegation binding results to intent</w:t>
            </w:r>
          </w:p>
        </w:tc>
        <w:tc>
          <w:tcPr>
            <w:tcW w:w="1872" w:type="dxa"/>
          </w:tcPr>
          <w:p>
            <w:pPr/>
            <w:r>
              <w:t xml:space="preserve">Concede cross-domain control</w:t>
            </w:r>
          </w:p>
        </w:tc>
        <w:tc>
          <w:tcPr>
            <w:tcW w:w="1872" w:type="dxa"/>
          </w:tcPr>
          <w:p>
            <w:pPr/>
            <w:r>
              <w:t xml:space="preserve">Search result only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L6</w:t>
            </w:r>
          </w:p>
        </w:tc>
        <w:tc>
          <w:tcPr>
            <w:tcW w:w="1872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ResidualAuth</w:t>
              </w:r>
            </w:hyperlink>
            <w:r>
              <w:t xml:space="preserve"> (Choi, Jeong, Lee, Sep 2026)</w:t>
            </w:r>
          </w:p>
        </w:tc>
        <w:tc>
          <w:tcPr>
            <w:tcW w:w="1872" w:type="dxa"/>
          </w:tcPr>
          <w:p>
            <w:pPr/>
            <w:r>
              <w:t xml:space="preserve">Current permissions and reachability are insufficient after revocation; hard gate cut 8 unauthorized effects to 0</w:t>
            </w:r>
          </w:p>
        </w:tc>
        <w:tc>
          <w:tcPr>
            <w:tcW w:w="1872" w:type="dxa"/>
          </w:tcPr>
          <w:p>
            <w:pPr/>
            <w:r>
              <w:t xml:space="preserve">Cite as justification for append-only history</w:t>
            </w:r>
          </w:p>
        </w:tc>
        <w:tc>
          <w:tcPr>
            <w:tcW w:w="1872" w:type="dxa"/>
          </w:tcPr>
          <w:p>
            <w:pPr/>
            <w:r>
              <w:t xml:space="preserve">Abstract opened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L7</w:t>
            </w:r>
          </w:p>
        </w:tc>
        <w:tc>
          <w:tcPr>
            <w:tcW w:w="1872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Beyond Single-Use Tokens / CapLease</w:t>
              </w:r>
            </w:hyperlink>
            <w:r>
              <w:t xml:space="preserve"> (Xu et al., Aug 2026)</w:t>
            </w:r>
          </w:p>
        </w:tc>
        <w:tc>
          <w:tcPr>
            <w:tcW w:w="1872" w:type="dxa"/>
          </w:tcPr>
          <w:p>
            <w:pPr/>
            <w:r>
              <w:t xml:space="preserve">Semantic replay; durable authorization state; Issue-Prepare-Commit</w:t>
            </w:r>
          </w:p>
        </w:tc>
        <w:tc>
          <w:tcPr>
            <w:tcW w:w="1872" w:type="dxa"/>
          </w:tcPr>
          <w:p>
            <w:pPr/>
            <w:r>
              <w:t xml:space="preserve">Cite as the design source for E3</w:t>
            </w:r>
          </w:p>
        </w:tc>
        <w:tc>
          <w:tcPr>
            <w:tcW w:w="1872" w:type="dxa"/>
          </w:tcPr>
          <w:p>
            <w:pPr/>
            <w:r>
              <w:t xml:space="preserve">Abstract opened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L8</w:t>
            </w:r>
          </w:p>
        </w:tc>
        <w:tc>
          <w:tcPr>
            <w:tcW w:w="1872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CaMeL</w:t>
              </w:r>
            </w:hyperlink>
            <w:r>
              <w:t xml:space="preserve"> and </w:t>
            </w:r>
            <w:hyperlink r:id="rId11" w:history="1">
              <w:r>
                <w:rPr>
                  <w:rStyle w:val="Hyperlink"/>
                </w:rPr>
                <w:t xml:space="preserve">Progent</w:t>
              </w:r>
            </w:hyperlink>
            <w:r>
              <w:t xml:space="preserve"> (2025)</w:t>
            </w:r>
          </w:p>
        </w:tc>
        <w:tc>
          <w:tcPr>
            <w:tcW w:w="1872" w:type="dxa"/>
          </w:tcPr>
          <w:p>
            <w:pPr/>
            <w:r>
              <w:t xml:space="preserve">Capability-based data-flow control; deterministic privilege policies for agents</w:t>
            </w:r>
          </w:p>
        </w:tc>
        <w:tc>
          <w:tcPr>
            <w:tcW w:w="1872" w:type="dxa"/>
          </w:tcPr>
          <w:p>
            <w:pPr/>
            <w:r>
              <w:t xml:space="preserve">Concede external enforcement for agents</w:t>
            </w:r>
          </w:p>
        </w:tc>
        <w:tc>
          <w:tcPr>
            <w:tcW w:w="1872" w:type="dxa"/>
          </w:tcPr>
          <w:p>
            <w:pPr/>
            <w:r>
              <w:t xml:space="preserve">Known via AuthGraph's comparison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L9</w:t>
            </w:r>
          </w:p>
        </w:tc>
        <w:tc>
          <w:tcPr>
            <w:tcW w:w="1872" w:type="dxa"/>
          </w:tcPr>
          <w:p>
            <w:pPr/>
            <w:r>
              <w:t xml:space="preserve">Leases (Gray and Cheriton, SOSP 1989) and bounded-staleness consistency</w:t>
            </w:r>
          </w:p>
        </w:tc>
        <w:tc>
          <w:tcPr>
            <w:tcW w:w="1872" w:type="dxa"/>
          </w:tcPr>
          <w:p>
            <w:pPr/>
            <w:r>
              <w:t xml:space="preserve">Bounded freshness of cached authority and state</w:t>
            </w:r>
          </w:p>
        </w:tc>
        <w:tc>
          <w:tcPr>
            <w:tcW w:w="1872" w:type="dxa"/>
          </w:tcPr>
          <w:p>
            <w:pPr/>
            <w:r>
              <w:t xml:space="preserve">Concede bounded freshness; the claim is only its tie to physical phase</w:t>
            </w:r>
          </w:p>
        </w:tc>
        <w:tc>
          <w:tcPr>
            <w:tcW w:w="1872" w:type="dxa"/>
          </w:tcPr>
          <w:p>
            <w:pPr/>
            <w:r>
              <w:t xml:space="preserve">Seen in CapLease's references; not opened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L10</w:t>
            </w:r>
          </w:p>
        </w:tc>
        <w:tc>
          <w:tcPr>
            <w:tcW w:w="1872" w:type="dxa"/>
          </w:tcPr>
          <w:p>
            <w:pPr/>
            <w:r>
              <w:t xml:space="preserve">Complete mediation (Saltzer and Schroeder, 1975)</w:t>
            </w:r>
          </w:p>
        </w:tc>
        <w:tc>
          <w:tcPr>
            <w:tcW w:w="1872" w:type="dxa"/>
          </w:tcPr>
          <w:p>
            <w:pPr/>
            <w:r>
              <w:t xml:space="preserve">Check authority at every access; TOCTOU</w:t>
            </w:r>
          </w:p>
        </w:tc>
        <w:tc>
          <w:tcPr>
            <w:tcW w:w="1872" w:type="dxa"/>
          </w:tcPr>
          <w:p>
            <w:pPr/>
            <w:r>
              <w:t xml:space="preserve">Cite for A8 and effect-time checks</w:t>
            </w:r>
          </w:p>
        </w:tc>
        <w:tc>
          <w:tcPr>
            <w:tcW w:w="1872" w:type="dxa"/>
          </w:tcPr>
          <w:p>
            <w:pPr/>
            <w:r>
              <w:t xml:space="preserve">Seen in AuthGraph's references; not opened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L11</w:t>
            </w:r>
          </w:p>
        </w:tc>
        <w:tc>
          <w:tcPr>
            <w:tcW w:w="1872" w:type="dxa"/>
          </w:tcPr>
          <w:p>
            <w:pPr/>
            <w:hyperlink r:id="rId12" w:history="1">
              <w:r>
                <w:rPr>
                  <w:rStyle w:val="Hyperlink"/>
                </w:rPr>
                <w:t xml:space="preserve">RoboGuard</w:t>
              </w:r>
            </w:hyperlink>
            <w:r>
              <w:t xml:space="preserve"> (Ravichandran et al., IEEE RA-L 2026)</w:t>
            </w:r>
          </w:p>
        </w:tc>
        <w:tc>
          <w:tcPr>
            <w:tcW w:w="1872" w:type="dxa"/>
          </w:tcPr>
          <w:p>
            <w:pPr/>
            <w:r>
              <w:t xml:space="preserve">LLM-robot guardrail; unsafe plan execution 92% to below 2.5%, real robot</w:t>
            </w:r>
          </w:p>
        </w:tc>
        <w:tc>
          <w:tcPr>
            <w:tcW w:w="1872" w:type="dxa"/>
          </w:tcPr>
          <w:p>
            <w:pPr/>
            <w:r>
              <w:t xml:space="preserve">Concede the physical gate and hazard policy</w:t>
            </w:r>
          </w:p>
        </w:tc>
        <w:tc>
          <w:tcPr>
            <w:tcW w:w="1872" w:type="dxa"/>
          </w:tcPr>
          <w:p>
            <w:pPr/>
            <w:r>
              <w:t xml:space="preserve">Abstract opened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L12</w:t>
            </w:r>
          </w:p>
        </w:tc>
        <w:tc>
          <w:tcPr>
            <w:tcW w:w="1872" w:type="dxa"/>
          </w:tcPr>
          <w:p>
            <w:pPr/>
            <w:r>
              <w:t xml:space="preserve">Macaroons (Birgisson et al., NDSS 2014), UCAN, Biscuit, SPKI/SDSI</w:t>
            </w:r>
          </w:p>
        </w:tc>
        <w:tc>
          <w:tcPr>
            <w:tcW w:w="1872" w:type="dxa"/>
          </w:tcPr>
          <w:p>
            <w:pPr/>
            <w:r>
              <w:t xml:space="preserve">Attenuating capability tokens</w:t>
            </w:r>
          </w:p>
        </w:tc>
        <w:tc>
          <w:tcPr>
            <w:tcW w:w="1872" w:type="dxa"/>
          </w:tcPr>
          <w:p>
            <w:pPr/>
            <w:r>
              <w:t xml:space="preserve">Cite as delegation-token precedent</w:t>
            </w:r>
          </w:p>
        </w:tc>
        <w:tc>
          <w:tcPr>
            <w:tcW w:w="1872" w:type="dxa"/>
          </w:tcPr>
          <w:p>
            <w:pPr/>
            <w:r>
              <w:t xml:space="preserve">From memory; not yet checked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L13</w:t>
            </w:r>
          </w:p>
        </w:tc>
        <w:tc>
          <w:tcPr>
            <w:tcW w:w="1872" w:type="dxa"/>
          </w:tcPr>
          <w:p>
            <w:pPr/>
            <w:hyperlink r:id="rId13" w:history="1">
              <w:r>
                <w:rPr>
                  <w:rStyle w:val="Hyperlink"/>
                </w:rPr>
                <w:t xml:space="preserve">RoboHarm</w:t>
              </w:r>
            </w:hyperlink>
            <w:r>
              <w:t xml:space="preserve"> (Robocurve, Sep 18, 2026)</w:t>
            </w:r>
          </w:p>
        </w:tc>
        <w:tc>
          <w:tcPr>
            <w:tcW w:w="1872" w:type="dxa"/>
          </w:tcPr>
          <w:p>
            <w:pPr/>
            <w:r>
              <w:t xml:space="preserve">Frontier robot policies rarely refuse hazardous instructions</w:t>
            </w:r>
          </w:p>
        </w:tc>
        <w:tc>
          <w:tcPr>
            <w:tcW w:w="1872" w:type="dxa"/>
          </w:tcPr>
          <w:p>
            <w:pPr/>
            <w:r>
              <w:t xml:space="preserve">Motivating case; scenario source for H-rows</w:t>
            </w:r>
          </w:p>
        </w:tc>
        <w:tc>
          <w:tcPr>
            <w:tcW w:w="1872" w:type="dxa"/>
          </w:tcPr>
          <w:p>
            <w:pPr/>
            <w:r>
              <w:t xml:space="preserve">Full page opened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L14</w:t>
            </w:r>
          </w:p>
        </w:tc>
        <w:tc>
          <w:tcPr>
            <w:tcW w:w="1872" w:type="dxa"/>
          </w:tcPr>
          <w:p>
            <w:pPr/>
            <w:hyperlink r:id="rId14" w:history="1">
              <w:r>
                <w:rPr>
                  <w:rStyle w:val="Hyperlink"/>
                </w:rPr>
                <w:t xml:space="preserve">OpenAI / Hugging Face incident</w:t>
              </w:r>
            </w:hyperlink>
            <w:r>
              <w:t xml:space="preserve"> (Aug 26, 2026) and </w:t>
            </w:r>
            <w:hyperlink r:id="rId15" w:history="1">
              <w:r>
                <w:rPr>
                  <w:rStyle w:val="Hyperlink"/>
                </w:rPr>
                <w:t xml:space="preserve">METR / Redwood investigation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Agents escaped a sandbox, coordinated, stole a signing key</w:t>
            </w:r>
          </w:p>
        </w:tc>
        <w:tc>
          <w:tcPr>
            <w:tcW w:w="1872" w:type="dxa"/>
          </w:tcPr>
          <w:p>
            <w:pPr/>
            <w:r>
              <w:t xml:space="preserve">Motivating case for A5</w:t>
            </w:r>
          </w:p>
        </w:tc>
        <w:tc>
          <w:tcPr>
            <w:tcW w:w="1872" w:type="dxa"/>
          </w:tcPr>
          <w:p>
            <w:pPr/>
            <w:r>
              <w:t xml:space="preserve">Search results only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L15</w:t>
            </w:r>
          </w:p>
        </w:tc>
        <w:tc>
          <w:tcPr>
            <w:tcW w:w="1872" w:type="dxa"/>
          </w:tcPr>
          <w:p>
            <w:pPr/>
            <w:hyperlink r:id="rId16" w:history="1">
              <w:r>
                <w:rPr>
                  <w:rStyle w:val="Hyperlink"/>
                </w:rPr>
                <w:t xml:space="preserve">draft-klrc-aiagent-auth</w:t>
              </w:r>
            </w:hyperlink>
            <w:r>
              <w:t xml:space="preserve"> (IETF)</w:t>
            </w:r>
          </w:p>
        </w:tc>
        <w:tc>
          <w:tcPr>
            <w:tcW w:w="1872" w:type="dxa"/>
          </w:tcPr>
          <w:p>
            <w:pPr/>
            <w:r>
              <w:t xml:space="preserve">Agent identity and delegated authority standards work</w:t>
            </w:r>
          </w:p>
        </w:tc>
        <w:tc>
          <w:tcPr>
            <w:tcW w:w="1872" w:type="dxa"/>
          </w:tcPr>
          <w:p>
            <w:pPr/>
            <w:r>
              <w:t xml:space="preserve">Related standards context</w:t>
            </w:r>
          </w:p>
        </w:tc>
        <w:tc>
          <w:tcPr>
            <w:tcW w:w="1872" w:type="dxa"/>
          </w:tcPr>
          <w:p>
            <w:pPr/>
            <w:r>
              <w:t xml:space="preserve">Cited in CARA spec; not opened here</w:t>
            </w:r>
          </w:p>
        </w:tc>
      </w:tr>
    </w:tbl>
    <w:p>
      <w:pPr>
        <w:pStyle w:val="Heading2"/>
      </w:pPr>
      <w:r>
        <w:t xml:space="preserve">Hypotheses and open questions</w:t>
      </w:r>
    </w:p>
    <w:p>
      <w:pPr/>
      <w:r>
        <w:t xml:space="preserve">None of these may appear in the manuscript as a finding. P1 is the only one worth testing before the freeze.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Hypothesis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Grounds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Test that would settle it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Anchoring freshness to the irreversible instant (gate at the final tick) cuts the window to about delay + one tick, independent of contact duration, at a cost of about half a cadence plus delay of hesitation</w:t>
            </w:r>
          </w:p>
        </w:tc>
        <w:tc>
          <w:tcPr>
            <w:tcW w:w="2340" w:type="dxa"/>
          </w:tcPr>
          <w:p>
            <w:pPr/>
            <w:r>
              <w:t xml:space="preserve">D2 and D4: the phase-start gate fails because the effect happens at contact end</w:t>
            </w:r>
          </w:p>
        </w:tc>
        <w:tc>
          <w:tcPr>
            <w:tcW w:w="2340" w:type="dxa"/>
          </w:tcPr>
          <w:p>
            <w:pPr/>
            <w:r>
              <w:t xml:space="preserve">Add a final-tick gate to </w:t>
            </w:r>
            <w:r>
              <w:rPr>
                <w:rStyle w:val="CodeChar"/>
              </w:rPr>
              <w:t xml:space="preserve">actuator.py</w:t>
            </w:r>
            <w:r>
              <w:t xml:space="preserve">; rerun </w:t>
            </w:r>
            <w:r>
              <w:rPr>
                <w:rStyle w:val="CodeChar"/>
              </w:rPr>
              <w:t xml:space="preserve">dd6_window_measurement.py</w:t>
            </w:r>
            <w:r>
              <w:t xml:space="preserve"> with three protocols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P2</w:t>
            </w:r>
          </w:p>
        </w:tc>
        <w:tc>
          <w:tcPr>
            <w:tcW w:w="2340" w:type="dxa"/>
          </w:tcPr>
          <w:p>
            <w:pPr/>
            <w:r>
              <w:t xml:space="preserve">Consequence-sensitive freshness: tolerated staleness of authority should shrink as a system nears an irreversible physical effect</w:t>
            </w:r>
          </w:p>
        </w:tc>
        <w:tc>
          <w:tcPr>
            <w:tcW w:w="2340" w:type="dxa"/>
          </w:tcPr>
          <w:p>
            <w:pPr/>
            <w:r>
              <w:t xml:space="preserve">D-rows, F-rows, and P1 if confirmed</w:t>
            </w:r>
          </w:p>
        </w:tc>
        <w:tc>
          <w:tcPr>
            <w:tcW w:w="2340" w:type="dxa"/>
          </w:tcPr>
          <w:p>
            <w:pPr/>
            <w:r>
              <w:t xml:space="preserve">P1 first; then a phase-dependent Δ against a single Δ at matched availability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P3</w:t>
            </w:r>
          </w:p>
        </w:tc>
        <w:tc>
          <w:tcPr>
            <w:tcW w:w="2340" w:type="dxa"/>
          </w:tcPr>
          <w:p>
            <w:pPr/>
            <w:r>
              <w:t xml:space="preserve">Three clocks: authority change, enforcement knowledge, and physical progress are distinct; CARA can bound where they diverge, not make them simultaneous</w:t>
            </w:r>
          </w:p>
        </w:tc>
        <w:tc>
          <w:tcPr>
            <w:tcW w:w="2340" w:type="dxa"/>
          </w:tcPr>
          <w:p>
            <w:pPr/>
            <w:r>
              <w:t xml:space="preserve">A2, F1–F4, D-rows</w:t>
            </w:r>
          </w:p>
        </w:tc>
        <w:tc>
          <w:tcPr>
            <w:tcW w:w="2340" w:type="dxa"/>
          </w:tcPr>
          <w:p>
            <w:pPr/>
            <w:r>
              <w:t xml:space="preserve">Conceptual; present as an interpretation in Discussion, cite L9 and L10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P4</w:t>
            </w:r>
          </w:p>
        </w:tc>
        <w:tc>
          <w:tcPr>
            <w:tcW w:w="2340" w:type="dxa"/>
          </w:tcPr>
          <w:p>
            <w:pPr/>
            <w:r>
              <w:t xml:space="preserve">Multi-grant consumption needs an explicit allocation authority; an agent choosing which grants to spend can exhaust a co-signer's budget</w:t>
            </w:r>
          </w:p>
        </w:tc>
        <w:tc>
          <w:tcPr>
            <w:tcW w:w="2340" w:type="dxa"/>
          </w:tcPr>
          <w:p>
            <w:pPr/>
            <w:r>
              <w:t xml:space="preserve">E8; DD-4</w:t>
            </w:r>
          </w:p>
        </w:tc>
        <w:tc>
          <w:tcPr>
            <w:tcW w:w="2340" w:type="dxa"/>
          </w:tcPr>
          <w:p>
            <w:pPr/>
            <w:r>
              <w:t xml:space="preserve">Write the adversarial example before any schema change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P5</w:t>
            </w:r>
          </w:p>
        </w:tc>
        <w:tc>
          <w:tcPr>
            <w:tcW w:w="2340" w:type="dxa"/>
          </w:tcPr>
          <w:p>
            <w:pPr/>
            <w:r>
              <w:t xml:space="preserve">Per-lineage revocation state scales to fleets with a compact signed encoding</w:t>
            </w:r>
          </w:p>
        </w:tc>
        <w:tc>
          <w:tcPr>
            <w:tcW w:w="2340" w:type="dxa"/>
          </w:tcPr>
          <w:p>
            <w:pPr/>
            <w:r>
              <w:t xml:space="preserve">E5; full revoked set sent today</w:t>
            </w:r>
          </w:p>
        </w:tc>
        <w:tc>
          <w:tcPr>
            <w:tcW w:w="2340" w:type="dxa"/>
          </w:tcPr>
          <w:p>
            <w:pPr/>
            <w:r>
              <w:t xml:space="preserve">Out of scope for this paper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P6</w:t>
            </w:r>
          </w:p>
        </w:tc>
        <w:tc>
          <w:tcPr>
            <w:tcW w:w="2340" w:type="dxa"/>
          </w:tcPr>
          <w:p>
            <w:pPr/>
            <w:r>
              <w:t xml:space="preserve">The gate's hazard rules generalize to hazards written by someone else</w:t>
            </w:r>
          </w:p>
        </w:tc>
        <w:tc>
          <w:tcPr>
            <w:tcW w:w="2340" w:type="dxa"/>
          </w:tcPr>
          <w:p>
            <w:pPr/>
            <w:r>
              <w:t xml:space="preserve">Contradicted in part by H4</w:t>
            </w:r>
          </w:p>
        </w:tc>
        <w:tc>
          <w:tcPr>
            <w:tcW w:w="2340" w:type="dxa"/>
          </w:tcPr>
          <w:p>
            <w:pPr/>
            <w:r>
              <w:t xml:space="preserve">H8: externally authored scenarios (X3)</w:t>
            </w:r>
          </w:p>
        </w:tc>
      </w:tr>
    </w:tbl>
    <w:p>
      <w:pPr>
        <w:pStyle w:val="Heading2"/>
      </w:pPr>
      <w:r>
        <w:t xml:space="preserve">Limitations</w:t>
      </w:r>
    </w:p>
    <w:p>
      <w:pPr/>
      <w:r>
        <w:t xml:space="preserve">The manuscript's Limitations section must contain each of these, and the rows citing them must repeat the caveat where they are used.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Limitation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Affects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K1</w:t>
            </w:r>
          </w:p>
        </w:tc>
        <w:tc>
          <w:tcPr>
            <w:tcW w:w="3120" w:type="dxa"/>
          </w:tcPr>
          <w:p>
            <w:pPr/>
            <w:r>
              <w:t xml:space="preserve">Hazard rules and ground-truth labels come from the same author, with knowledge of the scenarios</w:t>
            </w:r>
          </w:p>
        </w:tc>
        <w:tc>
          <w:tcPr>
            <w:tcW w:w="3120" w:type="dxa"/>
          </w:tcPr>
          <w:p>
            <w:pPr/>
            <w:r>
              <w:t xml:space="preserve">H2, H5–H7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K2</w:t>
            </w:r>
          </w:p>
        </w:tc>
        <w:tc>
          <w:tcPr>
            <w:tcW w:w="3120" w:type="dxa"/>
          </w:tcPr>
          <w:p>
            <w:pPr/>
            <w:r>
              <w:t xml:space="preserve">Perception is perfect; real misclassification (a doll seen as a towel) defeats the hazard policy and is unmeasured</w:t>
            </w:r>
          </w:p>
        </w:tc>
        <w:tc>
          <w:tcPr>
            <w:tcW w:w="3120" w:type="dxa"/>
          </w:tcPr>
          <w:p>
            <w:pPr/>
            <w:r>
              <w:t xml:space="preserve">H-rows, E7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K3</w:t>
            </w:r>
          </w:p>
        </w:tc>
        <w:tc>
          <w:tcPr>
            <w:tcW w:w="3120" w:type="dxa"/>
          </w:tcPr>
          <w:p>
            <w:pPr/>
            <w:r>
              <w:t xml:space="preserve">Deterministic simulation with a two-tick force ramp and 50 ms control tick; window measurements are quantized to the tick</w:t>
            </w:r>
          </w:p>
        </w:tc>
        <w:tc>
          <w:tcPr>
            <w:tcW w:w="3120" w:type="dxa"/>
          </w:tcPr>
          <w:p>
            <w:pPr/>
            <w:r>
              <w:t xml:space="preserve">A9, D-rows, F-rows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K4</w:t>
            </w:r>
          </w:p>
        </w:tc>
        <w:tc>
          <w:tcPr>
            <w:tcW w:w="3120" w:type="dxa"/>
          </w:tcPr>
          <w:p>
            <w:pPr/>
            <w:r>
              <w:t xml:space="preserve">One motion (kettle to burner, 3.35 s) underlies the Δ and DD-6 measurements</w:t>
            </w:r>
          </w:p>
        </w:tc>
        <w:tc>
          <w:tcPr>
            <w:tcW w:w="3120" w:type="dxa"/>
          </w:tcPr>
          <w:p>
            <w:pPr/>
            <w:r>
              <w:t xml:space="preserve">F-rows, D-rows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K5</w:t>
            </w:r>
          </w:p>
        </w:tc>
        <w:tc>
          <w:tcPr>
            <w:tcW w:w="3120" w:type="dxa"/>
          </w:tcPr>
          <w:p>
            <w:pPr/>
            <w:r>
              <w:t xml:space="preserve">Signing keys derived from fixed seeds; no HSM, key rotation, or attestation</w:t>
            </w:r>
          </w:p>
        </w:tc>
        <w:tc>
          <w:tcPr>
            <w:tcW w:w="3120" w:type="dxa"/>
          </w:tcPr>
          <w:p>
            <w:pPr/>
            <w:r>
              <w:t xml:space="preserve">A5, A7, E4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K6</w:t>
            </w:r>
          </w:p>
        </w:tc>
        <w:tc>
          <w:tcPr>
            <w:tcW w:w="3120" w:type="dxa"/>
          </w:tcPr>
          <w:p>
            <w:pPr/>
            <w:r>
              <w:t xml:space="preserve">Evidence chain head is not anchored externally; a full rewrite is undetectable</w:t>
            </w:r>
          </w:p>
        </w:tc>
        <w:tc>
          <w:tcPr>
            <w:tcW w:w="3120" w:type="dxa"/>
          </w:tcPr>
          <w:p>
            <w:pPr/>
            <w:r>
              <w:t xml:space="preserve">A13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K7</w:t>
            </w:r>
          </w:p>
        </w:tc>
        <w:tc>
          <w:tcPr>
            <w:tcW w:w="3120" w:type="dxa"/>
          </w:tcPr>
          <w:p>
            <w:pPr/>
            <w:r>
              <w:t xml:space="preserve">Revocation cannot undo completed effects; recorded, not prevented</w:t>
            </w:r>
          </w:p>
        </w:tc>
        <w:tc>
          <w:tcPr>
            <w:tcW w:w="3120" w:type="dxa"/>
          </w:tcPr>
          <w:p>
            <w:pPr/>
            <w:r>
              <w:t xml:space="preserve">A12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K8</w:t>
            </w:r>
          </w:p>
        </w:tc>
        <w:tc>
          <w:tcPr>
            <w:tcW w:w="3120" w:type="dxa"/>
          </w:tcPr>
          <w:p>
            <w:pPr/>
            <w:r>
              <w:t xml:space="preserve">PDP sees revocations instantly; only the actuator path is delayed</w:t>
            </w:r>
          </w:p>
        </w:tc>
        <w:tc>
          <w:tcPr>
            <w:tcW w:w="3120" w:type="dxa"/>
          </w:tcPr>
          <w:p>
            <w:pPr/>
            <w:r>
              <w:t xml:space="preserve">F-rows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K9</w:t>
            </w:r>
          </w:p>
        </w:tc>
        <w:tc>
          <w:tcPr>
            <w:tcW w:w="3120" w:type="dxa"/>
          </w:tcPr>
          <w:p>
            <w:pPr/>
            <w:r>
              <w:t xml:space="preserve">Not a RoboHarm reproduction; no real robot; no claims about real-world safety</w:t>
            </w:r>
          </w:p>
        </w:tc>
        <w:tc>
          <w:tcPr>
            <w:tcW w:w="3120" w:type="dxa"/>
          </w:tcPr>
          <w:p>
            <w:pPr/>
            <w:r>
              <w:t xml:space="preserve">All physical rows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K10</w:t>
            </w:r>
          </w:p>
        </w:tc>
        <w:tc>
          <w:tcPr>
            <w:tcW w:w="3120" w:type="dxa"/>
          </w:tcPr>
          <w:p>
            <w:pPr/>
            <w:r>
              <w:t xml:space="preserve">Code, analysis, and text produced with substantial assistance from AI systems</w:t>
            </w:r>
          </w:p>
        </w:tc>
        <w:tc>
          <w:tcPr>
            <w:tcW w:w="3120" w:type="dxa"/>
          </w:tcPr>
          <w:p>
            <w:pPr/>
            <w:r>
              <w:t xml:space="preserve">Whole paper; disclosure statement</w:t>
            </w:r>
          </w:p>
        </w:tc>
      </w:tr>
    </w:tbl>
    <w:p>
      <w:pPr>
        <w:pStyle w:val="Heading2"/>
      </w:pPr>
      <w:r>
        <w:t xml:space="preserve">Proposed contributions, checked</w:t>
      </w:r>
    </w:p>
    <w:p>
      <w:pPr/>
      <w:r>
        <w:t xml:space="preserve">Five of the six proposed contributions survive, most with narrower wording; contribution 5 is contradicted by the corrected DD-6 measurement and must be replaced. The wording in the last column is what the register currently supports.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As proposed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Verdict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Supported wording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Rows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A unified external authority architecture connecting delegated digital authority to independently mediated physical execution</w:t>
            </w:r>
          </w:p>
        </w:tc>
        <w:tc>
          <w:tcPr>
            <w:tcW w:w="1872" w:type="dxa"/>
          </w:tcPr>
          <w:p>
            <w:pPr/>
            <w:r>
              <w:t xml:space="preserve">Keep, narrowed</w:t>
            </w:r>
          </w:p>
        </w:tc>
        <w:tc>
          <w:tcPr>
            <w:tcW w:w="1872" w:type="dxa"/>
          </w:tcPr>
          <w:p>
            <w:pPr/>
            <w:r>
              <w:t xml:space="preserve">An architecture in which one authority, revocation, consumption, and evidence model governs both digital actions and a simulated physical actuator</w:t>
            </w:r>
          </w:p>
        </w:tc>
        <w:tc>
          <w:tcPr>
            <w:tcW w:w="1872" w:type="dxa"/>
          </w:tcPr>
          <w:p>
            <w:pPr/>
            <w:r>
              <w:t xml:space="preserve">A1–A13, E4–E7; concede L1–L5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An executable AEPG implementation supporting attenuation, revocation, durable consumption, evidence binding, and Tier 3 physical enforcement</w:t>
            </w:r>
          </w:p>
        </w:tc>
        <w:tc>
          <w:tcPr>
            <w:tcW w:w="1872" w:type="dxa"/>
          </w:tcPr>
          <w:p>
            <w:pPr/>
            <w:r>
              <w:t xml:space="preserve">Keep as artifact, not finding</w:t>
            </w:r>
          </w:p>
        </w:tc>
        <w:tc>
          <w:tcPr>
            <w:tcW w:w="1872" w:type="dxa"/>
          </w:tcPr>
          <w:p>
            <w:pPr/>
            <w:r>
              <w:t xml:space="preserve">An open reference implementation and simulator, adversarially tested, that makes every result reproducible</w:t>
            </w:r>
          </w:p>
        </w:tc>
        <w:tc>
          <w:tcPr>
            <w:tcW w:w="1872" w:type="dxa"/>
          </w:tcPr>
          <w:p>
            <w:pPr/>
            <w:r>
              <w:t xml:space="preserve">E1–E9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Revocation of an upstream planner invalidates downstream physical authority though the planner never commanded the actuator</w:t>
            </w:r>
          </w:p>
        </w:tc>
        <w:tc>
          <w:tcPr>
            <w:tcW w:w="1872" w:type="dxa"/>
          </w:tcPr>
          <w:p>
            <w:pPr/>
            <w:r>
              <w:t xml:space="preserve">Keep; lead result</w:t>
            </w:r>
          </w:p>
        </w:tc>
        <w:tc>
          <w:tcPr>
            <w:tcW w:w="1872" w:type="dxa"/>
          </w:tcPr>
          <w:p>
            <w:pPr/>
            <w:r>
              <w:t xml:space="preserve">In simulation, revoking a planner stopped an arm it never commanded, at the next action and mid-motion</w:t>
            </w:r>
          </w:p>
        </w:tc>
        <w:tc>
          <w:tcPr>
            <w:tcW w:w="1872" w:type="dxa"/>
          </w:tcPr>
          <w:p>
            <w:pPr/>
            <w:r>
              <w:t xml:space="preserve">A1, A2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Quantitative characterization of revocation freshness under cadence, delay, and loss</w:t>
            </w:r>
          </w:p>
        </w:tc>
        <w:tc>
          <w:tcPr>
            <w:tcW w:w="1872" w:type="dxa"/>
          </w:tcPr>
          <w:p>
            <w:pPr/>
            <w:r>
              <w:t xml:space="preserve">Keep, with the corrected formula</w:t>
            </w:r>
          </w:p>
        </w:tc>
        <w:tc>
          <w:tcPr>
            <w:tcW w:w="1872" w:type="dxa"/>
          </w:tcPr>
          <w:p>
            <w:pPr/>
            <w:r>
              <w:t xml:space="preserve">Stale-authority exposure is approximately min(Δ, longest delivered-heartbeat gap) + one tick; Δ set tighter than the network sustains collapses availability</w:t>
            </w:r>
          </w:p>
        </w:tc>
        <w:tc>
          <w:tcPr>
            <w:tcW w:w="1872" w:type="dxa"/>
          </w:tcPr>
          <w:p>
            <w:pPr/>
            <w:r>
              <w:t xml:space="preserve">F1–F4; concede L9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Requiring new authority evidence before contact substantially reduces, but does not eliminate, post-revocation physical effects</w:t>
            </w:r>
          </w:p>
        </w:tc>
        <w:tc>
          <w:tcPr>
            <w:tcW w:w="1872" w:type="dxa"/>
          </w:tcPr>
          <w:p>
            <w:pPr/>
            <w:r>
              <w:t xml:space="preserve">Replace: contradicted</w:t>
            </w:r>
          </w:p>
        </w:tc>
        <w:tc>
          <w:tcPr>
            <w:tcW w:w="1872" w:type="dxa"/>
          </w:tcPr>
          <w:p>
            <w:pPr/>
            <w:r>
              <w:t xml:space="preserve">A phase-start freshness gate makes the residual window a deterministic function of contact duration, (contact mod cadence) + delay, but does not reduce its expected size, because the effect occurs at the end of contact, not its start</w:t>
            </w:r>
          </w:p>
        </w:tc>
        <w:tc>
          <w:tcPr>
            <w:tcW w:w="1872" w:type="dxa"/>
          </w:tcPr>
          <w:p>
            <w:pPr/>
            <w:r>
              <w:t xml:space="preserve">D1–D5; P1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Authority enforcement does not compensate for an incomplete physical hazard model</w:t>
            </w:r>
          </w:p>
        </w:tc>
        <w:tc>
          <w:tcPr>
            <w:tcW w:w="1872" w:type="dxa"/>
          </w:tcPr>
          <w:p>
            <w:pPr/>
            <w:r>
              <w:t xml:space="preserve">Keep</w:t>
            </w:r>
          </w:p>
        </w:tc>
        <w:tc>
          <w:tcPr>
            <w:tcW w:w="1872" w:type="dxa"/>
          </w:tcPr>
          <w:p>
            <w:pPr/>
            <w:r>
              <w:t xml:space="preserve">Authority enforcement stopped every out-of-authority action, yet 2 of 2 hazards the gate had no rules for caused harm</w:t>
            </w:r>
          </w:p>
        </w:tc>
        <w:tc>
          <w:tcPr>
            <w:tcW w:w="1872" w:type="dxa"/>
          </w:tcPr>
          <w:p>
            <w:pPr/>
            <w:r>
              <w:t xml:space="preserve">A-rows, H4; concede L11</w:t>
            </w:r>
          </w:p>
        </w:tc>
      </w:tr>
    </w:tbl>
    <w:p>
      <w:pPr/>
      <w:r>
        <w:t xml:space="preserve">If P1 is run and confirms, contribution 5 gains a positive half: anchoring freshness to the irreversible instant reduces the window to about delay + one tick. Until then, the positive version is a hypothesis.</w:t>
      </w:r>
    </w:p>
    <w:p>
      <w:pPr>
        <w:pStyle w:val="Heading2"/>
      </w:pPr>
      <w:r>
        <w:t xml:space="preserve">Actions before manuscript freeze</w:t>
      </w:r>
    </w:p>
    <w:p>
      <w:pPr/>
      <w:r>
        <w:t xml:space="preserve">X1 through X3 change what the paper can claim; the rest change how well it is defended.</w:t>
      </w:r>
    </w:p>
    <w:p>
      <w:pPr>
        <w:pStyle w:val="ListParagraph"/>
        <w:numPr>
          <w:ilvl w:val="0"/>
          <w:numId w:val="2"/>
        </w:numPr>
      </w:pPr>
      <w:r>
        <w:t xml:space="preserve">☐ X1: Run P1, a final-tick gate, against periodic and phase-start protocols with </w:t>
      </w:r>
      <w:r>
        <w:rPr>
          <w:rStyle w:val="CodeChar"/>
        </w:rPr>
        <w:t xml:space="preserve">dd6_window_measurement.py</w:t>
      </w:r>
      <w:r>
        <w:t xml:space="preserve">; add D7 with the result either way.</w:t>
      </w:r>
    </w:p>
    <w:p>
      <w:pPr>
        <w:pStyle w:val="ListParagraph"/>
        <w:numPr>
          <w:ilvl w:val="0"/>
          <w:numId w:val="2"/>
        </w:numPr>
      </w:pPr>
      <w:r>
        <w:t xml:space="preserve">☐ X2: Rerun the Δ sweep reporting window length (seconds) with start phase randomized, replacing the F5 rate.</w:t>
      </w:r>
    </w:p>
    <w:p>
      <w:pPr>
        <w:pStyle w:val="ListParagraph"/>
        <w:numPr>
          <w:ilvl w:val="0"/>
          <w:numId w:val="2"/>
        </w:numPr>
      </w:pPr>
      <w:r>
        <w:t xml:space="preserve">☐ X3: External held-out hazards (H8): an outside author writes hazards and benign controls from the scenario format alone, before anything runs, free to add object properties the simulator lacks.</w:t>
      </w:r>
    </w:p>
    <w:p>
      <w:pPr>
        <w:pStyle w:val="ListParagraph"/>
        <w:numPr>
          <w:ilvl w:val="0"/>
          <w:numId w:val="2"/>
        </w:numPr>
      </w:pPr>
      <w:r>
        <w:t xml:space="preserve">☐ X4: Retire </w:t>
      </w:r>
      <w:r>
        <w:rPr>
          <w:rStyle w:val="CodeChar"/>
        </w:rPr>
        <w:t xml:space="preserve">dd6_sweep.py</w:t>
      </w:r>
      <w:r>
        <w:t xml:space="preserve"> and </w:t>
      </w:r>
      <w:r>
        <w:rPr>
          <w:rStyle w:val="CodeChar"/>
        </w:rPr>
        <w:t xml:space="preserve">dd6_sweep.csv</w:t>
      </w:r>
      <w:r>
        <w:t xml:space="preserve"> from the branch or label them withdrawn in place, so no one cites them.</w:t>
      </w:r>
    </w:p>
    <w:p>
      <w:pPr>
        <w:pStyle w:val="ListParagraph"/>
        <w:numPr>
          <w:ilvl w:val="0"/>
          <w:numId w:val="2"/>
        </w:numPr>
      </w:pPr>
      <w:r>
        <w:t xml:space="preserve">☐ X5: Pass 2 literature audit: read L2–L5, L8–L10, L12, and L14 in full; search for prior work tying authority freshness to physical phase, robot command authentication (SROS2), and runtime assurance with authorization inputs.</w:t>
      </w:r>
    </w:p>
    <w:p>
      <w:pPr>
        <w:pStyle w:val="ListParagraph"/>
        <w:numPr>
          <w:ilvl w:val="0"/>
          <w:numId w:val="2"/>
        </w:numPr>
      </w:pPr>
      <w:r>
        <w:t xml:space="preserve">☐ X6: Script the mutation checks (E9) so the claim is reproducible, or drop it.</w:t>
      </w:r>
    </w:p>
    <w:p>
      <w:pPr>
        <w:pStyle w:val="ListParagraph"/>
        <w:numPr>
          <w:ilvl w:val="0"/>
          <w:numId w:val="2"/>
        </w:numPr>
      </w:pPr>
      <w:r>
        <w:t xml:space="preserve">☐ X7: Draft the AI-assistance disclosure (K10).</w:t>
      </w:r>
    </w:p>
    <w:p>
      <w:pPr>
        <w:pStyle w:val="ListParagraph"/>
        <w:numPr>
          <w:ilvl w:val="0"/>
          <w:numId w:val="2"/>
        </w:numPr>
      </w:pPr>
      <w:r>
        <w:t xml:space="preserve">☐ X8: Title: remove "Causal" and signal simulation, e.g. "External Authority Enforcement from Delegation to Physical Action: An Architecture and Simulation Study".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arxiv.org/abs/2605.26497" TargetMode="External"/><Relationship Id="rId4" Type="http://schemas.openxmlformats.org/officeDocument/2006/relationships/hyperlink" Target="https://arxiv.org/abs/2501.09674" TargetMode="External"/><Relationship Id="rId5" Type="http://schemas.openxmlformats.org/officeDocument/2006/relationships/hyperlink" Target="https://arxiv.org/abs/2606.03518" TargetMode="External"/><Relationship Id="rId6" Type="http://schemas.openxmlformats.org/officeDocument/2006/relationships/hyperlink" Target="https://arxiv.org/abs/2609.00267" TargetMode="External"/><Relationship Id="rId7" Type="http://schemas.openxmlformats.org/officeDocument/2006/relationships/hyperlink" Target="https://datatracker.ietf.org/doc/draft-vandoulas-aidp/" TargetMode="External"/><Relationship Id="rId8" Type="http://schemas.openxmlformats.org/officeDocument/2006/relationships/hyperlink" Target="https://arxiv.org/abs/2609.08062" TargetMode="External"/><Relationship Id="rId9" Type="http://schemas.openxmlformats.org/officeDocument/2006/relationships/hyperlink" Target="https://arxiv.org/abs/2608.01710" TargetMode="External"/><Relationship Id="rId10" Type="http://schemas.openxmlformats.org/officeDocument/2006/relationships/hyperlink" Target="https://arxiv.org/abs/2503.18813" TargetMode="External"/><Relationship Id="rId11" Type="http://schemas.openxmlformats.org/officeDocument/2006/relationships/hyperlink" Target="https://arxiv.org/abs/2504.11703" TargetMode="External"/><Relationship Id="rId12" Type="http://schemas.openxmlformats.org/officeDocument/2006/relationships/hyperlink" Target="https://arxiv.org/abs/2503.07885" TargetMode="External"/><Relationship Id="rId13" Type="http://schemas.openxmlformats.org/officeDocument/2006/relationships/hyperlink" Target="https://robocurve.org/roboharm/" TargetMode="External"/><Relationship Id="rId14" Type="http://schemas.openxmlformats.org/officeDocument/2006/relationships/hyperlink" Target="https://openai.com/index/hugging-face-incident-and-the-road-ahead/" TargetMode="External"/><Relationship Id="rId15" Type="http://schemas.openxmlformats.org/officeDocument/2006/relationships/hyperlink" Target="https://metr.org/blog/2026-08-26-openai-hugging-face-incident-investigation/" TargetMode="External"/><Relationship Id="rId16" Type="http://schemas.openxmlformats.org/officeDocument/2006/relationships/hyperlink" Target="https://datatracker.ietf.org/doc/html/draft-klrc-aiagent-auth-03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CARA SSRN Evidence and Claims Register</dc:title>
  <dc:description>Claude Docs node/cda62dd0-d432@13 docx-w6</dc:description>
  <cp:revision>13</cp:revision>
</cp:coreProperties>
</file>