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pPr>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pPr>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pP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2DCD3B39" w14:textId="2B3A0E5A" w:rsidR="00016286"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09128984" w:history="1">
            <w:r w:rsidR="00016286" w:rsidRPr="00A47FC6">
              <w:rPr>
                <w:rStyle w:val="Hyperlink"/>
                <w:noProof/>
              </w:rPr>
              <w:t>Wstęp</w:t>
            </w:r>
            <w:r w:rsidR="00016286">
              <w:rPr>
                <w:noProof/>
                <w:webHidden/>
              </w:rPr>
              <w:tab/>
            </w:r>
            <w:r w:rsidR="00016286">
              <w:rPr>
                <w:noProof/>
                <w:webHidden/>
              </w:rPr>
              <w:fldChar w:fldCharType="begin"/>
            </w:r>
            <w:r w:rsidR="00016286">
              <w:rPr>
                <w:noProof/>
                <w:webHidden/>
              </w:rPr>
              <w:instrText xml:space="preserve"> PAGEREF _Toc109128984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3565B9C6" w14:textId="297CB47F" w:rsidR="00016286" w:rsidRDefault="00000000">
          <w:pPr>
            <w:pStyle w:val="TOC1"/>
            <w:tabs>
              <w:tab w:val="left" w:pos="440"/>
              <w:tab w:val="right" w:leader="dot" w:pos="9062"/>
            </w:tabs>
            <w:rPr>
              <w:rFonts w:asciiTheme="minorHAnsi" w:eastAsiaTheme="minorEastAsia" w:hAnsiTheme="minorHAnsi"/>
              <w:noProof/>
              <w:lang w:val="en-GB" w:eastAsia="en-GB"/>
            </w:rPr>
          </w:pPr>
          <w:hyperlink w:anchor="_Toc109128985" w:history="1">
            <w:r w:rsidR="00016286" w:rsidRPr="00A47FC6">
              <w:rPr>
                <w:rStyle w:val="Hyperlink"/>
                <w:noProof/>
              </w:rPr>
              <w:t>1.</w:t>
            </w:r>
            <w:r w:rsidR="00016286">
              <w:rPr>
                <w:rFonts w:asciiTheme="minorHAnsi" w:eastAsiaTheme="minorEastAsia" w:hAnsiTheme="minorHAnsi"/>
                <w:noProof/>
                <w:lang w:val="en-GB" w:eastAsia="en-GB"/>
              </w:rPr>
              <w:tab/>
            </w:r>
            <w:r w:rsidR="00016286" w:rsidRPr="00A47FC6">
              <w:rPr>
                <w:rStyle w:val="Hyperlink"/>
                <w:noProof/>
              </w:rPr>
              <w:t>Wstęp teoretyczny</w:t>
            </w:r>
            <w:r w:rsidR="00016286">
              <w:rPr>
                <w:noProof/>
                <w:webHidden/>
              </w:rPr>
              <w:tab/>
            </w:r>
            <w:r w:rsidR="00016286">
              <w:rPr>
                <w:noProof/>
                <w:webHidden/>
              </w:rPr>
              <w:fldChar w:fldCharType="begin"/>
            </w:r>
            <w:r w:rsidR="00016286">
              <w:rPr>
                <w:noProof/>
                <w:webHidden/>
              </w:rPr>
              <w:instrText xml:space="preserve"> PAGEREF _Toc109128985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1A94A006" w14:textId="289A21CD" w:rsidR="00016286" w:rsidRDefault="00000000">
          <w:pPr>
            <w:pStyle w:val="TOC1"/>
            <w:tabs>
              <w:tab w:val="right" w:leader="dot" w:pos="9062"/>
            </w:tabs>
            <w:rPr>
              <w:rFonts w:asciiTheme="minorHAnsi" w:eastAsiaTheme="minorEastAsia" w:hAnsiTheme="minorHAnsi"/>
              <w:noProof/>
              <w:lang w:val="en-GB" w:eastAsia="en-GB"/>
            </w:rPr>
          </w:pPr>
          <w:hyperlink w:anchor="_Toc109128986" w:history="1">
            <w:r w:rsidR="00016286" w:rsidRPr="00A47FC6">
              <w:rPr>
                <w:rStyle w:val="Hyperlink"/>
                <w:noProof/>
              </w:rPr>
              <w:t>Spis rysunków</w:t>
            </w:r>
            <w:r w:rsidR="00016286">
              <w:rPr>
                <w:noProof/>
                <w:webHidden/>
              </w:rPr>
              <w:tab/>
            </w:r>
            <w:r w:rsidR="00016286">
              <w:rPr>
                <w:noProof/>
                <w:webHidden/>
              </w:rPr>
              <w:fldChar w:fldCharType="begin"/>
            </w:r>
            <w:r w:rsidR="00016286">
              <w:rPr>
                <w:noProof/>
                <w:webHidden/>
              </w:rPr>
              <w:instrText xml:space="preserve"> PAGEREF _Toc109128986 \h </w:instrText>
            </w:r>
            <w:r w:rsidR="00016286">
              <w:rPr>
                <w:noProof/>
                <w:webHidden/>
              </w:rPr>
            </w:r>
            <w:r w:rsidR="00016286">
              <w:rPr>
                <w:noProof/>
                <w:webHidden/>
              </w:rPr>
              <w:fldChar w:fldCharType="separate"/>
            </w:r>
            <w:r w:rsidR="00016286">
              <w:rPr>
                <w:noProof/>
                <w:webHidden/>
              </w:rPr>
              <w:t>6</w:t>
            </w:r>
            <w:r w:rsidR="00016286">
              <w:rPr>
                <w:noProof/>
                <w:webHidden/>
              </w:rPr>
              <w:fldChar w:fldCharType="end"/>
            </w:r>
          </w:hyperlink>
        </w:p>
        <w:p w14:paraId="52CBB768" w14:textId="2050F76D" w:rsidR="00016286" w:rsidRDefault="00000000">
          <w:pPr>
            <w:pStyle w:val="TOC1"/>
            <w:tabs>
              <w:tab w:val="right" w:leader="dot" w:pos="9062"/>
            </w:tabs>
            <w:rPr>
              <w:rFonts w:asciiTheme="minorHAnsi" w:eastAsiaTheme="minorEastAsia" w:hAnsiTheme="minorHAnsi"/>
              <w:noProof/>
              <w:lang w:val="en-GB" w:eastAsia="en-GB"/>
            </w:rPr>
          </w:pPr>
          <w:hyperlink w:anchor="_Toc109128987" w:history="1">
            <w:r w:rsidR="00016286" w:rsidRPr="00A47FC6">
              <w:rPr>
                <w:rStyle w:val="Hyperlink"/>
                <w:noProof/>
                <w:lang w:val="en-US"/>
              </w:rPr>
              <w:t>Spis tabel</w:t>
            </w:r>
            <w:r w:rsidR="00016286">
              <w:rPr>
                <w:noProof/>
                <w:webHidden/>
              </w:rPr>
              <w:tab/>
            </w:r>
            <w:r w:rsidR="00016286">
              <w:rPr>
                <w:noProof/>
                <w:webHidden/>
              </w:rPr>
              <w:fldChar w:fldCharType="begin"/>
            </w:r>
            <w:r w:rsidR="00016286">
              <w:rPr>
                <w:noProof/>
                <w:webHidden/>
              </w:rPr>
              <w:instrText xml:space="preserve"> PAGEREF _Toc109128987 \h </w:instrText>
            </w:r>
            <w:r w:rsidR="00016286">
              <w:rPr>
                <w:noProof/>
                <w:webHidden/>
              </w:rPr>
            </w:r>
            <w:r w:rsidR="00016286">
              <w:rPr>
                <w:noProof/>
                <w:webHidden/>
              </w:rPr>
              <w:fldChar w:fldCharType="separate"/>
            </w:r>
            <w:r w:rsidR="00016286">
              <w:rPr>
                <w:noProof/>
                <w:webHidden/>
              </w:rPr>
              <w:t>7</w:t>
            </w:r>
            <w:r w:rsidR="00016286">
              <w:rPr>
                <w:noProof/>
                <w:webHidden/>
              </w:rPr>
              <w:fldChar w:fldCharType="end"/>
            </w:r>
          </w:hyperlink>
        </w:p>
        <w:p w14:paraId="6C47F795" w14:textId="551F7D9B" w:rsidR="00016286" w:rsidRDefault="00000000">
          <w:pPr>
            <w:pStyle w:val="TOC1"/>
            <w:tabs>
              <w:tab w:val="right" w:leader="dot" w:pos="9062"/>
            </w:tabs>
            <w:rPr>
              <w:rFonts w:asciiTheme="minorHAnsi" w:eastAsiaTheme="minorEastAsia" w:hAnsiTheme="minorHAnsi"/>
              <w:noProof/>
              <w:lang w:val="en-GB" w:eastAsia="en-GB"/>
            </w:rPr>
          </w:pPr>
          <w:hyperlink w:anchor="_Toc109128988" w:history="1">
            <w:r w:rsidR="00016286" w:rsidRPr="00A47FC6">
              <w:rPr>
                <w:rStyle w:val="Hyperlink"/>
                <w:noProof/>
                <w:lang w:val="en-US"/>
              </w:rPr>
              <w:t>No table of figures entries found.</w:t>
            </w:r>
            <w:r w:rsidR="00016286">
              <w:rPr>
                <w:noProof/>
                <w:webHidden/>
              </w:rPr>
              <w:tab/>
            </w:r>
            <w:r w:rsidR="00016286">
              <w:rPr>
                <w:noProof/>
                <w:webHidden/>
              </w:rPr>
              <w:fldChar w:fldCharType="begin"/>
            </w:r>
            <w:r w:rsidR="00016286">
              <w:rPr>
                <w:noProof/>
                <w:webHidden/>
              </w:rPr>
              <w:instrText xml:space="preserve"> PAGEREF _Toc109128988 \h </w:instrText>
            </w:r>
            <w:r w:rsidR="00016286">
              <w:rPr>
                <w:noProof/>
                <w:webHidden/>
              </w:rPr>
            </w:r>
            <w:r w:rsidR="00016286">
              <w:rPr>
                <w:noProof/>
                <w:webHidden/>
              </w:rPr>
              <w:fldChar w:fldCharType="separate"/>
            </w:r>
            <w:r w:rsidR="00016286">
              <w:rPr>
                <w:noProof/>
                <w:webHidden/>
              </w:rPr>
              <w:t>7</w:t>
            </w:r>
            <w:r w:rsidR="00016286">
              <w:rPr>
                <w:noProof/>
                <w:webHidden/>
              </w:rPr>
              <w:fldChar w:fldCharType="end"/>
            </w:r>
          </w:hyperlink>
        </w:p>
        <w:p w14:paraId="1FF1F110" w14:textId="3D55C576" w:rsidR="00016286" w:rsidRDefault="00000000">
          <w:pPr>
            <w:pStyle w:val="TOC1"/>
            <w:tabs>
              <w:tab w:val="right" w:leader="dot" w:pos="9062"/>
            </w:tabs>
            <w:rPr>
              <w:rFonts w:asciiTheme="minorHAnsi" w:eastAsiaTheme="minorEastAsia" w:hAnsiTheme="minorHAnsi"/>
              <w:noProof/>
              <w:lang w:val="en-GB" w:eastAsia="en-GB"/>
            </w:rPr>
          </w:pPr>
          <w:hyperlink w:anchor="_Toc109128989" w:history="1">
            <w:r w:rsidR="00016286" w:rsidRPr="00A47FC6">
              <w:rPr>
                <w:rStyle w:val="Hyperlink"/>
                <w:noProof/>
                <w:lang w:val="en-US"/>
              </w:rPr>
              <w:t>Spis równań</w:t>
            </w:r>
            <w:r w:rsidR="00016286">
              <w:rPr>
                <w:noProof/>
                <w:webHidden/>
              </w:rPr>
              <w:tab/>
            </w:r>
            <w:r w:rsidR="00016286">
              <w:rPr>
                <w:noProof/>
                <w:webHidden/>
              </w:rPr>
              <w:fldChar w:fldCharType="begin"/>
            </w:r>
            <w:r w:rsidR="00016286">
              <w:rPr>
                <w:noProof/>
                <w:webHidden/>
              </w:rPr>
              <w:instrText xml:space="preserve"> PAGEREF _Toc109128989 \h </w:instrText>
            </w:r>
            <w:r w:rsidR="00016286">
              <w:rPr>
                <w:noProof/>
                <w:webHidden/>
              </w:rPr>
            </w:r>
            <w:r w:rsidR="00016286">
              <w:rPr>
                <w:noProof/>
                <w:webHidden/>
              </w:rPr>
              <w:fldChar w:fldCharType="separate"/>
            </w:r>
            <w:r w:rsidR="00016286">
              <w:rPr>
                <w:noProof/>
                <w:webHidden/>
              </w:rPr>
              <w:t>8</w:t>
            </w:r>
            <w:r w:rsidR="00016286">
              <w:rPr>
                <w:noProof/>
                <w:webHidden/>
              </w:rPr>
              <w:fldChar w:fldCharType="end"/>
            </w:r>
          </w:hyperlink>
        </w:p>
        <w:p w14:paraId="1FB9B5E0" w14:textId="49AED5F4" w:rsidR="00016286" w:rsidRDefault="00000000">
          <w:pPr>
            <w:pStyle w:val="TOC1"/>
            <w:tabs>
              <w:tab w:val="right" w:leader="dot" w:pos="9062"/>
            </w:tabs>
            <w:rPr>
              <w:rFonts w:asciiTheme="minorHAnsi" w:eastAsiaTheme="minorEastAsia" w:hAnsiTheme="minorHAnsi"/>
              <w:noProof/>
              <w:lang w:val="en-GB" w:eastAsia="en-GB"/>
            </w:rPr>
          </w:pPr>
          <w:hyperlink w:anchor="_Toc109128990" w:history="1">
            <w:r w:rsidR="00016286" w:rsidRPr="00A47FC6">
              <w:rPr>
                <w:rStyle w:val="Hyperlink"/>
                <w:noProof/>
                <w:lang w:val="en-US"/>
              </w:rPr>
              <w:t>Bibliografia</w:t>
            </w:r>
            <w:r w:rsidR="00016286">
              <w:rPr>
                <w:noProof/>
                <w:webHidden/>
              </w:rPr>
              <w:tab/>
            </w:r>
            <w:r w:rsidR="00016286">
              <w:rPr>
                <w:noProof/>
                <w:webHidden/>
              </w:rPr>
              <w:fldChar w:fldCharType="begin"/>
            </w:r>
            <w:r w:rsidR="00016286">
              <w:rPr>
                <w:noProof/>
                <w:webHidden/>
              </w:rPr>
              <w:instrText xml:space="preserve"> PAGEREF _Toc109128990 \h </w:instrText>
            </w:r>
            <w:r w:rsidR="00016286">
              <w:rPr>
                <w:noProof/>
                <w:webHidden/>
              </w:rPr>
            </w:r>
            <w:r w:rsidR="00016286">
              <w:rPr>
                <w:noProof/>
                <w:webHidden/>
              </w:rPr>
              <w:fldChar w:fldCharType="separate"/>
            </w:r>
            <w:r w:rsidR="00016286">
              <w:rPr>
                <w:noProof/>
                <w:webHidden/>
              </w:rPr>
              <w:t>9</w:t>
            </w:r>
            <w:r w:rsidR="00016286">
              <w:rPr>
                <w:noProof/>
                <w:webHidden/>
              </w:rPr>
              <w:fldChar w:fldCharType="end"/>
            </w:r>
          </w:hyperlink>
        </w:p>
        <w:p w14:paraId="3CECF748" w14:textId="32831BA8"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09128984"/>
      <w:r w:rsidRPr="00475E8F">
        <w:t>Wstęp</w:t>
      </w:r>
      <w:bookmarkEnd w:id="0"/>
    </w:p>
    <w:p w14:paraId="15C99BB9" w14:textId="77777777" w:rsidR="003550FA" w:rsidRDefault="003550FA" w:rsidP="003550FA">
      <w:pPr>
        <w:ind w:firstLine="360"/>
      </w:pPr>
      <w:r>
        <w:t>Kryptowaluty, czyli waluty cyfrowe to alternatywa dla standardowych walut, stworzona dzięki algorytmom szyfrującym. Pozwala wymieniać się nimi między danymi osobami bez potrzeby korzystania z usług stron trzecich, takich jak bank.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r>
        <w:t>.</w:t>
      </w:r>
      <w:sdt>
        <w:sdtPr>
          <w:id w:val="-320892778"/>
          <w:citation/>
        </w:sdtPr>
        <w:sdtContent>
          <w:r>
            <w:fldChar w:fldCharType="begin"/>
          </w:r>
          <w:r w:rsidRPr="003550FA">
            <w:instrText xml:space="preserve">CITATION Nor18 \l 2057 </w:instrText>
          </w:r>
          <w:r>
            <w:fldChar w:fldCharType="separate"/>
          </w:r>
          <w:r w:rsidRPr="003550FA">
            <w:rPr>
              <w:noProof/>
            </w:rPr>
            <w:t xml:space="preserve"> </w:t>
          </w:r>
          <w:r w:rsidRPr="00AC77D5">
            <w:rPr>
              <w:noProof/>
            </w:rPr>
            <w:t>(Business, 2018)</w:t>
          </w:r>
          <w:r>
            <w:fldChar w:fldCharType="end"/>
          </w:r>
        </w:sdtContent>
      </w:sdt>
    </w:p>
    <w:p w14:paraId="7267B337" w14:textId="70C6BF17" w:rsidR="003550FA" w:rsidRDefault="003550FA" w:rsidP="003550FA">
      <w:r>
        <w:t xml:space="preserve">Tradycyjne waluty, inaczej fiduciajrne (FIAT), mają z kryptowalutami pewne podobieństwa. Same w sobie nie mają wartości, tzn. nie jest ona oparta na podstawie np. kruszców takich jak złoto czy srebro. Duża część ich wartości opiera się na spekulacji, czyli akceptacji danej ceny, przez osoby na całym świecie. Są one również podzielne – </w:t>
      </w:r>
      <w:r w:rsidRPr="001B46E4">
        <w:t>tak jak euro można podzielić na 100 centów, 1 Bitcoin (BTC) można podzielić na zaledwie 0,00000001 BTC.</w:t>
      </w:r>
      <w:r>
        <w:t xml:space="preserve"> Można je </w:t>
      </w:r>
      <w:r w:rsidRPr="007F5BAF">
        <w:t xml:space="preserve">wysyłać i otrzymywać, używać do płacenia za towary i usługi, a także </w:t>
      </w:r>
      <w:r w:rsidR="00466ED5">
        <w:t>przesyłać</w:t>
      </w:r>
      <w:r w:rsidRPr="007F5BAF">
        <w:t>.</w:t>
      </w:r>
    </w:p>
    <w:p w14:paraId="0F5328DD" w14:textId="23C8069A" w:rsidR="003550FA" w:rsidRDefault="003550FA" w:rsidP="003550FA">
      <w:r>
        <w:t xml:space="preserve">Kryptowaluty zyskały na popularności właśnie przez </w:t>
      </w:r>
      <w:r w:rsidR="0061563B">
        <w:t>cechy</w:t>
      </w:r>
      <w:r w:rsidR="00090627">
        <w:t>,</w:t>
      </w:r>
      <w:r>
        <w:t xml:space="preserve"> jakie odróżniają je od walut fiducjarnych. </w:t>
      </w:r>
      <w:r w:rsidRPr="005C5201">
        <w:t xml:space="preserve">W przeciwieństwie do walut </w:t>
      </w:r>
      <w:r>
        <w:t>FIAT</w:t>
      </w:r>
      <w:r w:rsidRPr="005C5201">
        <w:t xml:space="preserve"> kryptowaluty nie są emitowane przez </w:t>
      </w:r>
      <w:r>
        <w:t>rząd</w:t>
      </w:r>
      <w:r w:rsidRPr="005C5201">
        <w:t xml:space="preserve">. Zamiast tego wiele kryptowalut jest zdecentralizowanych, więc żaden pojedynczy organ nie może zdecydować o emisji większej liczby kryptowalut i tym samym </w:t>
      </w:r>
      <w:r>
        <w:t>osłabić</w:t>
      </w:r>
      <w:r w:rsidRPr="005C5201">
        <w:t xml:space="preserve"> </w:t>
      </w:r>
      <w:r w:rsidR="00893B7D">
        <w:t>ich</w:t>
      </w:r>
      <w:r w:rsidRPr="005C5201">
        <w:t xml:space="preserve"> wartość</w:t>
      </w:r>
      <w:r>
        <w:t xml:space="preserve">. </w:t>
      </w:r>
      <w:r w:rsidRPr="004A54D3">
        <w:t xml:space="preserve">Zdecentralizowane kryptowaluty są </w:t>
      </w:r>
      <w:r>
        <w:t>samowystarczalne</w:t>
      </w:r>
      <w:r w:rsidRPr="004A54D3">
        <w:t xml:space="preserve"> i nie wymagają stron trzecich do zatwierdzania transakcji. Ponieważ transakcje są weryfikowane za pomocą technologii blockchain, wszystkie są trwale zapisane i nieodwracalne, dzięki czemu są</w:t>
      </w:r>
      <w:r>
        <w:t xml:space="preserve"> one</w:t>
      </w:r>
      <w:r w:rsidRPr="004A54D3">
        <w:t xml:space="preserve"> szczególnie bezpiecznym sposobem wymian</w:t>
      </w:r>
      <w:r>
        <w:t>y</w:t>
      </w:r>
      <w:r w:rsidRPr="004A54D3">
        <w:t>.</w:t>
      </w:r>
      <w:r>
        <w:t xml:space="preserve"> </w:t>
      </w:r>
      <w:sdt>
        <w:sdtPr>
          <w:id w:val="-626385647"/>
          <w:citation/>
        </w:sdtPr>
        <w:sdtContent>
          <w:r>
            <w:fldChar w:fldCharType="begin"/>
          </w:r>
          <w:r w:rsidRPr="003550FA">
            <w:instrText xml:space="preserve"> CITATION Bin21 \l 2057 </w:instrText>
          </w:r>
          <w:r>
            <w:fldChar w:fldCharType="separate"/>
          </w:r>
          <w:r w:rsidRPr="003550FA">
            <w:rPr>
              <w:noProof/>
            </w:rPr>
            <w:t>(Binance, 2021)</w:t>
          </w:r>
          <w:r>
            <w:fldChar w:fldCharType="end"/>
          </w:r>
        </w:sdtContent>
      </w:sdt>
      <w:r>
        <w:t xml:space="preserve"> </w:t>
      </w:r>
      <w:r w:rsidRPr="00DB2104">
        <w:t>Kryptowaluty mogą być cennymi narzędziami w realizacji przejścia na globalną</w:t>
      </w:r>
      <w:r>
        <w:t xml:space="preserve"> </w:t>
      </w:r>
      <w:r w:rsidRPr="00DB2104">
        <w:t>i otwartą</w:t>
      </w:r>
      <w:r>
        <w:t>,</w:t>
      </w:r>
      <w:r w:rsidRPr="00DB2104">
        <w:t xml:space="preserve"> nową gospodarkę cyfrową.</w:t>
      </w:r>
      <w:r>
        <w:t xml:space="preserve"> </w:t>
      </w:r>
      <w:r w:rsidRPr="00CF5E4C">
        <w:t>Niektóre kryptowaluty, takie jak Bitcoin, są bardzo przejrzyste i ułatwiają władzom, takim jak IRS i FBI, śledzenie działalności przestępczej.</w:t>
      </w:r>
    </w:p>
    <w:p w14:paraId="04535EB6" w14:textId="46811A32" w:rsidR="003550FA" w:rsidRDefault="003550FA" w:rsidP="003550FA">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Pr="00601E26">
            <w:rPr>
              <w:noProof/>
              <w:lang w:val="en-GB"/>
            </w:rPr>
            <w:t>(TradeStation, 2020)</w:t>
          </w:r>
          <w:r>
            <w:fldChar w:fldCharType="end"/>
          </w:r>
        </w:sdtContent>
      </w:sdt>
    </w:p>
    <w:p w14:paraId="0EF19CAB" w14:textId="61D6DCE2" w:rsidR="00731786" w:rsidRDefault="00BF0CEC" w:rsidP="003550FA">
      <w:r>
        <w:t>Jako</w:t>
      </w:r>
      <w:r w:rsidR="00BF75C5">
        <w:t>,</w:t>
      </w:r>
      <w:r>
        <w:t xml:space="preserve"> że kryptowaluty są w pewnym stopniu podobne do walut tradycyjnych, można nimi handlować na giełdach kryptowalut w sposób niemal identyczny jak walutami na rynku FOREX. Dlatego też celem </w:t>
      </w:r>
      <w:r>
        <w:lastRenderedPageBreak/>
        <w:t xml:space="preserve">niniejszej pracy jest </w:t>
      </w:r>
      <w:r w:rsidR="0023749C">
        <w:t>sprawdzenie, czy na rynku kryptowalut występują podobne zjawiska, jakie zauważono na rynku walut tradycyjnych</w:t>
      </w:r>
      <w:r w:rsidR="00286E1C">
        <w:t xml:space="preserve">, w celu lepszego zrozumienia ich </w:t>
      </w:r>
      <w:r w:rsidR="00BF1AC4">
        <w:t>działania i rządzących nimi praw.</w:t>
      </w:r>
    </w:p>
    <w:p w14:paraId="64653B46" w14:textId="25AE1CBA" w:rsidR="00DE531E" w:rsidRDefault="004B1B6F" w:rsidP="00BE6EF8">
      <w:pPr>
        <w:pStyle w:val="Heading1"/>
        <w:numPr>
          <w:ilvl w:val="0"/>
          <w:numId w:val="4"/>
        </w:numPr>
      </w:pPr>
      <w:bookmarkStart w:id="1" w:name="_Toc109128985"/>
      <w:r>
        <w:t>Wstęp teoretyczny</w:t>
      </w:r>
      <w:bookmarkEnd w:id="1"/>
    </w:p>
    <w:p w14:paraId="2390C112" w14:textId="6DDFD3FE" w:rsidR="004C3300" w:rsidRDefault="004C3300" w:rsidP="004C3300">
      <w:pPr>
        <w:pStyle w:val="Heading2"/>
        <w:numPr>
          <w:ilvl w:val="1"/>
          <w:numId w:val="4"/>
        </w:numPr>
      </w:pPr>
      <w:r>
        <w:t>Blockchain</w:t>
      </w:r>
    </w:p>
    <w:p w14:paraId="3ED4A545" w14:textId="5E74562A" w:rsidR="00D25311" w:rsidRDefault="003748FE" w:rsidP="00D25311">
      <w:r>
        <w:t>Według definicji jest to r</w:t>
      </w:r>
      <w:r w:rsidRPr="003748FE">
        <w:t>ejestr zdecentralizowanych danych, które są bezpiecznie współużytkowane.</w:t>
      </w:r>
      <w:r w:rsidR="00D81471">
        <w:t xml:space="preserve"> </w:t>
      </w:r>
      <w:r w:rsidR="00D81471" w:rsidRPr="00D81471">
        <w:t>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p>
    <w:p w14:paraId="301A6C2A" w14:textId="3A34DB7E" w:rsidR="001B1869" w:rsidRDefault="001B1869" w:rsidP="00D25311">
      <w:r>
        <w:t>Blockchain można zatem określić</w:t>
      </w:r>
      <w:r w:rsidRPr="001B1869">
        <w:t xml:space="preserve"> jako historyczny zapis transakcji. Każdy blok jest „powiązany” z poprzednim blokiem w sekwencji i zapisywany w niezmienny sposób</w:t>
      </w:r>
      <w:r w:rsidR="00907D89">
        <w:t xml:space="preserve"> </w:t>
      </w:r>
      <w:r w:rsidRPr="001B1869">
        <w:t xml:space="preserve">w sieci peer-to-peer. </w:t>
      </w:r>
      <w:r w:rsidR="00907D89" w:rsidRPr="00907D89">
        <w:t>Kryptograficzna technologia zaufania i pewności stosuje unikalny identyfikator — lub cyfrowy odcisk palca — do każdej transakcji.</w:t>
      </w:r>
    </w:p>
    <w:p w14:paraId="3E30F12A" w14:textId="77777777" w:rsidR="008275E2" w:rsidRDefault="00D11AB8" w:rsidP="00D25311">
      <w:r w:rsidRPr="00D11AB8">
        <w:t>Zaufanie, odpowiedzialność, przejrzystość i bezpieczeństwo są nieodłączną częścią łańcucha. Umożliwia to organizacjom i partnerom biznesowym wszelkiego rodzaju dostęp do danych i udostępnianie ich.</w:t>
      </w:r>
      <w:r>
        <w:t xml:space="preserve"> Jest to zjawisko znane jako </w:t>
      </w:r>
      <w:r w:rsidRPr="00D11AB8">
        <w:t>zaufanie oparte na konsensusie stron trzecich</w:t>
      </w:r>
      <w:r>
        <w:t>.</w:t>
      </w:r>
      <w:r w:rsidR="00E74E31">
        <w:t xml:space="preserve"> </w:t>
      </w:r>
      <w:r w:rsidR="00E74E31" w:rsidRPr="00E74E3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p>
    <w:p w14:paraId="18D54DFD" w14:textId="7CF19B81" w:rsidR="00D11AB8" w:rsidRPr="00D25311" w:rsidRDefault="008275E2" w:rsidP="00D25311">
      <w:r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sdt>
        <w:sdtPr>
          <w:id w:val="-735621906"/>
          <w:citation/>
        </w:sdtPr>
        <w:sdtContent>
          <w:r w:rsidR="00E74E31">
            <w:fldChar w:fldCharType="begin"/>
          </w:r>
          <w:r w:rsidR="00E74E31" w:rsidRPr="00E74E31">
            <w:instrText xml:space="preserve"> CITATION Ora23 \l 2057 </w:instrText>
          </w:r>
          <w:r w:rsidR="00E74E31">
            <w:fldChar w:fldCharType="separate"/>
          </w:r>
          <w:r w:rsidR="00E74E31" w:rsidRPr="00E74E31">
            <w:rPr>
              <w:noProof/>
            </w:rPr>
            <w:t xml:space="preserve"> (Oracle, 2023)</w:t>
          </w:r>
          <w:r w:rsidR="00E74E31">
            <w:fldChar w:fldCharType="end"/>
          </w:r>
        </w:sdtContent>
      </w:sdt>
    </w:p>
    <w:p w14:paraId="01B4DE32" w14:textId="565E5A9A" w:rsidR="003550FA" w:rsidRDefault="003550FA" w:rsidP="00E13199">
      <w:pPr>
        <w:pStyle w:val="Heading2"/>
        <w:numPr>
          <w:ilvl w:val="1"/>
          <w:numId w:val="4"/>
        </w:numPr>
      </w:pPr>
      <w:r>
        <w:t>Podział kryptowalut</w:t>
      </w:r>
    </w:p>
    <w:p w14:paraId="7CC6A447" w14:textId="7A973BBF" w:rsidR="00AC77D5" w:rsidRDefault="0081211B" w:rsidP="00E13199">
      <w:r>
        <w:t>Mimo że Bitcon był pierwszą kryptowalutą, istnieje wiele innych kryptowalut. W zależności od ich budowy, zastosowania lub przypadku użycia oraz innych kryteriów, wyróżnić można co najmniej cztery różne rodzaje kryptowalut</w:t>
      </w:r>
      <w:r w:rsidR="00E97F31">
        <w:t>.</w:t>
      </w:r>
    </w:p>
    <w:p w14:paraId="16DC0826" w14:textId="4A9E83C9" w:rsidR="00CF2783" w:rsidRPr="008A01B2" w:rsidRDefault="008A01B2" w:rsidP="00E13199">
      <w:pPr>
        <w:rPr>
          <w:b/>
          <w:bCs/>
        </w:rPr>
      </w:pPr>
      <w:r>
        <w:rPr>
          <w:b/>
          <w:bCs/>
        </w:rPr>
        <w:t>TOKENY UŻYTKOWE (</w:t>
      </w:r>
      <w:r w:rsidRPr="008A01B2">
        <w:rPr>
          <w:b/>
          <w:bCs/>
        </w:rPr>
        <w:t>UTILITY TOKENS</w:t>
      </w:r>
      <w:r>
        <w:rPr>
          <w:b/>
          <w:bCs/>
        </w:rPr>
        <w:t>)</w:t>
      </w:r>
    </w:p>
    <w:p w14:paraId="76B33E5D" w14:textId="01D16A88" w:rsidR="004C3300" w:rsidRDefault="004C3300" w:rsidP="00E13199">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E13199">
      <w:r>
        <w:t>Główne cechy:</w:t>
      </w:r>
    </w:p>
    <w:p w14:paraId="2559188C" w14:textId="20DBBE6B" w:rsidR="008A01B2" w:rsidRDefault="008A01B2" w:rsidP="008A01B2">
      <w:pPr>
        <w:pStyle w:val="ListParagraph"/>
        <w:numPr>
          <w:ilvl w:val="0"/>
          <w:numId w:val="12"/>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8A01B2">
      <w:pPr>
        <w:pStyle w:val="ListParagraph"/>
        <w:numPr>
          <w:ilvl w:val="0"/>
          <w:numId w:val="12"/>
        </w:numPr>
      </w:pPr>
      <w:r w:rsidRPr="00B70E75">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472067D6" w:rsidR="00B07884" w:rsidRDefault="00C242C8" w:rsidP="00C242C8">
      <w:pPr>
        <w:rPr>
          <w:lang w:val="en-GB"/>
        </w:rPr>
      </w:pPr>
      <w:r w:rsidRPr="00545368">
        <w:rPr>
          <w:lang w:val="en-GB"/>
        </w:rPr>
        <w:lastRenderedPageBreak/>
        <w:t xml:space="preserve">Przykłady: </w:t>
      </w:r>
      <w:r w:rsidR="00545368" w:rsidRPr="00545368">
        <w:rPr>
          <w:lang w:val="en-GB"/>
        </w:rPr>
        <w:t>Basic Attention Token, Golem, Sirin Labs Token</w:t>
      </w:r>
    </w:p>
    <w:p w14:paraId="413C5DC6" w14:textId="7E8B2564" w:rsidR="004C3300" w:rsidRDefault="00E27A8E" w:rsidP="00C242C8">
      <w:pPr>
        <w:rPr>
          <w:b/>
          <w:bCs/>
          <w:lang w:val="en-GB"/>
        </w:rPr>
      </w:pPr>
      <w:r>
        <w:rPr>
          <w:b/>
          <w:bCs/>
          <w:lang w:val="en-GB"/>
        </w:rPr>
        <w:t>TOKENY PŁATNICZE (PAYMENT TOKENS)</w:t>
      </w:r>
    </w:p>
    <w:p w14:paraId="3B267121" w14:textId="774A694C" w:rsidR="00E27A8E" w:rsidRDefault="00E27A8E" w:rsidP="00C242C8">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1549B8">
      <w:r>
        <w:t>Główne cechy:</w:t>
      </w:r>
    </w:p>
    <w:p w14:paraId="7CB68F1A" w14:textId="1898C445" w:rsidR="001549B8" w:rsidRDefault="001549B8" w:rsidP="001549B8">
      <w:pPr>
        <w:pStyle w:val="ListParagraph"/>
        <w:numPr>
          <w:ilvl w:val="0"/>
          <w:numId w:val="13"/>
        </w:numPr>
      </w:pPr>
      <w:r>
        <w:t>Zwykle hybrydy innych tokenów</w:t>
      </w:r>
    </w:p>
    <w:p w14:paraId="37AE3B05" w14:textId="02FF52CA" w:rsidR="001549B8" w:rsidRDefault="001549B8" w:rsidP="001549B8">
      <w:pPr>
        <w:pStyle w:val="ListParagraph"/>
        <w:numPr>
          <w:ilvl w:val="0"/>
          <w:numId w:val="13"/>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1549B8">
      <w:pPr>
        <w:pStyle w:val="ListParagraph"/>
        <w:numPr>
          <w:ilvl w:val="0"/>
          <w:numId w:val="13"/>
        </w:numPr>
      </w:pPr>
      <w:r w:rsidRPr="001549B8">
        <w:t>Mogą, ale nie muszą gwarantować posiadaczom dostępu do produktu lub usługi teraz</w:t>
      </w:r>
      <w:r w:rsidR="00DB0CCD">
        <w:t>,</w:t>
      </w:r>
      <w:r w:rsidRPr="001549B8">
        <w:t xml:space="preserve"> lub w przyszłości</w:t>
      </w:r>
    </w:p>
    <w:p w14:paraId="35027B1F" w14:textId="58BE5625" w:rsidR="002607F5" w:rsidRDefault="002607F5" w:rsidP="002607F5">
      <w:r>
        <w:t>Przykłady: Bitcoin, Ether</w:t>
      </w:r>
      <w:r w:rsidR="00492468">
        <w:t>e</w:t>
      </w:r>
      <w:r>
        <w:t>um, Monero</w:t>
      </w:r>
    </w:p>
    <w:p w14:paraId="0CDEBD4B" w14:textId="05CF60F1" w:rsidR="0058038B" w:rsidRDefault="0058038B" w:rsidP="002607F5">
      <w:pPr>
        <w:rPr>
          <w:b/>
          <w:bCs/>
        </w:rPr>
      </w:pPr>
      <w:r w:rsidRPr="0058038B">
        <w:rPr>
          <w:b/>
          <w:bCs/>
        </w:rPr>
        <w:t>TOKENY WYMIANY (EXCHANGE TOKENS)</w:t>
      </w:r>
    </w:p>
    <w:p w14:paraId="7FC6C16F" w14:textId="15ADCB64" w:rsidR="0058038B" w:rsidRDefault="00BE261C" w:rsidP="002607F5">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2607F5">
      <w:r>
        <w:t>Główne cechy:</w:t>
      </w:r>
    </w:p>
    <w:p w14:paraId="3F4A1518" w14:textId="72767474" w:rsidR="005A6CC1" w:rsidRDefault="00C91054" w:rsidP="005A6CC1">
      <w:pPr>
        <w:pStyle w:val="ListParagraph"/>
        <w:numPr>
          <w:ilvl w:val="0"/>
          <w:numId w:val="14"/>
        </w:numPr>
      </w:pPr>
      <w:r>
        <w:t>M</w:t>
      </w:r>
      <w:r w:rsidRPr="00C91054">
        <w:t>ogą je emitować</w:t>
      </w:r>
      <w:r w:rsidRPr="00C91054">
        <w:t xml:space="preserve">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5A6CC1">
      <w:pPr>
        <w:pStyle w:val="ListParagraph"/>
        <w:numPr>
          <w:ilvl w:val="0"/>
          <w:numId w:val="14"/>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5A6CC1">
      <w:pPr>
        <w:pStyle w:val="ListParagraph"/>
        <w:numPr>
          <w:ilvl w:val="0"/>
          <w:numId w:val="14"/>
        </w:numPr>
      </w:pPr>
      <w:r w:rsidRPr="0074739C">
        <w:t xml:space="preserve">W celu zwiększenia płynności giełdy wykorzystują je, aby </w:t>
      </w:r>
      <w:r>
        <w:t>zachęcić</w:t>
      </w:r>
      <w:r w:rsidRPr="0074739C">
        <w:t xml:space="preserve"> ludzi do udziału w projektach.</w:t>
      </w:r>
    </w:p>
    <w:p w14:paraId="5C0F8FD1" w14:textId="4CE41E41" w:rsidR="00492468" w:rsidRDefault="00492468" w:rsidP="00492468">
      <w:pPr>
        <w:rPr>
          <w:lang w:val="en-GB"/>
        </w:rPr>
      </w:pPr>
      <w:r w:rsidRPr="00492468">
        <w:rPr>
          <w:lang w:val="en-GB"/>
        </w:rPr>
        <w:t>Przykłady: Binance Coin, Gemini Dollar, OKB</w:t>
      </w:r>
    </w:p>
    <w:p w14:paraId="66698BFD" w14:textId="10109718" w:rsidR="00F226E1" w:rsidRPr="00A6059A" w:rsidRDefault="00F226E1" w:rsidP="00492468">
      <w:pPr>
        <w:rPr>
          <w:b/>
          <w:bCs/>
          <w:lang w:val="en-GB"/>
        </w:rPr>
      </w:pPr>
      <w:r w:rsidRPr="00A6059A">
        <w:rPr>
          <w:b/>
          <w:bCs/>
          <w:lang w:val="en-GB"/>
        </w:rPr>
        <w:t>TOKENY PRYWATNOŚCI (PRIVACY TOKENS)</w:t>
      </w:r>
    </w:p>
    <w:p w14:paraId="67813355" w14:textId="4A2652D9" w:rsidR="00A6059A" w:rsidRDefault="007F0BF6" w:rsidP="00492468">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492468">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0805A4">
      <w:pPr>
        <w:pStyle w:val="ListParagraph"/>
        <w:numPr>
          <w:ilvl w:val="0"/>
          <w:numId w:val="15"/>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4A0121D0" w:rsidR="008A693B" w:rsidRPr="00D25311" w:rsidRDefault="00256461" w:rsidP="008A693B">
      <w:pPr>
        <w:rPr>
          <w:lang w:val="en-GB"/>
        </w:rPr>
      </w:pPr>
      <w:r w:rsidRPr="00D25311">
        <w:rPr>
          <w:lang w:val="en-GB"/>
        </w:rPr>
        <w:t>Przykłady: Monero, Zcash, Dash</w:t>
      </w:r>
      <w:sdt>
        <w:sdtPr>
          <w:id w:val="529770194"/>
          <w:citation/>
        </w:sdtPr>
        <w:sdtContent>
          <w:r w:rsidR="00D25311">
            <w:fldChar w:fldCharType="begin"/>
          </w:r>
          <w:r w:rsidR="00D25311">
            <w:rPr>
              <w:lang w:val="en-GB"/>
            </w:rPr>
            <w:instrText xml:space="preserve">CITATION SOF23 \l 2057 </w:instrText>
          </w:r>
          <w:r w:rsidR="00D25311">
            <w:fldChar w:fldCharType="separate"/>
          </w:r>
          <w:r w:rsidR="00D25311">
            <w:rPr>
              <w:noProof/>
              <w:lang w:val="en-GB"/>
            </w:rPr>
            <w:t xml:space="preserve"> </w:t>
          </w:r>
          <w:r w:rsidR="00D25311" w:rsidRPr="00D25311">
            <w:rPr>
              <w:noProof/>
              <w:lang w:val="en-GB"/>
            </w:rPr>
            <w:t>(Anon., 2023)</w:t>
          </w:r>
          <w:r w:rsidR="00D25311">
            <w:fldChar w:fldCharType="end"/>
          </w:r>
        </w:sdtContent>
      </w:sdt>
    </w:p>
    <w:p w14:paraId="216A5B8A" w14:textId="5C8A278D" w:rsidR="00AC77D5" w:rsidRDefault="00AC77D5" w:rsidP="00804576">
      <w:pPr>
        <w:pStyle w:val="Heading2"/>
        <w:numPr>
          <w:ilvl w:val="1"/>
          <w:numId w:val="4"/>
        </w:numPr>
      </w:pPr>
      <w:r>
        <w:t>Asd</w:t>
      </w:r>
    </w:p>
    <w:p w14:paraId="3B1C2DC8" w14:textId="094F3A86" w:rsidR="00804576" w:rsidRPr="00804576" w:rsidRDefault="00804576" w:rsidP="00804576">
      <w:pPr>
        <w:pStyle w:val="Heading2"/>
        <w:numPr>
          <w:ilvl w:val="1"/>
          <w:numId w:val="4"/>
        </w:numPr>
      </w:pPr>
      <w:r>
        <w:t>asd</w:t>
      </w:r>
    </w:p>
    <w:p w14:paraId="7449688C" w14:textId="46BE7105" w:rsidR="003550FA" w:rsidRDefault="003550FA" w:rsidP="003550FA">
      <w:pPr>
        <w:pStyle w:val="Heading1"/>
        <w:numPr>
          <w:ilvl w:val="0"/>
          <w:numId w:val="4"/>
        </w:numPr>
      </w:pPr>
      <w:r>
        <w:t>Metodologia</w:t>
      </w:r>
    </w:p>
    <w:p w14:paraId="1302A130" w14:textId="06F38309" w:rsidR="003550FA" w:rsidRDefault="003550FA" w:rsidP="003550FA">
      <w:pPr>
        <w:pStyle w:val="Heading1"/>
        <w:numPr>
          <w:ilvl w:val="0"/>
          <w:numId w:val="4"/>
        </w:numPr>
      </w:pPr>
      <w:r>
        <w:t>Wyniki</w:t>
      </w:r>
    </w:p>
    <w:p w14:paraId="46F6A0F9" w14:textId="353F785D" w:rsidR="00825EAB" w:rsidRDefault="00825EAB" w:rsidP="00825EAB">
      <w:pPr>
        <w:pStyle w:val="Heading1"/>
        <w:ind w:left="360"/>
      </w:pPr>
      <w:r>
        <w:lastRenderedPageBreak/>
        <w:t>Podsumowanie</w:t>
      </w:r>
    </w:p>
    <w:p w14:paraId="6E96ECC6" w14:textId="77777777" w:rsidR="001D433E" w:rsidRPr="00BE6EF8" w:rsidRDefault="001D433E" w:rsidP="00BE6EF8"/>
    <w:p w14:paraId="6E22360C" w14:textId="77777777" w:rsidR="00D8207E" w:rsidRPr="003550FA" w:rsidRDefault="00D8207E" w:rsidP="00707389">
      <w:pPr>
        <w:pStyle w:val="Heading1"/>
        <w:rPr>
          <w:lang w:val="en-GB"/>
        </w:rPr>
      </w:pPr>
      <w:bookmarkStart w:id="2" w:name="_Toc109128986"/>
      <w:r w:rsidRPr="003550FA">
        <w:rPr>
          <w:lang w:val="en-GB"/>
        </w:rPr>
        <w:t>Spis rysunków</w:t>
      </w:r>
      <w:bookmarkEnd w:id="2"/>
    </w:p>
    <w:p w14:paraId="1F19F9C8" w14:textId="1BAED62F" w:rsidR="00D8207E" w:rsidRPr="003550FA" w:rsidRDefault="0004534C" w:rsidP="00707389">
      <w:pPr>
        <w:tabs>
          <w:tab w:val="left" w:pos="1236"/>
        </w:tabs>
        <w:rPr>
          <w:rFonts w:cs="Times New Roman"/>
          <w:lang w:val="en-GB"/>
        </w:rPr>
      </w:pPr>
      <w:r w:rsidRPr="00475E8F">
        <w:rPr>
          <w:rFonts w:cs="Times New Roman"/>
        </w:rPr>
        <w:fldChar w:fldCharType="begin"/>
      </w:r>
      <w:r w:rsidRPr="003550FA">
        <w:rPr>
          <w:rFonts w:cs="Times New Roman"/>
          <w:lang w:val="en-GB"/>
        </w:rPr>
        <w:instrText xml:space="preserve"> TOC \h \z \c "Rysunek" </w:instrText>
      </w:r>
      <w:r w:rsidRPr="00475E8F">
        <w:rPr>
          <w:rFonts w:cs="Times New Roman"/>
        </w:rPr>
        <w:fldChar w:fldCharType="separate"/>
      </w:r>
      <w:r w:rsidR="008C6102" w:rsidRPr="00475E8F">
        <w:rPr>
          <w:rFonts w:cs="Times New Roman"/>
          <w:noProof/>
          <w:lang w:val="en-US"/>
        </w:rPr>
        <w:t>No table of figures entries found.</w:t>
      </w: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3" w:name="_Toc109128987"/>
      <w:r w:rsidRPr="00475E8F">
        <w:rPr>
          <w:lang w:val="en-US"/>
        </w:rPr>
        <w:lastRenderedPageBreak/>
        <w:t>Spis tabel</w:t>
      </w:r>
      <w:bookmarkEnd w:id="3"/>
    </w:p>
    <w:p w14:paraId="75BA0E6C" w14:textId="6D58CD9F" w:rsidR="00D8207E" w:rsidRPr="00475E8F" w:rsidRDefault="008A46C3" w:rsidP="00707389">
      <w:pPr>
        <w:pStyle w:val="Heading1"/>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bookmarkStart w:id="4" w:name="_Toc109128988"/>
      <w:r w:rsidR="008C6102" w:rsidRPr="00475E8F">
        <w:rPr>
          <w:rFonts w:eastAsiaTheme="minorHAnsi"/>
          <w:bCs w:val="0"/>
          <w:noProof/>
          <w:kern w:val="0"/>
          <w:sz w:val="22"/>
          <w:szCs w:val="22"/>
          <w:lang w:val="en-US" w:eastAsia="en-US"/>
        </w:rPr>
        <w:t>No table of figures entries found.</w:t>
      </w:r>
      <w:bookmarkEnd w:id="4"/>
      <w:r w:rsidRPr="00475E8F">
        <w:rPr>
          <w:b/>
          <w:bCs w:val="0"/>
          <w:noProof/>
          <w:lang w:val="en-US"/>
        </w:rPr>
        <w:fldChar w:fldCharType="end"/>
      </w:r>
    </w:p>
    <w:p w14:paraId="7DC84249"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rPr>
          <w:lang w:val="en-US"/>
        </w:rPr>
      </w:pPr>
      <w:bookmarkStart w:id="5" w:name="_Toc109128989"/>
      <w:r w:rsidRPr="00475E8F">
        <w:rPr>
          <w:lang w:val="en-US"/>
        </w:rPr>
        <w:lastRenderedPageBreak/>
        <w:t>Spis równań</w:t>
      </w:r>
      <w:bookmarkEnd w:id="5"/>
    </w:p>
    <w:p w14:paraId="1D9C63F9" w14:textId="548B4B8D" w:rsidR="00D8207E" w:rsidRPr="00475E8F" w:rsidRDefault="008A46C3" w:rsidP="00707389">
      <w:pPr>
        <w:pStyle w:val="Heading1"/>
        <w:rPr>
          <w:lang w:val="en-US"/>
        </w:rPr>
      </w:pPr>
      <w:r w:rsidRPr="00475E8F">
        <w:rPr>
          <w:rFonts w:eastAsiaTheme="minorHAnsi" w:cstheme="minorBidi"/>
          <w:b/>
          <w:noProof/>
          <w:kern w:val="0"/>
          <w:sz w:val="22"/>
          <w:szCs w:val="22"/>
          <w:lang w:val="en-US" w:eastAsia="en-US"/>
        </w:rPr>
        <w:fldChar w:fldCharType="begin"/>
      </w:r>
      <w:r w:rsidRPr="00475E8F">
        <w:rPr>
          <w:noProof/>
          <w:lang w:val="en-US"/>
        </w:rPr>
        <w:instrText xml:space="preserve"> TOC \h \z \c "Równanie" </w:instrText>
      </w:r>
      <w:r w:rsidRPr="00475E8F">
        <w:rPr>
          <w:rFonts w:eastAsiaTheme="minorHAnsi" w:cstheme="minorBidi"/>
          <w:b/>
          <w:noProof/>
          <w:kern w:val="0"/>
          <w:sz w:val="22"/>
          <w:szCs w:val="22"/>
          <w:lang w:val="en-US" w:eastAsia="en-US"/>
        </w:rPr>
        <w:fldChar w:fldCharType="separate"/>
      </w:r>
      <w:r w:rsidR="00EB0515">
        <w:rPr>
          <w:rFonts w:eastAsiaTheme="minorHAnsi" w:cstheme="minorBidi"/>
          <w:bCs w:val="0"/>
          <w:noProof/>
          <w:kern w:val="0"/>
          <w:sz w:val="22"/>
          <w:szCs w:val="22"/>
          <w:lang w:val="en-US" w:eastAsia="en-US"/>
        </w:rPr>
        <w:t>No table of figures entries found.</w:t>
      </w:r>
      <w:r w:rsidRPr="00475E8F">
        <w:rPr>
          <w:b/>
          <w:bCs w:val="0"/>
          <w:noProof/>
          <w:lang w:val="en-US"/>
        </w:rPr>
        <w:fldChar w:fldCharType="end"/>
      </w:r>
    </w:p>
    <w:p w14:paraId="13B413E3" w14:textId="77777777" w:rsidR="00D8207E" w:rsidRPr="00475E8F" w:rsidRDefault="00D8207E" w:rsidP="00707389">
      <w:pPr>
        <w:rPr>
          <w:rFonts w:eastAsia="Times New Roman" w:cs="Times New Roman"/>
          <w:kern w:val="36"/>
          <w:sz w:val="48"/>
          <w:szCs w:val="48"/>
          <w:lang w:val="en-US" w:eastAsia="pl-PL"/>
        </w:rPr>
      </w:pPr>
      <w:r w:rsidRPr="00475E8F">
        <w:rPr>
          <w:rFonts w:cs="Times New Roman"/>
          <w:lang w:val="en-US"/>
        </w:rPr>
        <w:br w:type="page"/>
      </w:r>
    </w:p>
    <w:bookmarkStart w:id="6" w:name="_Toc109128990"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3550FA" w:rsidRDefault="00D8207E" w:rsidP="00707389">
          <w:pPr>
            <w:pStyle w:val="Heading1"/>
          </w:pPr>
          <w:r w:rsidRPr="003550FA">
            <w:t>Bibliogra</w:t>
          </w:r>
          <w:r w:rsidR="00D51329" w:rsidRPr="003550FA">
            <w:t>fia</w:t>
          </w:r>
          <w:bookmarkEnd w:id="6"/>
        </w:p>
        <w:sdt>
          <w:sdtPr>
            <w:rPr>
              <w:rFonts w:cs="Times New Roman"/>
            </w:rPr>
            <w:id w:val="111145805"/>
            <w:bibliography/>
          </w:sdtPr>
          <w:sdtContent>
            <w:p w14:paraId="350FC297" w14:textId="77777777" w:rsidR="00EB0515" w:rsidRDefault="00D8207E" w:rsidP="00EB0515">
              <w:pPr>
                <w:pStyle w:val="Bibliography"/>
                <w:rPr>
                  <w:noProof/>
                  <w:sz w:val="24"/>
                  <w:szCs w:val="24"/>
                  <w:lang w:val="en-US"/>
                </w:rPr>
              </w:pPr>
              <w:r w:rsidRPr="00475E8F">
                <w:rPr>
                  <w:rFonts w:cs="Times New Roman"/>
                </w:rPr>
                <w:fldChar w:fldCharType="begin"/>
              </w:r>
              <w:r w:rsidRPr="003550FA">
                <w:rPr>
                  <w:rFonts w:cs="Times New Roman"/>
                </w:rPr>
                <w:instrText xml:space="preserve"> BIBLIOGRAPHY </w:instrText>
              </w:r>
              <w:r w:rsidRPr="00475E8F">
                <w:rPr>
                  <w:rFonts w:cs="Times New Roman"/>
                </w:rPr>
                <w:fldChar w:fldCharType="separate"/>
              </w:r>
              <w:r w:rsidR="00EB0515" w:rsidRPr="003550FA">
                <w:rPr>
                  <w:noProof/>
                </w:rPr>
                <w:t xml:space="preserve">Anon., n.d. </w:t>
              </w:r>
              <w:r w:rsidR="00EB0515" w:rsidRPr="003550FA">
                <w:rPr>
                  <w:i/>
                  <w:iCs/>
                  <w:noProof/>
                </w:rPr>
                <w:t xml:space="preserve">OSWEGO. </w:t>
              </w:r>
              <w:r w:rsidR="00EB0515">
                <w:rPr>
                  <w:noProof/>
                  <w:lang w:val="en-US"/>
                </w:rPr>
                <w:t xml:space="preserve">[Online] </w:t>
              </w:r>
              <w:r w:rsidR="00EB0515">
                <w:rPr>
                  <w:noProof/>
                  <w:lang w:val="en-US"/>
                </w:rPr>
                <w:br/>
                <w:t xml:space="preserve">Available at: </w:t>
              </w:r>
              <w:r w:rsidR="00EB0515">
                <w:rPr>
                  <w:noProof/>
                  <w:u w:val="single"/>
                  <w:lang w:val="en-US"/>
                </w:rPr>
                <w:t>https://www.oswego.edu/cts/basics-about-cryptocurrency</w:t>
              </w:r>
              <w:r w:rsidR="00EB0515">
                <w:rPr>
                  <w:noProof/>
                  <w:lang w:val="en-US"/>
                </w:rPr>
                <w:br/>
                <w:t>[Accessed 19 Lipiec 2022].</w:t>
              </w:r>
            </w:p>
            <w:p w14:paraId="2FBA1E94" w14:textId="4308561F" w:rsidR="00D8207E" w:rsidRPr="00475E8F" w:rsidRDefault="00D8207E" w:rsidP="00EB0515">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3BA13D2F"/>
    <w:multiLevelType w:val="hybridMultilevel"/>
    <w:tmpl w:val="F01A9F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3400714">
    <w:abstractNumId w:val="7"/>
  </w:num>
  <w:num w:numId="2" w16cid:durableId="766733151">
    <w:abstractNumId w:val="12"/>
  </w:num>
  <w:num w:numId="3" w16cid:durableId="591204024">
    <w:abstractNumId w:val="0"/>
  </w:num>
  <w:num w:numId="4" w16cid:durableId="1117722420">
    <w:abstractNumId w:val="8"/>
  </w:num>
  <w:num w:numId="5" w16cid:durableId="1092238440">
    <w:abstractNumId w:val="14"/>
  </w:num>
  <w:num w:numId="6" w16cid:durableId="9915725">
    <w:abstractNumId w:val="13"/>
  </w:num>
  <w:num w:numId="7" w16cid:durableId="34621628">
    <w:abstractNumId w:val="1"/>
  </w:num>
  <w:num w:numId="8" w16cid:durableId="769081970">
    <w:abstractNumId w:val="9"/>
  </w:num>
  <w:num w:numId="9" w16cid:durableId="668413853">
    <w:abstractNumId w:val="10"/>
  </w:num>
  <w:num w:numId="10" w16cid:durableId="105777595">
    <w:abstractNumId w:val="11"/>
  </w:num>
  <w:num w:numId="11" w16cid:durableId="1656252080">
    <w:abstractNumId w:val="3"/>
  </w:num>
  <w:num w:numId="12" w16cid:durableId="1449736867">
    <w:abstractNumId w:val="6"/>
  </w:num>
  <w:num w:numId="13" w16cid:durableId="245119957">
    <w:abstractNumId w:val="2"/>
  </w:num>
  <w:num w:numId="14" w16cid:durableId="1557546336">
    <w:abstractNumId w:val="5"/>
  </w:num>
  <w:num w:numId="15" w16cid:durableId="1117288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16286"/>
    <w:rsid w:val="0002613A"/>
    <w:rsid w:val="00035505"/>
    <w:rsid w:val="0004534C"/>
    <w:rsid w:val="00045CA4"/>
    <w:rsid w:val="00050EB2"/>
    <w:rsid w:val="0007268A"/>
    <w:rsid w:val="000805A4"/>
    <w:rsid w:val="00082BC2"/>
    <w:rsid w:val="00090627"/>
    <w:rsid w:val="000944FE"/>
    <w:rsid w:val="000966C2"/>
    <w:rsid w:val="000B1684"/>
    <w:rsid w:val="000B4543"/>
    <w:rsid w:val="000C0FBA"/>
    <w:rsid w:val="000D6A93"/>
    <w:rsid w:val="000D7011"/>
    <w:rsid w:val="000E06F0"/>
    <w:rsid w:val="0010293B"/>
    <w:rsid w:val="0010503C"/>
    <w:rsid w:val="001122D3"/>
    <w:rsid w:val="00117775"/>
    <w:rsid w:val="0012357D"/>
    <w:rsid w:val="00126DD8"/>
    <w:rsid w:val="00134718"/>
    <w:rsid w:val="0013557C"/>
    <w:rsid w:val="00142346"/>
    <w:rsid w:val="00143219"/>
    <w:rsid w:val="001549B8"/>
    <w:rsid w:val="001579D3"/>
    <w:rsid w:val="001678BD"/>
    <w:rsid w:val="00181B3D"/>
    <w:rsid w:val="001B1869"/>
    <w:rsid w:val="001B20B5"/>
    <w:rsid w:val="001B46E4"/>
    <w:rsid w:val="001B502D"/>
    <w:rsid w:val="001C1893"/>
    <w:rsid w:val="001D433E"/>
    <w:rsid w:val="0020453C"/>
    <w:rsid w:val="00206E98"/>
    <w:rsid w:val="002125D6"/>
    <w:rsid w:val="00212D24"/>
    <w:rsid w:val="00227D09"/>
    <w:rsid w:val="00234689"/>
    <w:rsid w:val="0023749C"/>
    <w:rsid w:val="00247485"/>
    <w:rsid w:val="00256461"/>
    <w:rsid w:val="002607F5"/>
    <w:rsid w:val="0027320B"/>
    <w:rsid w:val="00276B00"/>
    <w:rsid w:val="00286E1C"/>
    <w:rsid w:val="002B0F74"/>
    <w:rsid w:val="002B227A"/>
    <w:rsid w:val="002B3204"/>
    <w:rsid w:val="002B36F7"/>
    <w:rsid w:val="002B3E58"/>
    <w:rsid w:val="002B738B"/>
    <w:rsid w:val="002C56A8"/>
    <w:rsid w:val="002D5F68"/>
    <w:rsid w:val="002E3FB3"/>
    <w:rsid w:val="002E7558"/>
    <w:rsid w:val="002F5613"/>
    <w:rsid w:val="00324F48"/>
    <w:rsid w:val="0033268A"/>
    <w:rsid w:val="00345C21"/>
    <w:rsid w:val="003505CD"/>
    <w:rsid w:val="003550FA"/>
    <w:rsid w:val="00363E4D"/>
    <w:rsid w:val="003748FE"/>
    <w:rsid w:val="003B16F0"/>
    <w:rsid w:val="003B4A8A"/>
    <w:rsid w:val="003C4C45"/>
    <w:rsid w:val="003C54E4"/>
    <w:rsid w:val="003C61CC"/>
    <w:rsid w:val="003E0834"/>
    <w:rsid w:val="003E7166"/>
    <w:rsid w:val="003F1E68"/>
    <w:rsid w:val="003F6546"/>
    <w:rsid w:val="00432BEB"/>
    <w:rsid w:val="00440B18"/>
    <w:rsid w:val="00440B22"/>
    <w:rsid w:val="004448C0"/>
    <w:rsid w:val="00450E38"/>
    <w:rsid w:val="00466ED5"/>
    <w:rsid w:val="00475E8F"/>
    <w:rsid w:val="00492468"/>
    <w:rsid w:val="00495103"/>
    <w:rsid w:val="004A52A9"/>
    <w:rsid w:val="004A54D3"/>
    <w:rsid w:val="004B1B6F"/>
    <w:rsid w:val="004C3300"/>
    <w:rsid w:val="004E0AB2"/>
    <w:rsid w:val="004E4C02"/>
    <w:rsid w:val="004E6423"/>
    <w:rsid w:val="00515170"/>
    <w:rsid w:val="00531C3A"/>
    <w:rsid w:val="005423D4"/>
    <w:rsid w:val="00542517"/>
    <w:rsid w:val="00545368"/>
    <w:rsid w:val="0058038B"/>
    <w:rsid w:val="00580AFB"/>
    <w:rsid w:val="005829EC"/>
    <w:rsid w:val="00595F17"/>
    <w:rsid w:val="00597A17"/>
    <w:rsid w:val="005A49AD"/>
    <w:rsid w:val="005A53BB"/>
    <w:rsid w:val="005A6CC1"/>
    <w:rsid w:val="005C5201"/>
    <w:rsid w:val="005D085B"/>
    <w:rsid w:val="005D2FDC"/>
    <w:rsid w:val="005F1005"/>
    <w:rsid w:val="005F4E58"/>
    <w:rsid w:val="0060047E"/>
    <w:rsid w:val="00601E26"/>
    <w:rsid w:val="0061563B"/>
    <w:rsid w:val="00630764"/>
    <w:rsid w:val="006310F3"/>
    <w:rsid w:val="006363D6"/>
    <w:rsid w:val="00637741"/>
    <w:rsid w:val="0066145D"/>
    <w:rsid w:val="0066450D"/>
    <w:rsid w:val="00681074"/>
    <w:rsid w:val="006968C4"/>
    <w:rsid w:val="006C30C7"/>
    <w:rsid w:val="006E5377"/>
    <w:rsid w:val="006F7085"/>
    <w:rsid w:val="0070611D"/>
    <w:rsid w:val="00707389"/>
    <w:rsid w:val="00722CC4"/>
    <w:rsid w:val="00723AB1"/>
    <w:rsid w:val="00725018"/>
    <w:rsid w:val="00731786"/>
    <w:rsid w:val="00732727"/>
    <w:rsid w:val="0074739C"/>
    <w:rsid w:val="00757F67"/>
    <w:rsid w:val="00771D11"/>
    <w:rsid w:val="007A2E41"/>
    <w:rsid w:val="007B016A"/>
    <w:rsid w:val="007B01BC"/>
    <w:rsid w:val="007B0336"/>
    <w:rsid w:val="007B0690"/>
    <w:rsid w:val="007C51B8"/>
    <w:rsid w:val="007E2675"/>
    <w:rsid w:val="007F0BF6"/>
    <w:rsid w:val="007F5BAF"/>
    <w:rsid w:val="00804576"/>
    <w:rsid w:val="00805875"/>
    <w:rsid w:val="0081211B"/>
    <w:rsid w:val="0081731B"/>
    <w:rsid w:val="008252DD"/>
    <w:rsid w:val="00825EAB"/>
    <w:rsid w:val="008275E2"/>
    <w:rsid w:val="0085104A"/>
    <w:rsid w:val="008678FF"/>
    <w:rsid w:val="00873417"/>
    <w:rsid w:val="0087342D"/>
    <w:rsid w:val="00873C0B"/>
    <w:rsid w:val="008756EC"/>
    <w:rsid w:val="0087664F"/>
    <w:rsid w:val="00882751"/>
    <w:rsid w:val="0089360A"/>
    <w:rsid w:val="00893B7D"/>
    <w:rsid w:val="008968B8"/>
    <w:rsid w:val="008A01B2"/>
    <w:rsid w:val="008A427C"/>
    <w:rsid w:val="008A46C3"/>
    <w:rsid w:val="008A693B"/>
    <w:rsid w:val="008A6B62"/>
    <w:rsid w:val="008C6102"/>
    <w:rsid w:val="008D6647"/>
    <w:rsid w:val="008E3537"/>
    <w:rsid w:val="008F0DC1"/>
    <w:rsid w:val="009057F3"/>
    <w:rsid w:val="00905E77"/>
    <w:rsid w:val="00907D89"/>
    <w:rsid w:val="00912AF7"/>
    <w:rsid w:val="00916CBF"/>
    <w:rsid w:val="00920505"/>
    <w:rsid w:val="009218AA"/>
    <w:rsid w:val="0092285B"/>
    <w:rsid w:val="00925EAC"/>
    <w:rsid w:val="00953B97"/>
    <w:rsid w:val="00964862"/>
    <w:rsid w:val="0097659F"/>
    <w:rsid w:val="00982B25"/>
    <w:rsid w:val="0099022C"/>
    <w:rsid w:val="0099412F"/>
    <w:rsid w:val="009978F2"/>
    <w:rsid w:val="009A4E22"/>
    <w:rsid w:val="009C1B2F"/>
    <w:rsid w:val="009D06E7"/>
    <w:rsid w:val="009D77EB"/>
    <w:rsid w:val="009F12A8"/>
    <w:rsid w:val="009F5761"/>
    <w:rsid w:val="009F6BD8"/>
    <w:rsid w:val="00A03EDF"/>
    <w:rsid w:val="00A15B4A"/>
    <w:rsid w:val="00A2100B"/>
    <w:rsid w:val="00A27A3D"/>
    <w:rsid w:val="00A34D80"/>
    <w:rsid w:val="00A572A0"/>
    <w:rsid w:val="00A6059A"/>
    <w:rsid w:val="00A72E05"/>
    <w:rsid w:val="00A976F8"/>
    <w:rsid w:val="00A97D8A"/>
    <w:rsid w:val="00AA5C84"/>
    <w:rsid w:val="00AB1E87"/>
    <w:rsid w:val="00AB3E65"/>
    <w:rsid w:val="00AC56EB"/>
    <w:rsid w:val="00AC5934"/>
    <w:rsid w:val="00AC77D5"/>
    <w:rsid w:val="00AD1E05"/>
    <w:rsid w:val="00AD6F5F"/>
    <w:rsid w:val="00AF73F1"/>
    <w:rsid w:val="00B0337B"/>
    <w:rsid w:val="00B07884"/>
    <w:rsid w:val="00B07F22"/>
    <w:rsid w:val="00B1101C"/>
    <w:rsid w:val="00B436B9"/>
    <w:rsid w:val="00B52290"/>
    <w:rsid w:val="00B60831"/>
    <w:rsid w:val="00B67171"/>
    <w:rsid w:val="00B67C96"/>
    <w:rsid w:val="00B70E75"/>
    <w:rsid w:val="00B9559F"/>
    <w:rsid w:val="00B97243"/>
    <w:rsid w:val="00BB2899"/>
    <w:rsid w:val="00BC235C"/>
    <w:rsid w:val="00BC398A"/>
    <w:rsid w:val="00BC433B"/>
    <w:rsid w:val="00BE261C"/>
    <w:rsid w:val="00BE4743"/>
    <w:rsid w:val="00BE6EF8"/>
    <w:rsid w:val="00BE75ED"/>
    <w:rsid w:val="00BF0CEC"/>
    <w:rsid w:val="00BF1AC4"/>
    <w:rsid w:val="00BF706A"/>
    <w:rsid w:val="00BF75C5"/>
    <w:rsid w:val="00C242C8"/>
    <w:rsid w:val="00C32AC3"/>
    <w:rsid w:val="00C453C3"/>
    <w:rsid w:val="00C479DC"/>
    <w:rsid w:val="00C55B2E"/>
    <w:rsid w:val="00C70502"/>
    <w:rsid w:val="00C91054"/>
    <w:rsid w:val="00C93764"/>
    <w:rsid w:val="00C97F74"/>
    <w:rsid w:val="00CA6861"/>
    <w:rsid w:val="00CB409C"/>
    <w:rsid w:val="00CD7BB8"/>
    <w:rsid w:val="00CF2783"/>
    <w:rsid w:val="00CF5E4C"/>
    <w:rsid w:val="00CF68B1"/>
    <w:rsid w:val="00D04859"/>
    <w:rsid w:val="00D11AB8"/>
    <w:rsid w:val="00D15D11"/>
    <w:rsid w:val="00D25311"/>
    <w:rsid w:val="00D26291"/>
    <w:rsid w:val="00D33672"/>
    <w:rsid w:val="00D51329"/>
    <w:rsid w:val="00D55408"/>
    <w:rsid w:val="00D57FA4"/>
    <w:rsid w:val="00D7683B"/>
    <w:rsid w:val="00D81471"/>
    <w:rsid w:val="00D8207E"/>
    <w:rsid w:val="00D83FA6"/>
    <w:rsid w:val="00D95074"/>
    <w:rsid w:val="00D9685D"/>
    <w:rsid w:val="00DB0CCD"/>
    <w:rsid w:val="00DB128E"/>
    <w:rsid w:val="00DB2104"/>
    <w:rsid w:val="00DC11F6"/>
    <w:rsid w:val="00DE531E"/>
    <w:rsid w:val="00DF0CD9"/>
    <w:rsid w:val="00E015F9"/>
    <w:rsid w:val="00E04872"/>
    <w:rsid w:val="00E054D3"/>
    <w:rsid w:val="00E13199"/>
    <w:rsid w:val="00E136AB"/>
    <w:rsid w:val="00E1684F"/>
    <w:rsid w:val="00E27A8E"/>
    <w:rsid w:val="00E30C6E"/>
    <w:rsid w:val="00E4050E"/>
    <w:rsid w:val="00E608B8"/>
    <w:rsid w:val="00E626D9"/>
    <w:rsid w:val="00E74343"/>
    <w:rsid w:val="00E74E31"/>
    <w:rsid w:val="00E80035"/>
    <w:rsid w:val="00E96B30"/>
    <w:rsid w:val="00E97F31"/>
    <w:rsid w:val="00EA0E5C"/>
    <w:rsid w:val="00EB0515"/>
    <w:rsid w:val="00EB1AB3"/>
    <w:rsid w:val="00EC16B4"/>
    <w:rsid w:val="00ED1AAB"/>
    <w:rsid w:val="00ED4CFB"/>
    <w:rsid w:val="00EE0A72"/>
    <w:rsid w:val="00F06876"/>
    <w:rsid w:val="00F213F7"/>
    <w:rsid w:val="00F226E1"/>
    <w:rsid w:val="00F27EFC"/>
    <w:rsid w:val="00F30032"/>
    <w:rsid w:val="00F3129D"/>
    <w:rsid w:val="00F34856"/>
    <w:rsid w:val="00F3486A"/>
    <w:rsid w:val="00F53FC2"/>
    <w:rsid w:val="00F61FA6"/>
    <w:rsid w:val="00F62A37"/>
    <w:rsid w:val="00F63AF8"/>
    <w:rsid w:val="00F6463F"/>
    <w:rsid w:val="00F74F44"/>
    <w:rsid w:val="00F75EF9"/>
    <w:rsid w:val="00F8178A"/>
    <w:rsid w:val="00F85D7A"/>
    <w:rsid w:val="00F90666"/>
    <w:rsid w:val="00F91ACE"/>
    <w:rsid w:val="00F973DC"/>
    <w:rsid w:val="00FA27EC"/>
    <w:rsid w:val="00FA29B6"/>
    <w:rsid w:val="00FA7993"/>
    <w:rsid w:val="00FB230E"/>
    <w:rsid w:val="00FC143A"/>
    <w:rsid w:val="00FC563B"/>
    <w:rsid w:val="00FE5E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F85D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D820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semiHidden/>
    <w:rsid w:val="00F85D7A"/>
    <w:rPr>
      <w:rFonts w:asciiTheme="majorHAnsi" w:eastAsiaTheme="majorEastAsia" w:hAnsiTheme="majorHAnsi" w:cstheme="majorBidi"/>
      <w:color w:val="1F4D78" w:themeColor="accent1" w:themeShade="7F"/>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2</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3</b:RefOrder>
  </b:Source>
  <b:Source>
    <b:Tag>SOF23</b:Tag>
    <b:SourceType>InternetSite</b:SourceType>
    <b:Guid>{58721C0C-C121-4942-A754-9DD71C82128F}</b:Guid>
    <b:Title>Software Testing Help</b:Title>
    <b:Year>2023</b:Year>
    <b:YearAccessed>2023</b:YearAccessed>
    <b:MonthAccessed>Luty</b:MonthAccessed>
    <b:DayAccessed>13</b:DayAccessed>
    <b:URL>https://www.softwaretestinghelp.com/types-of-cryptocurrency/</b:URL>
    <b:RefOrder>5</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4</b:RefOrder>
  </b:Source>
</b:Sources>
</file>

<file path=customXml/itemProps1.xml><?xml version="1.0" encoding="utf-8"?>
<ds:datastoreItem xmlns:ds="http://schemas.openxmlformats.org/officeDocument/2006/customXml" ds:itemID="{B211E69B-8204-4694-ACE1-0312E044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1840</TotalTime>
  <Pages>14</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251</cp:revision>
  <dcterms:created xsi:type="dcterms:W3CDTF">2021-12-28T19:47:00Z</dcterms:created>
  <dcterms:modified xsi:type="dcterms:W3CDTF">2023-02-13T17:43:00Z</dcterms:modified>
</cp:coreProperties>
</file>