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4AA57" w14:textId="666FB055" w:rsidR="00B6175D" w:rsidRPr="009A0EDB" w:rsidRDefault="009D7CDE" w:rsidP="00B6175D">
      <w:pPr>
        <w:rPr>
          <w:noProof/>
          <w:lang w:val="en-CA"/>
        </w:rPr>
      </w:pPr>
      <w:r>
        <w:rPr>
          <w:b/>
          <w:bCs/>
          <w:noProof/>
          <w:u w:val="single"/>
          <w:lang w:val="en-CA"/>
        </w:rPr>
        <w:t>Protocol</w:t>
      </w:r>
    </w:p>
    <w:p w14:paraId="40D7C151" w14:textId="77777777" w:rsidR="00B6175D" w:rsidRPr="009A0EDB" w:rsidRDefault="00B6175D" w:rsidP="00B6175D">
      <w:pPr>
        <w:rPr>
          <w:b/>
          <w:bCs/>
          <w:noProof/>
          <w:lang w:val="en-CA"/>
        </w:rPr>
      </w:pPr>
    </w:p>
    <w:p w14:paraId="3020280E" w14:textId="77777777" w:rsidR="00B6175D" w:rsidRPr="009A0EDB" w:rsidRDefault="00B6175D" w:rsidP="00B6175D">
      <w:pPr>
        <w:rPr>
          <w:b/>
          <w:bCs/>
          <w:noProof/>
          <w:lang w:val="en-CA"/>
        </w:rPr>
      </w:pPr>
      <w:r w:rsidRPr="009A0EDB">
        <w:rPr>
          <w:b/>
          <w:bCs/>
          <w:noProof/>
          <w:lang w:val="en-CA"/>
        </w:rPr>
        <w:t xml:space="preserve">Article Title: </w:t>
      </w:r>
    </w:p>
    <w:p w14:paraId="5CAD5C94" w14:textId="77777777" w:rsidR="00B6175D" w:rsidRDefault="00B6175D" w:rsidP="00B6175D">
      <w:pPr>
        <w:rPr>
          <w:bCs/>
          <w:noProof/>
          <w:lang w:val="en-US"/>
        </w:rPr>
      </w:pPr>
      <w:r w:rsidRPr="00CB6A2C">
        <w:rPr>
          <w:bCs/>
          <w:noProof/>
          <w:lang w:val="en-US"/>
        </w:rPr>
        <w:t>Systematic Review and Meta-Analysis on Efficacy and Safety of Cemiplimab in Locally Advanced and Metastatic Squamous Cell Carcinoma</w:t>
      </w:r>
    </w:p>
    <w:p w14:paraId="01C57C27" w14:textId="77777777" w:rsidR="00B6175D" w:rsidRPr="009A0EDB" w:rsidRDefault="00B6175D" w:rsidP="00B6175D">
      <w:pPr>
        <w:rPr>
          <w:noProof/>
          <w:lang w:val="en-CA"/>
        </w:rPr>
      </w:pPr>
    </w:p>
    <w:p w14:paraId="1038843E" w14:textId="77777777" w:rsidR="00B6175D" w:rsidRPr="009A0EDB" w:rsidRDefault="00B6175D" w:rsidP="00B6175D">
      <w:pPr>
        <w:rPr>
          <w:noProof/>
          <w:lang w:val="en-CA"/>
        </w:rPr>
      </w:pPr>
      <w:r w:rsidRPr="009A0EDB">
        <w:rPr>
          <w:b/>
          <w:bCs/>
          <w:noProof/>
          <w:lang w:val="en-CA"/>
        </w:rPr>
        <w:t>Author(s) list</w:t>
      </w:r>
      <w:r w:rsidRPr="009A0EDB">
        <w:rPr>
          <w:noProof/>
          <w:lang w:val="en-CA"/>
        </w:rPr>
        <w:t>:</w:t>
      </w:r>
    </w:p>
    <w:p w14:paraId="6335E81C" w14:textId="77777777" w:rsidR="00B6175D" w:rsidRDefault="00B6175D" w:rsidP="00B6175D">
      <w:pPr>
        <w:rPr>
          <w:noProof/>
          <w:vertAlign w:val="superscript"/>
          <w:lang w:val="en-CA"/>
        </w:rPr>
      </w:pPr>
      <w:r>
        <w:rPr>
          <w:noProof/>
          <w:lang w:val="en-CA"/>
        </w:rPr>
        <w:t>Maxine Joly-Chevrier</w:t>
      </w:r>
      <w:r w:rsidRPr="009A0EDB">
        <w:rPr>
          <w:noProof/>
          <w:vertAlign w:val="superscript"/>
          <w:lang w:val="en-CA"/>
        </w:rPr>
        <w:t>1</w:t>
      </w:r>
    </w:p>
    <w:p w14:paraId="261663BF" w14:textId="77777777" w:rsidR="00B6175D" w:rsidRPr="009A0EDB" w:rsidRDefault="00B6175D" w:rsidP="00B6175D">
      <w:pPr>
        <w:rPr>
          <w:noProof/>
          <w:vertAlign w:val="superscript"/>
          <w:lang w:val="en-CA"/>
        </w:rPr>
      </w:pPr>
      <w:r>
        <w:rPr>
          <w:noProof/>
          <w:lang w:val="en-CA"/>
        </w:rPr>
        <w:t>Safin Aly</w:t>
      </w:r>
      <w:r w:rsidRPr="009A0EDB">
        <w:rPr>
          <w:noProof/>
          <w:vertAlign w:val="superscript"/>
          <w:lang w:val="en-CA"/>
        </w:rPr>
        <w:t>1</w:t>
      </w:r>
    </w:p>
    <w:p w14:paraId="43FD6D9A" w14:textId="77777777" w:rsidR="00B6175D" w:rsidRPr="009A0EDB" w:rsidRDefault="00B6175D" w:rsidP="00B6175D">
      <w:pPr>
        <w:rPr>
          <w:noProof/>
          <w:vertAlign w:val="superscript"/>
          <w:lang w:val="en-CA"/>
        </w:rPr>
      </w:pPr>
      <w:r w:rsidRPr="009A0EDB">
        <w:rPr>
          <w:noProof/>
          <w:lang w:val="en-CA"/>
        </w:rPr>
        <w:t>Pingxing Xie, MD, PhD</w:t>
      </w:r>
      <w:r w:rsidRPr="009A0EDB">
        <w:rPr>
          <w:noProof/>
          <w:vertAlign w:val="superscript"/>
          <w:lang w:val="en-CA"/>
        </w:rPr>
        <w:t>2</w:t>
      </w:r>
    </w:p>
    <w:p w14:paraId="6C629744" w14:textId="77777777" w:rsidR="00B6175D" w:rsidRPr="009A0EDB" w:rsidRDefault="00B6175D" w:rsidP="00B6175D">
      <w:pPr>
        <w:rPr>
          <w:noProof/>
        </w:rPr>
      </w:pPr>
      <w:r w:rsidRPr="009A0EDB">
        <w:rPr>
          <w:noProof/>
        </w:rPr>
        <w:t>Philippe Lefrançois, MD, PhD, FRCPC, DABD</w:t>
      </w:r>
      <w:r w:rsidRPr="009A0EDB">
        <w:rPr>
          <w:noProof/>
          <w:vertAlign w:val="superscript"/>
        </w:rPr>
        <w:t>2,3,4</w:t>
      </w:r>
      <w:r w:rsidRPr="009A0EDB">
        <w:rPr>
          <w:noProof/>
        </w:rPr>
        <w:t xml:space="preserve"> </w:t>
      </w:r>
    </w:p>
    <w:p w14:paraId="1D52023E" w14:textId="77777777" w:rsidR="00B6175D" w:rsidRPr="009A0EDB" w:rsidRDefault="00B6175D" w:rsidP="00B6175D">
      <w:pPr>
        <w:rPr>
          <w:noProof/>
        </w:rPr>
      </w:pPr>
    </w:p>
    <w:p w14:paraId="6E2CC5C9" w14:textId="77777777" w:rsidR="00B6175D" w:rsidRPr="009A0EDB" w:rsidRDefault="00B6175D" w:rsidP="00B6175D">
      <w:pPr>
        <w:rPr>
          <w:b/>
          <w:bCs/>
          <w:noProof/>
          <w:lang w:val="en-CA"/>
        </w:rPr>
      </w:pPr>
      <w:r w:rsidRPr="009A0EDB">
        <w:rPr>
          <w:b/>
          <w:bCs/>
          <w:noProof/>
          <w:lang w:val="en-CA"/>
        </w:rPr>
        <w:t>Affiliation(s):</w:t>
      </w:r>
    </w:p>
    <w:p w14:paraId="46AC91E0" w14:textId="77777777" w:rsidR="00B6175D" w:rsidRPr="009A0EDB" w:rsidRDefault="00B6175D" w:rsidP="00B6175D">
      <w:pPr>
        <w:rPr>
          <w:noProof/>
          <w:lang w:val="en-US"/>
        </w:rPr>
      </w:pPr>
      <w:r w:rsidRPr="009A0EDB">
        <w:rPr>
          <w:noProof/>
          <w:vertAlign w:val="superscript"/>
          <w:lang w:val="en-US"/>
        </w:rPr>
        <w:t>1</w:t>
      </w:r>
      <w:r w:rsidRPr="0073096F">
        <w:rPr>
          <w:noProof/>
          <w:lang w:val="en-US"/>
        </w:rPr>
        <w:t>Faculty of Medicine, Université de Montréal, Montreal, QC, Canada</w:t>
      </w:r>
    </w:p>
    <w:p w14:paraId="656520E7" w14:textId="77777777" w:rsidR="00B6175D" w:rsidRPr="009A0EDB" w:rsidRDefault="00B6175D" w:rsidP="00B6175D">
      <w:pPr>
        <w:rPr>
          <w:noProof/>
          <w:lang w:val="en-US"/>
        </w:rPr>
      </w:pPr>
      <w:r w:rsidRPr="009A0EDB">
        <w:rPr>
          <w:noProof/>
          <w:vertAlign w:val="superscript"/>
          <w:lang w:val="en-US"/>
        </w:rPr>
        <w:t>2</w:t>
      </w:r>
      <w:r w:rsidRPr="009A0EDB">
        <w:rPr>
          <w:noProof/>
          <w:lang w:val="en-US"/>
        </w:rPr>
        <w:t>Division of Dermatology, Department of Medicine, McGill University, Montreal, QC Canada</w:t>
      </w:r>
    </w:p>
    <w:p w14:paraId="73AC38A6" w14:textId="77777777" w:rsidR="00B6175D" w:rsidRPr="009A0EDB" w:rsidRDefault="00B6175D" w:rsidP="00B6175D">
      <w:pPr>
        <w:rPr>
          <w:noProof/>
          <w:lang w:val="en-US"/>
        </w:rPr>
      </w:pPr>
      <w:r w:rsidRPr="009A0EDB">
        <w:rPr>
          <w:noProof/>
          <w:vertAlign w:val="superscript"/>
          <w:lang w:val="en-US"/>
        </w:rPr>
        <w:t>3</w:t>
      </w:r>
      <w:r w:rsidRPr="009A0EDB">
        <w:rPr>
          <w:noProof/>
          <w:lang w:val="en-US"/>
        </w:rPr>
        <w:t>Division of Dermatology, Department of Medicine, Jewish General Hospital, Montreal, QC Canada</w:t>
      </w:r>
    </w:p>
    <w:p w14:paraId="31062660" w14:textId="77777777" w:rsidR="00B6175D" w:rsidRPr="009A0EDB" w:rsidRDefault="00B6175D" w:rsidP="00B6175D">
      <w:pPr>
        <w:rPr>
          <w:noProof/>
          <w:lang w:val="en-US"/>
        </w:rPr>
      </w:pPr>
      <w:r w:rsidRPr="009A0EDB">
        <w:rPr>
          <w:noProof/>
          <w:vertAlign w:val="superscript"/>
          <w:lang w:val="en-US"/>
        </w:rPr>
        <w:t>4</w:t>
      </w:r>
      <w:r w:rsidRPr="009A0EDB">
        <w:rPr>
          <w:noProof/>
          <w:lang w:val="en-US"/>
        </w:rPr>
        <w:t>Lady Davis Institute for Medical Research, Montreal, QC Canada</w:t>
      </w:r>
    </w:p>
    <w:p w14:paraId="53FB0445" w14:textId="77777777" w:rsidR="00B6175D" w:rsidRPr="009A0EDB" w:rsidRDefault="00B6175D" w:rsidP="00B6175D">
      <w:pPr>
        <w:rPr>
          <w:noProof/>
          <w:lang w:val="en-US"/>
        </w:rPr>
      </w:pPr>
    </w:p>
    <w:p w14:paraId="5FDFAB46" w14:textId="77777777" w:rsidR="00B6175D" w:rsidRPr="009A0EDB" w:rsidRDefault="00B6175D" w:rsidP="00B6175D">
      <w:pPr>
        <w:rPr>
          <w:b/>
          <w:bCs/>
          <w:noProof/>
          <w:lang w:val="en-CA"/>
        </w:rPr>
      </w:pPr>
      <w:r w:rsidRPr="009A0EDB">
        <w:rPr>
          <w:b/>
          <w:bCs/>
          <w:noProof/>
          <w:lang w:val="en-CA"/>
        </w:rPr>
        <w:t>Corresponding author:</w:t>
      </w:r>
    </w:p>
    <w:p w14:paraId="22BA7EF6" w14:textId="77777777" w:rsidR="00B6175D" w:rsidRPr="009A0EDB" w:rsidRDefault="00B6175D" w:rsidP="00B6175D">
      <w:pPr>
        <w:rPr>
          <w:noProof/>
          <w:lang w:val="en-CA"/>
        </w:rPr>
      </w:pPr>
      <w:r w:rsidRPr="009A0EDB">
        <w:rPr>
          <w:noProof/>
          <w:lang w:val="en-CA"/>
        </w:rPr>
        <w:t>Philippe Lefrançois [philippe.lefrancois2@mcgill.ca]</w:t>
      </w:r>
    </w:p>
    <w:p w14:paraId="67A577BC" w14:textId="77777777" w:rsidR="00B6175D" w:rsidRDefault="00B6175D" w:rsidP="00B6175D">
      <w:pPr>
        <w:rPr>
          <w:noProof/>
          <w:lang w:val="en-US"/>
        </w:rPr>
      </w:pPr>
      <w:r>
        <w:rPr>
          <w:noProof/>
          <w:lang w:val="en-US"/>
        </w:rPr>
        <w:br w:type="page"/>
      </w:r>
    </w:p>
    <w:p w14:paraId="51EF555E" w14:textId="77777777" w:rsidR="00B6175D" w:rsidRDefault="00B6175D" w:rsidP="00B6175D">
      <w:pPr>
        <w:spacing w:after="0" w:line="240" w:lineRule="auto"/>
        <w:rPr>
          <w:rFonts w:ascii="Arial" w:eastAsia="Times New Roman" w:hAnsi="Arial" w:cs="Arial"/>
          <w:b/>
          <w:bCs/>
          <w:color w:val="000000"/>
          <w:kern w:val="0"/>
          <w:lang w:val="en-US" w:eastAsia="fr-CA"/>
          <w14:ligatures w14:val="none"/>
        </w:rPr>
      </w:pPr>
      <w:r>
        <w:rPr>
          <w:rFonts w:ascii="Arial" w:eastAsia="Times New Roman" w:hAnsi="Arial" w:cs="Arial"/>
          <w:b/>
          <w:bCs/>
          <w:color w:val="000000"/>
          <w:kern w:val="0"/>
          <w:lang w:val="en-US" w:eastAsia="fr-CA"/>
          <w14:ligatures w14:val="none"/>
        </w:rPr>
        <w:lastRenderedPageBreak/>
        <w:t xml:space="preserve">PROTOCOL </w:t>
      </w:r>
    </w:p>
    <w:p w14:paraId="5A93F768" w14:textId="54C241AB" w:rsidR="00A3516D" w:rsidRDefault="00A3516D" w:rsidP="00B6175D">
      <w:pPr>
        <w:spacing w:after="0" w:line="240" w:lineRule="auto"/>
        <w:rPr>
          <w:rFonts w:ascii="Arial" w:eastAsia="Times New Roman" w:hAnsi="Arial" w:cs="Arial"/>
          <w:b/>
          <w:bCs/>
          <w:color w:val="000000"/>
          <w:kern w:val="0"/>
          <w:lang w:val="en-US" w:eastAsia="fr-CA"/>
          <w14:ligatures w14:val="none"/>
        </w:rPr>
      </w:pPr>
    </w:p>
    <w:p w14:paraId="273B83A8" w14:textId="44FB83CD" w:rsidR="00A3516D" w:rsidRDefault="00A3516D" w:rsidP="00B6175D">
      <w:pPr>
        <w:spacing w:after="0" w:line="240" w:lineRule="auto"/>
        <w:rPr>
          <w:rFonts w:ascii="Arial" w:eastAsia="Times New Roman" w:hAnsi="Arial" w:cs="Arial"/>
          <w:b/>
          <w:bCs/>
          <w:color w:val="000000"/>
          <w:kern w:val="0"/>
          <w:lang w:val="en-US" w:eastAsia="fr-CA"/>
          <w14:ligatures w14:val="none"/>
        </w:rPr>
      </w:pPr>
      <w:r>
        <w:rPr>
          <w:rFonts w:ascii="Arial" w:eastAsia="Times New Roman" w:hAnsi="Arial" w:cs="Arial"/>
          <w:b/>
          <w:bCs/>
          <w:color w:val="000000"/>
          <w:kern w:val="0"/>
          <w:lang w:val="en-US" w:eastAsia="fr-CA"/>
          <w14:ligatures w14:val="none"/>
        </w:rPr>
        <w:t>Objectives</w:t>
      </w:r>
    </w:p>
    <w:p w14:paraId="475E9EC2" w14:textId="77777777" w:rsidR="00396F7F" w:rsidRDefault="00396F7F" w:rsidP="00B6175D">
      <w:pPr>
        <w:spacing w:after="0" w:line="240" w:lineRule="auto"/>
        <w:rPr>
          <w:rFonts w:ascii="Arial" w:eastAsia="Times New Roman" w:hAnsi="Arial" w:cs="Arial"/>
          <w:b/>
          <w:bCs/>
          <w:color w:val="000000"/>
          <w:kern w:val="0"/>
          <w:lang w:val="en-US" w:eastAsia="fr-CA"/>
          <w14:ligatures w14:val="none"/>
        </w:rPr>
      </w:pPr>
    </w:p>
    <w:p w14:paraId="6759B4F1" w14:textId="70B62DF2" w:rsidR="00396F7F" w:rsidRPr="001C459C" w:rsidRDefault="00396F7F" w:rsidP="001C459C">
      <w:pPr>
        <w:pStyle w:val="Paragraphedeliste"/>
        <w:numPr>
          <w:ilvl w:val="0"/>
          <w:numId w:val="1"/>
        </w:numPr>
        <w:rPr>
          <w:rFonts w:ascii="Arial" w:eastAsia="Times New Roman" w:hAnsi="Arial" w:cs="Arial"/>
          <w:color w:val="000000"/>
          <w:kern w:val="0"/>
          <w:lang w:val="en-US" w:eastAsia="fr-CA"/>
          <w14:ligatures w14:val="none"/>
        </w:rPr>
      </w:pPr>
      <w:r>
        <w:rPr>
          <w:rFonts w:ascii="Arial" w:eastAsia="Times New Roman" w:hAnsi="Arial" w:cs="Arial"/>
          <w:color w:val="000000"/>
          <w:kern w:val="0"/>
          <w:lang w:val="en-US" w:eastAsia="fr-CA"/>
          <w14:ligatures w14:val="none"/>
        </w:rPr>
        <w:t xml:space="preserve">To assess the </w:t>
      </w:r>
      <w:r w:rsidR="001C459C">
        <w:rPr>
          <w:rFonts w:ascii="Arial" w:eastAsia="Times New Roman" w:hAnsi="Arial" w:cs="Arial"/>
          <w:color w:val="000000"/>
          <w:kern w:val="0"/>
          <w:lang w:val="en-US" w:eastAsia="fr-CA"/>
          <w14:ligatures w14:val="none"/>
        </w:rPr>
        <w:t xml:space="preserve">real-world </w:t>
      </w:r>
      <w:r>
        <w:rPr>
          <w:rFonts w:ascii="Arial" w:eastAsia="Times New Roman" w:hAnsi="Arial" w:cs="Arial"/>
          <w:color w:val="000000"/>
          <w:kern w:val="0"/>
          <w:lang w:val="en-US" w:eastAsia="fr-CA"/>
          <w14:ligatures w14:val="none"/>
        </w:rPr>
        <w:t xml:space="preserve">efficacy of </w:t>
      </w:r>
      <w:proofErr w:type="spellStart"/>
      <w:r>
        <w:rPr>
          <w:rFonts w:ascii="Arial" w:eastAsia="Times New Roman" w:hAnsi="Arial" w:cs="Arial"/>
          <w:color w:val="000000"/>
          <w:kern w:val="0"/>
          <w:lang w:val="en-US" w:eastAsia="fr-CA"/>
          <w14:ligatures w14:val="none"/>
        </w:rPr>
        <w:t>cemiplimab</w:t>
      </w:r>
      <w:proofErr w:type="spellEnd"/>
      <w:r>
        <w:rPr>
          <w:rFonts w:ascii="Arial" w:eastAsia="Times New Roman" w:hAnsi="Arial" w:cs="Arial"/>
          <w:color w:val="000000"/>
          <w:kern w:val="0"/>
          <w:lang w:val="en-US" w:eastAsia="fr-CA"/>
          <w14:ligatures w14:val="none"/>
        </w:rPr>
        <w:t xml:space="preserve"> </w:t>
      </w:r>
      <w:r w:rsidR="001C459C">
        <w:rPr>
          <w:rFonts w:ascii="Arial" w:eastAsia="Times New Roman" w:hAnsi="Arial" w:cs="Arial"/>
          <w:color w:val="000000"/>
          <w:kern w:val="0"/>
          <w:lang w:val="en-US" w:eastAsia="fr-CA"/>
          <w14:ligatures w14:val="none"/>
        </w:rPr>
        <w:t xml:space="preserve">in terms of response rates </w:t>
      </w:r>
      <w:r w:rsidR="001C459C" w:rsidRPr="00396F7F">
        <w:rPr>
          <w:rFonts w:ascii="Arial" w:eastAsia="Times New Roman" w:hAnsi="Arial" w:cs="Arial"/>
          <w:color w:val="000000"/>
          <w:kern w:val="0"/>
          <w:lang w:val="en-US" w:eastAsia="fr-CA"/>
          <w14:ligatures w14:val="none"/>
        </w:rPr>
        <w:t>in patients with locally advanced or metastatic squamous cell carcinoma.</w:t>
      </w:r>
    </w:p>
    <w:p w14:paraId="77462ADD" w14:textId="2AA79ED0" w:rsidR="00396F7F" w:rsidRPr="00396F7F" w:rsidRDefault="00396F7F" w:rsidP="00396F7F">
      <w:pPr>
        <w:pStyle w:val="Paragraphedeliste"/>
        <w:numPr>
          <w:ilvl w:val="0"/>
          <w:numId w:val="1"/>
        </w:numPr>
        <w:rPr>
          <w:rFonts w:ascii="Arial" w:eastAsia="Times New Roman" w:hAnsi="Arial" w:cs="Arial"/>
          <w:color w:val="000000"/>
          <w:kern w:val="0"/>
          <w:lang w:val="en-US" w:eastAsia="fr-CA"/>
          <w14:ligatures w14:val="none"/>
        </w:rPr>
      </w:pPr>
      <w:r w:rsidRPr="00396F7F">
        <w:rPr>
          <w:rFonts w:ascii="Arial" w:eastAsia="Times New Roman" w:hAnsi="Arial" w:cs="Arial"/>
          <w:color w:val="000000"/>
          <w:kern w:val="0"/>
          <w:lang w:val="en-US" w:eastAsia="fr-CA"/>
          <w14:ligatures w14:val="none"/>
        </w:rPr>
        <w:t xml:space="preserve">To assess the </w:t>
      </w:r>
      <w:r w:rsidR="001C459C">
        <w:rPr>
          <w:rFonts w:ascii="Arial" w:eastAsia="Times New Roman" w:hAnsi="Arial" w:cs="Arial"/>
          <w:color w:val="000000"/>
          <w:kern w:val="0"/>
          <w:lang w:val="en-US" w:eastAsia="fr-CA"/>
          <w14:ligatures w14:val="none"/>
        </w:rPr>
        <w:t xml:space="preserve">real-world </w:t>
      </w:r>
      <w:r w:rsidRPr="00396F7F">
        <w:rPr>
          <w:rFonts w:ascii="Arial" w:eastAsia="Times New Roman" w:hAnsi="Arial" w:cs="Arial"/>
          <w:color w:val="000000"/>
          <w:kern w:val="0"/>
          <w:lang w:val="en-US" w:eastAsia="fr-CA"/>
          <w14:ligatures w14:val="none"/>
        </w:rPr>
        <w:t xml:space="preserve">safety of </w:t>
      </w:r>
      <w:proofErr w:type="spellStart"/>
      <w:r w:rsidRPr="00396F7F">
        <w:rPr>
          <w:rFonts w:ascii="Arial" w:eastAsia="Times New Roman" w:hAnsi="Arial" w:cs="Arial"/>
          <w:color w:val="000000"/>
          <w:kern w:val="0"/>
          <w:lang w:val="en-US" w:eastAsia="fr-CA"/>
          <w14:ligatures w14:val="none"/>
        </w:rPr>
        <w:t>cemiplimab</w:t>
      </w:r>
      <w:proofErr w:type="spellEnd"/>
      <w:r w:rsidRPr="00396F7F">
        <w:rPr>
          <w:rFonts w:ascii="Arial" w:eastAsia="Times New Roman" w:hAnsi="Arial" w:cs="Arial"/>
          <w:color w:val="000000"/>
          <w:kern w:val="0"/>
          <w:lang w:val="en-US" w:eastAsia="fr-CA"/>
          <w14:ligatures w14:val="none"/>
        </w:rPr>
        <w:t xml:space="preserve"> in terms of adverse events and serious adverse events in patients with locally advanced or metastatic squamous cell carcinoma.</w:t>
      </w:r>
    </w:p>
    <w:p w14:paraId="65AACA77" w14:textId="77777777" w:rsidR="00B6175D" w:rsidRPr="00E0218E" w:rsidRDefault="00B6175D" w:rsidP="00B6175D">
      <w:pPr>
        <w:spacing w:after="0" w:line="240" w:lineRule="auto"/>
        <w:rPr>
          <w:rFonts w:ascii="Arial" w:eastAsia="Times New Roman" w:hAnsi="Arial" w:cs="Arial"/>
          <w:color w:val="000000"/>
          <w:kern w:val="0"/>
          <w:lang w:val="en-US" w:eastAsia="fr-CA"/>
          <w14:ligatures w14:val="none"/>
        </w:rPr>
      </w:pPr>
    </w:p>
    <w:p w14:paraId="642636D5" w14:textId="77777777" w:rsidR="00B6175D" w:rsidRPr="00A3516D" w:rsidRDefault="00B6175D" w:rsidP="00B6175D">
      <w:pPr>
        <w:spacing w:after="0" w:line="240" w:lineRule="auto"/>
        <w:rPr>
          <w:rFonts w:ascii="Arial" w:eastAsia="Times New Roman" w:hAnsi="Arial" w:cs="Arial"/>
          <w:b/>
          <w:bCs/>
          <w:color w:val="000000"/>
          <w:kern w:val="0"/>
          <w:lang w:val="en-US" w:eastAsia="fr-CA"/>
          <w14:ligatures w14:val="none"/>
        </w:rPr>
      </w:pPr>
      <w:r w:rsidRPr="00A3516D">
        <w:rPr>
          <w:rFonts w:ascii="Arial" w:eastAsia="Times New Roman" w:hAnsi="Arial" w:cs="Arial"/>
          <w:b/>
          <w:bCs/>
          <w:color w:val="000000"/>
          <w:kern w:val="0"/>
          <w:lang w:val="en-US" w:eastAsia="fr-CA"/>
          <w14:ligatures w14:val="none"/>
        </w:rPr>
        <w:t>Search Strategies</w:t>
      </w:r>
    </w:p>
    <w:p w14:paraId="29127008" w14:textId="77777777" w:rsidR="00B6175D" w:rsidRPr="00E0218E" w:rsidRDefault="00B6175D" w:rsidP="00B6175D">
      <w:pPr>
        <w:spacing w:after="0" w:line="240" w:lineRule="auto"/>
        <w:rPr>
          <w:rFonts w:ascii="Arial" w:eastAsia="Times New Roman" w:hAnsi="Arial" w:cs="Arial"/>
          <w:color w:val="000000"/>
          <w:kern w:val="0"/>
          <w:lang w:val="en-US" w:eastAsia="fr-CA"/>
          <w14:ligatures w14:val="none"/>
        </w:rPr>
      </w:pPr>
    </w:p>
    <w:p w14:paraId="4360B6E7" w14:textId="027BC10C" w:rsidR="00B6175D" w:rsidRDefault="00B6175D" w:rsidP="00B6175D">
      <w:pPr>
        <w:spacing w:after="0" w:line="240" w:lineRule="auto"/>
        <w:rPr>
          <w:rFonts w:ascii="Arial" w:eastAsia="Times New Roman" w:hAnsi="Arial" w:cs="Arial"/>
          <w:color w:val="000000"/>
          <w:kern w:val="0"/>
          <w:lang w:val="en-US" w:eastAsia="fr-CA"/>
          <w14:ligatures w14:val="none"/>
        </w:rPr>
      </w:pPr>
      <w:r w:rsidRPr="00950A03">
        <w:rPr>
          <w:rFonts w:ascii="Arial" w:eastAsia="Times New Roman" w:hAnsi="Arial" w:cs="Arial"/>
          <w:color w:val="000000"/>
          <w:kern w:val="0"/>
          <w:lang w:val="en-US" w:eastAsia="fr-CA"/>
          <w14:ligatures w14:val="none"/>
        </w:rPr>
        <w:t>Electronic databases including Medline, ClinicalTrials.gov, Embase, and Cochrane Central Register of Clinical Trials were searched following the Preferred Reporting Items for Systematic Reviews and Meta-Analyses</w:t>
      </w:r>
      <w:r w:rsidRPr="00E0218E">
        <w:rPr>
          <w:rFonts w:ascii="Arial" w:eastAsia="Times New Roman" w:hAnsi="Arial" w:cs="Arial"/>
          <w:color w:val="000000"/>
          <w:kern w:val="0"/>
          <w:lang w:val="en-US" w:eastAsia="fr-CA"/>
          <w14:ligatures w14:val="none"/>
        </w:rPr>
        <w:t xml:space="preserve"> (PRISMA) guidelines (</w:t>
      </w:r>
      <w:r w:rsidR="00084252">
        <w:rPr>
          <w:rFonts w:ascii="Arial" w:eastAsia="Times New Roman" w:hAnsi="Arial" w:cs="Arial"/>
          <w:color w:val="000000"/>
          <w:kern w:val="0"/>
          <w:lang w:val="en-US" w:eastAsia="fr-CA"/>
          <w14:ligatures w14:val="none"/>
        </w:rPr>
        <w:t xml:space="preserve">Supplemental </w:t>
      </w:r>
      <w:r w:rsidRPr="00E0218E">
        <w:rPr>
          <w:rFonts w:ascii="Arial" w:eastAsia="Times New Roman" w:hAnsi="Arial" w:cs="Arial"/>
          <w:color w:val="000000"/>
          <w:kern w:val="0"/>
          <w:lang w:val="en-US" w:eastAsia="fr-CA"/>
          <w14:ligatures w14:val="none"/>
        </w:rPr>
        <w:t>Figure 1). The search terms used were “</w:t>
      </w:r>
      <w:proofErr w:type="spellStart"/>
      <w:r w:rsidRPr="00E0218E">
        <w:rPr>
          <w:rFonts w:ascii="Arial" w:eastAsia="Times New Roman" w:hAnsi="Arial" w:cs="Arial"/>
          <w:color w:val="000000"/>
          <w:kern w:val="0"/>
          <w:lang w:val="en-US" w:eastAsia="fr-CA"/>
          <w14:ligatures w14:val="none"/>
        </w:rPr>
        <w:t>cemiplimab</w:t>
      </w:r>
      <w:proofErr w:type="spellEnd"/>
      <w:r w:rsidRPr="00E0218E">
        <w:rPr>
          <w:rFonts w:ascii="Arial" w:eastAsia="Times New Roman" w:hAnsi="Arial" w:cs="Arial"/>
          <w:color w:val="000000"/>
          <w:kern w:val="0"/>
          <w:lang w:val="en-US" w:eastAsia="fr-CA"/>
          <w14:ligatures w14:val="none"/>
        </w:rPr>
        <w:t>”, “programmed death ligand-1”, “</w:t>
      </w:r>
      <w:proofErr w:type="spellStart"/>
      <w:r w:rsidRPr="00E0218E">
        <w:rPr>
          <w:rFonts w:ascii="Arial" w:eastAsia="Times New Roman" w:hAnsi="Arial" w:cs="Arial"/>
          <w:color w:val="000000"/>
          <w:kern w:val="0"/>
          <w:lang w:val="en-US" w:eastAsia="fr-CA"/>
          <w14:ligatures w14:val="none"/>
        </w:rPr>
        <w:t>libtayo</w:t>
      </w:r>
      <w:proofErr w:type="spellEnd"/>
      <w:r w:rsidRPr="00E0218E">
        <w:rPr>
          <w:rFonts w:ascii="Arial" w:eastAsia="Times New Roman" w:hAnsi="Arial" w:cs="Arial"/>
          <w:color w:val="000000"/>
          <w:kern w:val="0"/>
          <w:lang w:val="en-US" w:eastAsia="fr-CA"/>
          <w14:ligatures w14:val="none"/>
        </w:rPr>
        <w:t xml:space="preserve">” and “cutaneous squamous cell carcinoma”. </w:t>
      </w:r>
      <w:r w:rsidRPr="00950A03">
        <w:rPr>
          <w:rFonts w:ascii="Arial" w:eastAsia="Times New Roman" w:hAnsi="Arial" w:cs="Arial"/>
          <w:color w:val="000000"/>
          <w:kern w:val="0"/>
          <w:lang w:val="en-US" w:eastAsia="fr-CA"/>
          <w14:ligatures w14:val="none"/>
        </w:rPr>
        <w:t>English articles published until August 2023 were retrieved</w:t>
      </w:r>
      <w:r w:rsidRPr="00E0218E">
        <w:rPr>
          <w:rFonts w:ascii="Arial" w:eastAsia="Times New Roman" w:hAnsi="Arial" w:cs="Arial"/>
          <w:color w:val="000000"/>
          <w:kern w:val="0"/>
          <w:lang w:val="en-US" w:eastAsia="fr-CA"/>
          <w14:ligatures w14:val="none"/>
        </w:rPr>
        <w:t xml:space="preserve">. Included articles were clinical trials, prospective or retrospective case series, conference abstracts and medical chart reviews on human subjects. Articles were screened independently by MJC and SA. Eligibility was assessed following full-text reading by MJC and SA. In case of disagreement, the senior dermatologist (PL) resolved conflicts. </w:t>
      </w:r>
    </w:p>
    <w:p w14:paraId="70558725" w14:textId="77777777" w:rsidR="00B6175D" w:rsidRPr="00E0218E" w:rsidRDefault="00B6175D" w:rsidP="00B6175D">
      <w:pPr>
        <w:spacing w:after="0" w:line="240" w:lineRule="auto"/>
        <w:rPr>
          <w:rFonts w:ascii="Arial" w:eastAsia="Times New Roman" w:hAnsi="Arial" w:cs="Arial"/>
          <w:color w:val="000000"/>
          <w:kern w:val="0"/>
          <w:lang w:val="en-US" w:eastAsia="fr-CA"/>
          <w14:ligatures w14:val="none"/>
        </w:rPr>
      </w:pPr>
    </w:p>
    <w:p w14:paraId="1C2E7E5F" w14:textId="77777777" w:rsidR="00B6175D" w:rsidRPr="00E0218E" w:rsidRDefault="00B6175D" w:rsidP="00B6175D">
      <w:pPr>
        <w:spacing w:after="0" w:line="240" w:lineRule="auto"/>
        <w:rPr>
          <w:rFonts w:ascii="Arial" w:eastAsia="Times New Roman" w:hAnsi="Arial" w:cs="Arial"/>
          <w:color w:val="000000"/>
          <w:kern w:val="0"/>
          <w:lang w:val="en-US" w:eastAsia="fr-CA"/>
          <w14:ligatures w14:val="none"/>
        </w:rPr>
      </w:pPr>
      <w:r w:rsidRPr="00E0218E">
        <w:rPr>
          <w:rFonts w:ascii="Arial" w:eastAsia="Times New Roman" w:hAnsi="Arial" w:cs="Arial"/>
          <w:color w:val="000000"/>
          <w:kern w:val="0"/>
          <w:lang w:val="en-US" w:eastAsia="fr-CA"/>
          <w14:ligatures w14:val="none"/>
        </w:rPr>
        <w:t xml:space="preserve">Excluded criteria were studies investigating the use of </w:t>
      </w:r>
      <w:proofErr w:type="spellStart"/>
      <w:r w:rsidRPr="00E0218E">
        <w:rPr>
          <w:rFonts w:ascii="Arial" w:eastAsia="Times New Roman" w:hAnsi="Arial" w:cs="Arial"/>
          <w:color w:val="000000"/>
          <w:kern w:val="0"/>
          <w:lang w:val="en-US" w:eastAsia="fr-CA"/>
          <w14:ligatures w14:val="none"/>
        </w:rPr>
        <w:t>cemiplimab</w:t>
      </w:r>
      <w:proofErr w:type="spellEnd"/>
      <w:r w:rsidRPr="00E0218E">
        <w:rPr>
          <w:rFonts w:ascii="Arial" w:eastAsia="Times New Roman" w:hAnsi="Arial" w:cs="Arial"/>
          <w:color w:val="000000"/>
          <w:kern w:val="0"/>
          <w:lang w:val="en-US" w:eastAsia="fr-CA"/>
          <w14:ligatures w14:val="none"/>
        </w:rPr>
        <w:t xml:space="preserve"> for other types of squamous cell carcinoma, other types of cancers or non-cancerous conditions, studies investigating the use of other immunotherapeutic agents in combination with </w:t>
      </w:r>
      <w:proofErr w:type="spellStart"/>
      <w:r w:rsidRPr="00E0218E">
        <w:rPr>
          <w:rFonts w:ascii="Arial" w:eastAsia="Times New Roman" w:hAnsi="Arial" w:cs="Arial"/>
          <w:color w:val="000000"/>
          <w:kern w:val="0"/>
          <w:lang w:val="en-US" w:eastAsia="fr-CA"/>
          <w14:ligatures w14:val="none"/>
        </w:rPr>
        <w:t>cemiplimab</w:t>
      </w:r>
      <w:proofErr w:type="spellEnd"/>
      <w:r w:rsidRPr="00E0218E">
        <w:rPr>
          <w:rFonts w:ascii="Arial" w:eastAsia="Times New Roman" w:hAnsi="Arial" w:cs="Arial"/>
          <w:color w:val="000000"/>
          <w:kern w:val="0"/>
          <w:lang w:val="en-US" w:eastAsia="fr-CA"/>
          <w14:ligatures w14:val="none"/>
        </w:rPr>
        <w:t xml:space="preserve">, studies reporting only pharmacokinetic/pharmacodynamic data or non-quantitative, studies providing only outcomes after surgery or radiotherapy and studies on </w:t>
      </w:r>
      <w:proofErr w:type="spellStart"/>
      <w:r w:rsidRPr="00E0218E">
        <w:rPr>
          <w:rFonts w:ascii="Arial" w:eastAsia="Times New Roman" w:hAnsi="Arial" w:cs="Arial"/>
          <w:color w:val="000000"/>
          <w:kern w:val="0"/>
          <w:lang w:val="en-US" w:eastAsia="fr-CA"/>
          <w14:ligatures w14:val="none"/>
        </w:rPr>
        <w:t>cemiplimab</w:t>
      </w:r>
      <w:proofErr w:type="spellEnd"/>
      <w:r w:rsidRPr="00E0218E">
        <w:rPr>
          <w:rFonts w:ascii="Arial" w:eastAsia="Times New Roman" w:hAnsi="Arial" w:cs="Arial"/>
          <w:color w:val="000000"/>
          <w:kern w:val="0"/>
          <w:lang w:val="en-US" w:eastAsia="fr-CA"/>
          <w14:ligatures w14:val="none"/>
        </w:rPr>
        <w:t xml:space="preserve"> used concurrently with additional treatments.</w:t>
      </w:r>
    </w:p>
    <w:p w14:paraId="3EB2B397" w14:textId="77777777" w:rsidR="00B6175D" w:rsidRPr="00E0218E" w:rsidRDefault="00B6175D" w:rsidP="00B6175D">
      <w:pPr>
        <w:spacing w:after="0" w:line="240" w:lineRule="auto"/>
        <w:rPr>
          <w:rFonts w:ascii="Arial" w:eastAsia="Times New Roman" w:hAnsi="Arial" w:cs="Arial"/>
          <w:color w:val="000000"/>
          <w:kern w:val="0"/>
          <w:lang w:val="en-US" w:eastAsia="fr-CA"/>
          <w14:ligatures w14:val="none"/>
        </w:rPr>
      </w:pPr>
    </w:p>
    <w:p w14:paraId="68A080B8" w14:textId="77777777" w:rsidR="00B6175D" w:rsidRPr="00886156" w:rsidRDefault="00B6175D" w:rsidP="00B6175D">
      <w:pPr>
        <w:spacing w:after="0" w:line="240" w:lineRule="auto"/>
        <w:rPr>
          <w:rFonts w:ascii="Arial" w:eastAsia="Times New Roman" w:hAnsi="Arial" w:cs="Arial"/>
          <w:b/>
          <w:bCs/>
          <w:kern w:val="0"/>
          <w:lang w:val="en-US" w:eastAsia="fr-CA"/>
          <w14:ligatures w14:val="none"/>
        </w:rPr>
      </w:pPr>
      <w:r w:rsidRPr="00886156">
        <w:rPr>
          <w:rFonts w:ascii="Arial" w:eastAsia="Times New Roman" w:hAnsi="Arial" w:cs="Arial"/>
          <w:b/>
          <w:bCs/>
          <w:kern w:val="0"/>
          <w:lang w:val="en-US" w:eastAsia="fr-CA"/>
          <w14:ligatures w14:val="none"/>
        </w:rPr>
        <w:t>Data Extraction</w:t>
      </w:r>
    </w:p>
    <w:p w14:paraId="7076FD04" w14:textId="77777777" w:rsidR="00B6175D" w:rsidRPr="00950A03" w:rsidRDefault="00B6175D" w:rsidP="00B6175D">
      <w:pPr>
        <w:spacing w:after="0" w:line="240" w:lineRule="auto"/>
        <w:rPr>
          <w:rFonts w:ascii="Arial" w:eastAsia="Times New Roman" w:hAnsi="Arial" w:cs="Arial"/>
          <w:kern w:val="0"/>
          <w:sz w:val="24"/>
          <w:szCs w:val="24"/>
          <w:lang w:val="en-US" w:eastAsia="fr-CA"/>
          <w14:ligatures w14:val="none"/>
        </w:rPr>
      </w:pPr>
    </w:p>
    <w:p w14:paraId="1FD56B0E" w14:textId="77777777" w:rsidR="00B6175D" w:rsidRDefault="00B6175D" w:rsidP="00B6175D">
      <w:pPr>
        <w:spacing w:after="0" w:line="240" w:lineRule="auto"/>
        <w:rPr>
          <w:rFonts w:ascii="Arial" w:eastAsia="Times New Roman" w:hAnsi="Arial" w:cs="Arial"/>
          <w:color w:val="000000"/>
          <w:kern w:val="0"/>
          <w:lang w:val="en-US" w:eastAsia="fr-CA"/>
          <w14:ligatures w14:val="none"/>
        </w:rPr>
      </w:pPr>
      <w:r>
        <w:rPr>
          <w:rFonts w:ascii="Arial" w:eastAsia="Times New Roman" w:hAnsi="Arial" w:cs="Arial"/>
          <w:color w:val="000000"/>
          <w:kern w:val="0"/>
          <w:lang w:val="en-US" w:eastAsia="fr-CA"/>
          <w14:ligatures w14:val="none"/>
        </w:rPr>
        <w:t>MJC</w:t>
      </w:r>
      <w:r w:rsidRPr="00E0218E">
        <w:rPr>
          <w:rFonts w:ascii="Arial" w:eastAsia="Times New Roman" w:hAnsi="Arial" w:cs="Arial"/>
          <w:color w:val="000000"/>
          <w:kern w:val="0"/>
          <w:lang w:val="en-US" w:eastAsia="fr-CA"/>
          <w14:ligatures w14:val="none"/>
        </w:rPr>
        <w:t xml:space="preserve"> extracted data independently using a standardized Microsoft Excel form (Microsoft Corporation, Redmond, WA, USA). </w:t>
      </w:r>
      <w:r>
        <w:rPr>
          <w:rFonts w:ascii="Arial" w:eastAsia="Times New Roman" w:hAnsi="Arial" w:cs="Arial"/>
          <w:color w:val="000000"/>
          <w:kern w:val="0"/>
          <w:lang w:val="en-US" w:eastAsia="fr-CA"/>
          <w14:ligatures w14:val="none"/>
        </w:rPr>
        <w:t xml:space="preserve">The following variables were extracted from every article: </w:t>
      </w:r>
      <w:r w:rsidRPr="00E0218E">
        <w:rPr>
          <w:rFonts w:ascii="Arial" w:eastAsia="Times New Roman" w:hAnsi="Arial" w:cs="Arial"/>
          <w:color w:val="000000"/>
          <w:kern w:val="0"/>
          <w:lang w:val="en-US" w:eastAsia="fr-CA"/>
          <w14:ligatures w14:val="none"/>
        </w:rPr>
        <w:t xml:space="preserve">number of patients, medication, median follow-up and drug exposure in months, response rates, type of response, adverse effect </w:t>
      </w:r>
      <w:r>
        <w:rPr>
          <w:rFonts w:ascii="Arial" w:eastAsia="Times New Roman" w:hAnsi="Arial" w:cs="Arial"/>
          <w:color w:val="000000"/>
          <w:kern w:val="0"/>
          <w:lang w:val="en-US" w:eastAsia="fr-CA"/>
          <w14:ligatures w14:val="none"/>
        </w:rPr>
        <w:t xml:space="preserve">(AE) </w:t>
      </w:r>
      <w:r w:rsidRPr="00E0218E">
        <w:rPr>
          <w:rFonts w:ascii="Arial" w:eastAsia="Times New Roman" w:hAnsi="Arial" w:cs="Arial"/>
          <w:color w:val="000000"/>
          <w:kern w:val="0"/>
          <w:lang w:val="en-US" w:eastAsia="fr-CA"/>
          <w14:ligatures w14:val="none"/>
        </w:rPr>
        <w:t xml:space="preserve">rates. </w:t>
      </w:r>
    </w:p>
    <w:p w14:paraId="6036BA1D" w14:textId="77777777" w:rsidR="002B3F84" w:rsidRDefault="002B3F84" w:rsidP="00B6175D">
      <w:pPr>
        <w:spacing w:after="0" w:line="240" w:lineRule="auto"/>
        <w:rPr>
          <w:rFonts w:ascii="Arial" w:eastAsia="Times New Roman" w:hAnsi="Arial" w:cs="Arial"/>
          <w:color w:val="000000"/>
          <w:kern w:val="0"/>
          <w:lang w:val="en-US" w:eastAsia="fr-CA"/>
          <w14:ligatures w14:val="none"/>
        </w:rPr>
      </w:pPr>
    </w:p>
    <w:p w14:paraId="388E8BD6" w14:textId="3F4B016F" w:rsidR="002B3F84" w:rsidRDefault="002B3F84" w:rsidP="00B6175D">
      <w:pPr>
        <w:spacing w:after="0" w:line="240" w:lineRule="auto"/>
        <w:rPr>
          <w:rFonts w:ascii="Arial" w:eastAsia="Times New Roman" w:hAnsi="Arial" w:cs="Arial"/>
          <w:b/>
          <w:bCs/>
          <w:color w:val="000000"/>
          <w:kern w:val="0"/>
          <w:lang w:val="en-US" w:eastAsia="fr-CA"/>
          <w14:ligatures w14:val="none"/>
        </w:rPr>
      </w:pPr>
      <w:r w:rsidRPr="002B3F84">
        <w:rPr>
          <w:rFonts w:ascii="Arial" w:eastAsia="Times New Roman" w:hAnsi="Arial" w:cs="Arial"/>
          <w:b/>
          <w:bCs/>
          <w:color w:val="000000"/>
          <w:kern w:val="0"/>
          <w:lang w:val="en-US" w:eastAsia="fr-CA"/>
          <w14:ligatures w14:val="none"/>
        </w:rPr>
        <w:t>Risk of Bias</w:t>
      </w:r>
    </w:p>
    <w:p w14:paraId="156A0D3A" w14:textId="77777777" w:rsidR="002B3F84" w:rsidRPr="002B3F84" w:rsidRDefault="002B3F84" w:rsidP="00B6175D">
      <w:pPr>
        <w:spacing w:after="0" w:line="240" w:lineRule="auto"/>
        <w:rPr>
          <w:rFonts w:ascii="Arial" w:eastAsia="Times New Roman" w:hAnsi="Arial" w:cs="Arial"/>
          <w:b/>
          <w:bCs/>
          <w:color w:val="000000"/>
          <w:kern w:val="0"/>
          <w:lang w:val="en-US" w:eastAsia="fr-CA"/>
          <w14:ligatures w14:val="none"/>
        </w:rPr>
      </w:pPr>
    </w:p>
    <w:p w14:paraId="2592B4C7" w14:textId="30517A23" w:rsidR="002B3F84" w:rsidRDefault="002B3F84" w:rsidP="00B6175D">
      <w:pPr>
        <w:spacing w:after="0" w:line="240" w:lineRule="auto"/>
        <w:rPr>
          <w:rFonts w:ascii="Arial" w:eastAsia="Times New Roman" w:hAnsi="Arial" w:cs="Arial"/>
          <w:color w:val="000000"/>
          <w:kern w:val="0"/>
          <w:lang w:val="en-US" w:eastAsia="fr-CA"/>
          <w14:ligatures w14:val="none"/>
        </w:rPr>
      </w:pPr>
      <w:r w:rsidRPr="00B6175D">
        <w:rPr>
          <w:rFonts w:ascii="Arial" w:eastAsia="Times New Roman" w:hAnsi="Arial" w:cs="Arial"/>
          <w:kern w:val="0"/>
          <w:lang w:val="en-US" w:eastAsia="fr-CA"/>
          <w14:ligatures w14:val="none"/>
        </w:rPr>
        <w:t>The quality of evidence was assessed following the Oxford Centre for Evidence-Based Medicine levels</w:t>
      </w:r>
      <w:sdt>
        <w:sdtPr>
          <w:rPr>
            <w:rFonts w:ascii="Arial" w:eastAsia="Times New Roman" w:hAnsi="Arial" w:cs="Arial"/>
            <w:color w:val="000000"/>
            <w:kern w:val="0"/>
            <w:vertAlign w:val="superscript"/>
            <w:lang w:val="en-US" w:eastAsia="fr-CA"/>
            <w14:ligatures w14:val="none"/>
          </w:rPr>
          <w:tag w:val="MENDELEY_CITATION_v3_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"/>
          <w:id w:val="1515266025"/>
          <w:placeholder>
            <w:docPart w:val="DefaultPlaceholder_-1854013440"/>
          </w:placeholder>
        </w:sdtPr>
        <w:sdtContent>
          <w:r w:rsidR="00C83DC9" w:rsidRPr="00C83DC9">
            <w:rPr>
              <w:rFonts w:ascii="Arial" w:eastAsia="Times New Roman" w:hAnsi="Arial" w:cs="Arial"/>
              <w:color w:val="000000"/>
              <w:kern w:val="0"/>
              <w:vertAlign w:val="superscript"/>
              <w:lang w:val="en-US" w:eastAsia="fr-CA"/>
              <w14:ligatures w14:val="none"/>
            </w:rPr>
            <w:t>1</w:t>
          </w:r>
        </w:sdtContent>
      </w:sdt>
      <w:r w:rsidRPr="00B6175D">
        <w:rPr>
          <w:rFonts w:ascii="Arial" w:eastAsia="Times New Roman" w:hAnsi="Arial" w:cs="Arial"/>
          <w:kern w:val="0"/>
          <w:lang w:val="en-US" w:eastAsia="fr-CA"/>
          <w14:ligatures w14:val="none"/>
        </w:rPr>
        <w:t xml:space="preserve">. </w:t>
      </w:r>
      <w:r w:rsidRPr="000D4C9E">
        <w:rPr>
          <w:rFonts w:ascii="Arial" w:eastAsia="Times New Roman" w:hAnsi="Arial" w:cs="Arial"/>
          <w:kern w:val="0"/>
          <w:lang w:val="en-US" w:eastAsia="fr-CA"/>
          <w14:ligatures w14:val="none"/>
        </w:rPr>
        <w:t>Two authors independently reviewed publication biases, then conducted a joint evaluation. Any disagreements were resolved by the senior author (PL). To assess publication bias, we used funnel plots and the trim-and-fill method, which detects asymmetry in metrics from individual studies and imputes missing trials to correct biases. Heterogeneity was evaluated using forest plots and the I² statistic.</w:t>
      </w:r>
    </w:p>
    <w:p w14:paraId="5978C171" w14:textId="77777777" w:rsidR="00B6175D" w:rsidRDefault="00B6175D" w:rsidP="00B6175D">
      <w:pPr>
        <w:spacing w:after="0" w:line="240" w:lineRule="auto"/>
        <w:rPr>
          <w:rFonts w:ascii="Arial" w:eastAsia="Times New Roman" w:hAnsi="Arial" w:cs="Arial"/>
          <w:color w:val="000000"/>
          <w:kern w:val="0"/>
          <w:lang w:val="en-US" w:eastAsia="fr-CA"/>
          <w14:ligatures w14:val="none"/>
        </w:rPr>
      </w:pPr>
    </w:p>
    <w:p w14:paraId="08A1DF3A" w14:textId="77777777" w:rsidR="00B6175D" w:rsidRPr="00777DA1" w:rsidRDefault="00B6175D" w:rsidP="00B6175D">
      <w:pPr>
        <w:spacing w:after="0" w:line="240" w:lineRule="auto"/>
        <w:rPr>
          <w:rFonts w:ascii="Arial" w:eastAsia="Times New Roman" w:hAnsi="Arial" w:cs="Arial"/>
          <w:b/>
          <w:bCs/>
          <w:color w:val="000000"/>
          <w:kern w:val="0"/>
          <w:lang w:val="en-US" w:eastAsia="fr-CA"/>
          <w14:ligatures w14:val="none"/>
        </w:rPr>
      </w:pPr>
      <w:r w:rsidRPr="00777DA1">
        <w:rPr>
          <w:rFonts w:ascii="Arial" w:eastAsia="Times New Roman" w:hAnsi="Arial" w:cs="Arial"/>
          <w:b/>
          <w:bCs/>
          <w:color w:val="000000"/>
          <w:kern w:val="0"/>
          <w:lang w:val="en-US" w:eastAsia="fr-CA"/>
          <w14:ligatures w14:val="none"/>
        </w:rPr>
        <w:t>Statistical Analysis</w:t>
      </w:r>
    </w:p>
    <w:p w14:paraId="44FD5903" w14:textId="77777777" w:rsidR="00B6175D" w:rsidRPr="00E0218E" w:rsidRDefault="00B6175D" w:rsidP="00B6175D">
      <w:pPr>
        <w:spacing w:after="0" w:line="240" w:lineRule="auto"/>
        <w:rPr>
          <w:rFonts w:ascii="Arial" w:eastAsia="Times New Roman" w:hAnsi="Arial" w:cs="Arial"/>
          <w:color w:val="000000"/>
          <w:kern w:val="0"/>
          <w:lang w:val="en-US" w:eastAsia="fr-CA"/>
          <w14:ligatures w14:val="none"/>
        </w:rPr>
      </w:pPr>
    </w:p>
    <w:p w14:paraId="464C909F" w14:textId="0D6ADD63" w:rsidR="00B6175D" w:rsidRDefault="00B6175D" w:rsidP="00B6175D">
      <w:pPr>
        <w:spacing w:after="0" w:line="240" w:lineRule="auto"/>
        <w:rPr>
          <w:rFonts w:ascii="Arial" w:eastAsia="Times New Roman" w:hAnsi="Arial" w:cs="Arial"/>
          <w:color w:val="000000"/>
          <w:kern w:val="0"/>
          <w:lang w:val="en-US" w:eastAsia="fr-CA"/>
          <w14:ligatures w14:val="none"/>
        </w:rPr>
      </w:pPr>
      <w:r w:rsidRPr="00950A03">
        <w:rPr>
          <w:rFonts w:ascii="Arial" w:eastAsia="Times New Roman" w:hAnsi="Arial" w:cs="Arial"/>
          <w:color w:val="000000"/>
          <w:kern w:val="0"/>
          <w:lang w:val="en-US" w:eastAsia="fr-CA"/>
          <w14:ligatures w14:val="none"/>
        </w:rPr>
        <w:t xml:space="preserve">Primary outcomes were overall response rates (ORRs) and complete response rates (CRRs). Data aggregation was conducted utilizing linear models, implementing fixed </w:t>
      </w:r>
      <w:r w:rsidRPr="00950A03">
        <w:rPr>
          <w:rFonts w:ascii="Arial" w:eastAsia="Times New Roman" w:hAnsi="Arial" w:cs="Arial"/>
          <w:color w:val="000000"/>
          <w:kern w:val="0"/>
          <w:lang w:val="en-US" w:eastAsia="fr-CA"/>
          <w14:ligatures w14:val="none"/>
        </w:rPr>
        <w:lastRenderedPageBreak/>
        <w:t>effects meta-analysis as the primary method for analysis</w:t>
      </w:r>
      <w:r>
        <w:rPr>
          <w:rFonts w:ascii="Arial" w:eastAsia="Times New Roman" w:hAnsi="Arial" w:cs="Arial"/>
          <w:color w:val="000000"/>
          <w:kern w:val="0"/>
          <w:lang w:val="en-US" w:eastAsia="fr-CA"/>
          <w14:ligatures w14:val="none"/>
        </w:rPr>
        <w:t xml:space="preserve"> previously reported</w:t>
      </w:r>
      <w:sdt>
        <w:sdtPr>
          <w:rPr>
            <w:rFonts w:ascii="Arial" w:eastAsia="Times New Roman" w:hAnsi="Arial" w:cs="Arial"/>
            <w:color w:val="000000"/>
            <w:kern w:val="0"/>
            <w:vertAlign w:val="superscript"/>
            <w:lang w:val="en-US" w:eastAsia="fr-CA"/>
            <w14:ligatures w14:val="none"/>
          </w:rPr>
          <w:tag w:val="MENDELEY_CITATION_v3_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"/>
          <w:id w:val="6496105"/>
          <w:placeholder>
            <w:docPart w:val="DefaultPlaceholder_-1854013440"/>
          </w:placeholder>
        </w:sdtPr>
        <w:sdtContent>
          <w:r w:rsidR="00C83DC9" w:rsidRPr="00C83DC9">
            <w:rPr>
              <w:rFonts w:ascii="Arial" w:eastAsia="Times New Roman" w:hAnsi="Arial" w:cs="Arial"/>
              <w:color w:val="000000"/>
              <w:kern w:val="0"/>
              <w:vertAlign w:val="superscript"/>
              <w:lang w:val="en-US" w:eastAsia="fr-CA"/>
              <w14:ligatures w14:val="none"/>
            </w:rPr>
            <w:t>2</w:t>
          </w:r>
        </w:sdtContent>
      </w:sdt>
      <w:r>
        <w:rPr>
          <w:rFonts w:ascii="Arial" w:eastAsia="Times New Roman" w:hAnsi="Arial" w:cs="Arial"/>
          <w:color w:val="000000"/>
          <w:kern w:val="0"/>
          <w:lang w:val="en-US" w:eastAsia="fr-CA"/>
          <w14:ligatures w14:val="none"/>
        </w:rPr>
        <w:t xml:space="preserve">. </w:t>
      </w:r>
      <w:r w:rsidRPr="00E0218E">
        <w:rPr>
          <w:rFonts w:ascii="Arial" w:eastAsia="Times New Roman" w:hAnsi="Arial" w:cs="Arial"/>
          <w:color w:val="000000"/>
          <w:kern w:val="0"/>
          <w:lang w:val="en-US" w:eastAsia="fr-CA"/>
          <w14:ligatures w14:val="none"/>
        </w:rPr>
        <w:t xml:space="preserve">ORR </w:t>
      </w:r>
      <w:r>
        <w:rPr>
          <w:rFonts w:ascii="Arial" w:eastAsia="Times New Roman" w:hAnsi="Arial" w:cs="Arial"/>
          <w:color w:val="000000"/>
          <w:kern w:val="0"/>
          <w:lang w:val="en-US" w:eastAsia="fr-CA"/>
          <w14:ligatures w14:val="none"/>
        </w:rPr>
        <w:t>was defined as</w:t>
      </w:r>
      <w:r w:rsidRPr="00E0218E">
        <w:rPr>
          <w:rFonts w:ascii="Arial" w:eastAsia="Times New Roman" w:hAnsi="Arial" w:cs="Arial"/>
          <w:color w:val="000000"/>
          <w:kern w:val="0"/>
          <w:lang w:val="en-US" w:eastAsia="fr-CA"/>
          <w14:ligatures w14:val="none"/>
        </w:rPr>
        <w:t xml:space="preserve"> the proportion of patients with either partial or complete responses after </w:t>
      </w:r>
      <w:r>
        <w:rPr>
          <w:rFonts w:ascii="Arial" w:eastAsia="Times New Roman" w:hAnsi="Arial" w:cs="Arial"/>
          <w:color w:val="000000"/>
          <w:kern w:val="0"/>
          <w:lang w:val="en-US" w:eastAsia="fr-CA"/>
          <w14:ligatures w14:val="none"/>
        </w:rPr>
        <w:t xml:space="preserve">receiving </w:t>
      </w:r>
      <w:proofErr w:type="spellStart"/>
      <w:r>
        <w:rPr>
          <w:rFonts w:ascii="Arial" w:eastAsia="Times New Roman" w:hAnsi="Arial" w:cs="Arial"/>
          <w:color w:val="000000"/>
          <w:kern w:val="0"/>
          <w:lang w:val="en-US" w:eastAsia="fr-CA"/>
          <w14:ligatures w14:val="none"/>
        </w:rPr>
        <w:t>cemiplimab</w:t>
      </w:r>
      <w:proofErr w:type="spellEnd"/>
      <w:r>
        <w:rPr>
          <w:rFonts w:ascii="Arial" w:eastAsia="Times New Roman" w:hAnsi="Arial" w:cs="Arial"/>
          <w:color w:val="000000"/>
          <w:kern w:val="0"/>
          <w:lang w:val="en-US" w:eastAsia="fr-CA"/>
          <w14:ligatures w14:val="none"/>
        </w:rPr>
        <w:t>.</w:t>
      </w:r>
      <w:r w:rsidRPr="00E0218E">
        <w:rPr>
          <w:rFonts w:ascii="Arial" w:eastAsia="Times New Roman" w:hAnsi="Arial" w:cs="Arial"/>
          <w:color w:val="000000"/>
          <w:kern w:val="0"/>
          <w:lang w:val="en-US" w:eastAsia="fr-CA"/>
          <w14:ligatures w14:val="none"/>
        </w:rPr>
        <w:t xml:space="preserve"> CRR </w:t>
      </w:r>
      <w:r>
        <w:rPr>
          <w:rFonts w:ascii="Arial" w:eastAsia="Times New Roman" w:hAnsi="Arial" w:cs="Arial"/>
          <w:color w:val="000000"/>
          <w:kern w:val="0"/>
          <w:lang w:val="en-US" w:eastAsia="fr-CA"/>
          <w14:ligatures w14:val="none"/>
        </w:rPr>
        <w:t>was defined as</w:t>
      </w:r>
      <w:r w:rsidRPr="00E0218E">
        <w:rPr>
          <w:rFonts w:ascii="Arial" w:eastAsia="Times New Roman" w:hAnsi="Arial" w:cs="Arial"/>
          <w:color w:val="000000"/>
          <w:kern w:val="0"/>
          <w:lang w:val="en-US" w:eastAsia="fr-CA"/>
          <w14:ligatures w14:val="none"/>
        </w:rPr>
        <w:t xml:space="preserve"> the percentage of </w:t>
      </w:r>
      <w:r>
        <w:rPr>
          <w:rFonts w:ascii="Arial" w:eastAsia="Times New Roman" w:hAnsi="Arial" w:cs="Arial"/>
          <w:color w:val="000000"/>
          <w:kern w:val="0"/>
          <w:lang w:val="en-US" w:eastAsia="fr-CA"/>
          <w14:ligatures w14:val="none"/>
        </w:rPr>
        <w:t>patients with only complete responses.</w:t>
      </w:r>
    </w:p>
    <w:p w14:paraId="0254F703" w14:textId="77777777" w:rsidR="00B6175D" w:rsidRDefault="00B6175D" w:rsidP="00B6175D">
      <w:pPr>
        <w:spacing w:after="0" w:line="240" w:lineRule="auto"/>
        <w:rPr>
          <w:rFonts w:ascii="Arial" w:eastAsia="Times New Roman" w:hAnsi="Arial" w:cs="Arial"/>
          <w:color w:val="000000"/>
          <w:kern w:val="0"/>
          <w:lang w:val="en-US" w:eastAsia="fr-CA"/>
          <w14:ligatures w14:val="none"/>
        </w:rPr>
      </w:pPr>
    </w:p>
    <w:p w14:paraId="1094DA00" w14:textId="77777777" w:rsidR="00B6175D" w:rsidRPr="00E0218E" w:rsidRDefault="00B6175D" w:rsidP="00B6175D">
      <w:pPr>
        <w:spacing w:after="0" w:line="240" w:lineRule="auto"/>
        <w:rPr>
          <w:rFonts w:ascii="Arial" w:eastAsia="Times New Roman" w:hAnsi="Arial" w:cs="Arial"/>
          <w:color w:val="000000"/>
          <w:kern w:val="0"/>
          <w:lang w:val="en-US" w:eastAsia="fr-CA"/>
          <w14:ligatures w14:val="none"/>
        </w:rPr>
      </w:pPr>
      <w:r>
        <w:rPr>
          <w:rFonts w:ascii="Arial" w:eastAsia="Times New Roman" w:hAnsi="Arial" w:cs="Arial"/>
          <w:color w:val="000000"/>
          <w:kern w:val="0"/>
          <w:lang w:val="en-US" w:eastAsia="fr-CA"/>
          <w14:ligatures w14:val="none"/>
        </w:rPr>
        <w:t>Secondary o</w:t>
      </w:r>
      <w:r w:rsidRPr="00E0218E">
        <w:rPr>
          <w:rFonts w:ascii="Arial" w:eastAsia="Times New Roman" w:hAnsi="Arial" w:cs="Arial"/>
          <w:color w:val="000000"/>
          <w:kern w:val="0"/>
          <w:lang w:val="en-US" w:eastAsia="fr-CA"/>
          <w14:ligatures w14:val="none"/>
        </w:rPr>
        <w:t xml:space="preserve">utcomes </w:t>
      </w:r>
      <w:r>
        <w:rPr>
          <w:rFonts w:ascii="Arial" w:eastAsia="Times New Roman" w:hAnsi="Arial" w:cs="Arial"/>
          <w:color w:val="000000"/>
          <w:kern w:val="0"/>
          <w:lang w:val="en-US" w:eastAsia="fr-CA"/>
          <w14:ligatures w14:val="none"/>
        </w:rPr>
        <w:t>were clinical benefit rates (CBRs), which were defined as the</w:t>
      </w:r>
      <w:r w:rsidRPr="00E0218E">
        <w:rPr>
          <w:rFonts w:ascii="Arial" w:eastAsia="Times New Roman" w:hAnsi="Arial" w:cs="Arial"/>
          <w:color w:val="000000"/>
          <w:kern w:val="0"/>
          <w:lang w:val="en-US" w:eastAsia="fr-CA"/>
          <w14:ligatures w14:val="none"/>
        </w:rPr>
        <w:t xml:space="preserve"> proportion of patients with stable disease </w:t>
      </w:r>
      <w:r>
        <w:rPr>
          <w:rFonts w:ascii="Arial" w:eastAsia="Times New Roman" w:hAnsi="Arial" w:cs="Arial"/>
          <w:color w:val="000000"/>
          <w:kern w:val="0"/>
          <w:lang w:val="en-US" w:eastAsia="fr-CA"/>
          <w14:ligatures w14:val="none"/>
        </w:rPr>
        <w:t xml:space="preserve">and </w:t>
      </w:r>
      <w:r w:rsidRPr="00E0218E">
        <w:rPr>
          <w:rFonts w:ascii="Arial" w:eastAsia="Times New Roman" w:hAnsi="Arial" w:cs="Arial"/>
          <w:color w:val="000000"/>
          <w:kern w:val="0"/>
          <w:lang w:val="en-US" w:eastAsia="fr-CA"/>
          <w14:ligatures w14:val="none"/>
        </w:rPr>
        <w:t xml:space="preserve">any </w:t>
      </w:r>
      <w:r>
        <w:rPr>
          <w:rFonts w:ascii="Arial" w:eastAsia="Times New Roman" w:hAnsi="Arial" w:cs="Arial"/>
          <w:color w:val="000000"/>
          <w:kern w:val="0"/>
          <w:lang w:val="en-US" w:eastAsia="fr-CA"/>
          <w14:ligatures w14:val="none"/>
        </w:rPr>
        <w:t xml:space="preserve">type of responses (partial or complete). </w:t>
      </w:r>
    </w:p>
    <w:p w14:paraId="397BF66A" w14:textId="77777777" w:rsidR="00B6175D" w:rsidRPr="00A831D8" w:rsidRDefault="00B6175D" w:rsidP="00B6175D">
      <w:pPr>
        <w:spacing w:after="0" w:line="240" w:lineRule="auto"/>
        <w:rPr>
          <w:rFonts w:ascii="Arial" w:eastAsia="Times New Roman" w:hAnsi="Arial" w:cs="Arial"/>
          <w:color w:val="000000"/>
          <w:kern w:val="0"/>
          <w:lang w:val="en-US" w:eastAsia="fr-CA"/>
          <w14:ligatures w14:val="none"/>
        </w:rPr>
      </w:pPr>
    </w:p>
    <w:p w14:paraId="63A904C4" w14:textId="77777777" w:rsidR="00B6175D" w:rsidRDefault="00B6175D" w:rsidP="00B6175D">
      <w:pPr>
        <w:spacing w:after="0" w:line="240" w:lineRule="auto"/>
        <w:rPr>
          <w:rFonts w:ascii="Arial" w:eastAsia="Times New Roman" w:hAnsi="Arial" w:cs="Arial"/>
          <w:color w:val="000000"/>
          <w:kern w:val="0"/>
          <w:lang w:val="en-US" w:eastAsia="fr-CA"/>
          <w14:ligatures w14:val="none"/>
        </w:rPr>
      </w:pPr>
      <w:r w:rsidRPr="00A831D8">
        <w:rPr>
          <w:rFonts w:ascii="Arial" w:eastAsia="Times New Roman" w:hAnsi="Arial" w:cs="Arial"/>
          <w:color w:val="000000"/>
          <w:kern w:val="0"/>
          <w:lang w:val="en-US" w:eastAsia="fr-CA"/>
          <w14:ligatures w14:val="none"/>
        </w:rPr>
        <w:t xml:space="preserve">To assess the safety of </w:t>
      </w:r>
      <w:proofErr w:type="spellStart"/>
      <w:r w:rsidRPr="00A831D8">
        <w:rPr>
          <w:rFonts w:ascii="Arial" w:eastAsia="Times New Roman" w:hAnsi="Arial" w:cs="Arial"/>
          <w:color w:val="000000"/>
          <w:kern w:val="0"/>
          <w:lang w:val="en-US" w:eastAsia="fr-CA"/>
          <w14:ligatures w14:val="none"/>
        </w:rPr>
        <w:t>cemiplimab</w:t>
      </w:r>
      <w:proofErr w:type="spellEnd"/>
      <w:r w:rsidRPr="00A831D8">
        <w:rPr>
          <w:rFonts w:ascii="Arial" w:eastAsia="Times New Roman" w:hAnsi="Arial" w:cs="Arial"/>
          <w:color w:val="000000"/>
          <w:kern w:val="0"/>
          <w:lang w:val="en-US" w:eastAsia="fr-CA"/>
          <w14:ligatures w14:val="none"/>
        </w:rPr>
        <w:t xml:space="preserve">, the following AEs were collected: myocarditis, </w:t>
      </w:r>
      <w:proofErr w:type="spellStart"/>
      <w:r w:rsidRPr="00A831D8">
        <w:rPr>
          <w:rFonts w:ascii="Arial" w:eastAsia="Times New Roman" w:hAnsi="Arial" w:cs="Arial"/>
          <w:color w:val="000000"/>
          <w:kern w:val="0"/>
          <w:lang w:val="en-US" w:eastAsia="fr-CA"/>
          <w14:ligatures w14:val="none"/>
        </w:rPr>
        <w:t>hypophysitis</w:t>
      </w:r>
      <w:proofErr w:type="spellEnd"/>
      <w:r w:rsidRPr="00A831D8">
        <w:rPr>
          <w:rFonts w:ascii="Arial" w:eastAsia="Times New Roman" w:hAnsi="Arial" w:cs="Arial"/>
          <w:color w:val="000000"/>
          <w:kern w:val="0"/>
          <w:lang w:val="en-US" w:eastAsia="fr-CA"/>
          <w14:ligatures w14:val="none"/>
        </w:rPr>
        <w:t>, pneumonitis, colitis, diarrhea, fatigue, nausea, constipation, rash, pruritus, maculopapular rash, vomiting, anemia, hypothyroidism. Data from different dosing regimens were merged.</w:t>
      </w:r>
    </w:p>
    <w:p w14:paraId="6628BF3F" w14:textId="77777777" w:rsidR="00B6175D" w:rsidRPr="00E0218E" w:rsidRDefault="00B6175D" w:rsidP="00B6175D">
      <w:pPr>
        <w:spacing w:after="0" w:line="240" w:lineRule="auto"/>
        <w:rPr>
          <w:rFonts w:ascii="Arial" w:eastAsia="Times New Roman" w:hAnsi="Arial" w:cs="Arial"/>
          <w:color w:val="000000"/>
          <w:kern w:val="0"/>
          <w:lang w:val="en-US" w:eastAsia="fr-CA"/>
          <w14:ligatures w14:val="none"/>
        </w:rPr>
      </w:pPr>
    </w:p>
    <w:p w14:paraId="443DD13E" w14:textId="135F9488" w:rsidR="00B6175D" w:rsidRDefault="00B6175D" w:rsidP="00B6175D">
      <w:pPr>
        <w:spacing w:after="0" w:line="240" w:lineRule="auto"/>
        <w:rPr>
          <w:rFonts w:ascii="Arial" w:eastAsia="Times New Roman" w:hAnsi="Arial" w:cs="Arial"/>
          <w:kern w:val="0"/>
          <w:lang w:val="en-US" w:eastAsia="fr-CA"/>
          <w14:ligatures w14:val="none"/>
        </w:rPr>
      </w:pPr>
      <w:r w:rsidRPr="00E0218E">
        <w:rPr>
          <w:rFonts w:ascii="Arial" w:eastAsia="Times New Roman" w:hAnsi="Arial" w:cs="Arial"/>
          <w:color w:val="000000"/>
          <w:kern w:val="0"/>
          <w:lang w:val="en-US" w:eastAsia="fr-CA"/>
          <w14:ligatures w14:val="none"/>
        </w:rPr>
        <w:t xml:space="preserve">Analyses were performed using R statistical software </w:t>
      </w:r>
      <w:r>
        <w:rPr>
          <w:rFonts w:ascii="Arial" w:eastAsia="Times New Roman" w:hAnsi="Arial" w:cs="Arial"/>
          <w:color w:val="000000"/>
          <w:kern w:val="0"/>
          <w:lang w:val="en-US" w:eastAsia="fr-CA"/>
          <w14:ligatures w14:val="none"/>
        </w:rPr>
        <w:t xml:space="preserve">version 4.3.3 </w:t>
      </w:r>
      <w:r w:rsidRPr="00E0218E">
        <w:rPr>
          <w:rFonts w:ascii="Arial" w:eastAsia="Times New Roman" w:hAnsi="Arial" w:cs="Arial"/>
          <w:color w:val="000000"/>
          <w:kern w:val="0"/>
          <w:lang w:val="en-US" w:eastAsia="fr-CA"/>
          <w14:ligatures w14:val="none"/>
        </w:rPr>
        <w:t>(The R Foundation for Statistical Computing, Vienna, Austria).</w:t>
      </w:r>
      <w:r>
        <w:rPr>
          <w:rFonts w:ascii="Arial" w:eastAsia="Times New Roman" w:hAnsi="Arial" w:cs="Arial"/>
          <w:color w:val="000000"/>
          <w:kern w:val="0"/>
          <w:lang w:val="en-US" w:eastAsia="fr-CA"/>
          <w14:ligatures w14:val="none"/>
        </w:rPr>
        <w:t xml:space="preserve"> </w:t>
      </w:r>
      <w:r w:rsidRPr="00950A03">
        <w:rPr>
          <w:rFonts w:ascii="Arial" w:eastAsia="Times New Roman" w:hAnsi="Arial" w:cs="Arial"/>
          <w:color w:val="000000"/>
          <w:kern w:val="0"/>
          <w:lang w:val="en-US" w:eastAsia="fr-CA"/>
          <w14:ligatures w14:val="none"/>
        </w:rPr>
        <w:t>Data aggregation was conducted utilizing linear models, implementing fixed effects meta-analysis as the primary method for analysis.</w:t>
      </w:r>
      <w:r>
        <w:rPr>
          <w:rFonts w:ascii="Arial" w:eastAsia="Times New Roman" w:hAnsi="Arial" w:cs="Arial"/>
          <w:kern w:val="0"/>
          <w:sz w:val="24"/>
          <w:szCs w:val="24"/>
          <w:lang w:val="en-US" w:eastAsia="fr-CA"/>
          <w14:ligatures w14:val="none"/>
        </w:rPr>
        <w:t xml:space="preserve"> </w:t>
      </w:r>
      <w:r>
        <w:rPr>
          <w:rFonts w:ascii="Arial" w:eastAsia="Times New Roman" w:hAnsi="Arial" w:cs="Arial"/>
          <w:kern w:val="0"/>
          <w:lang w:val="en-US" w:eastAsia="fr-CA"/>
          <w14:ligatures w14:val="none"/>
        </w:rPr>
        <w:t xml:space="preserve">As previously reported methodology, </w:t>
      </w:r>
      <w:r>
        <w:rPr>
          <w:rFonts w:ascii="Arial" w:eastAsia="Times New Roman" w:hAnsi="Arial" w:cs="Arial"/>
          <w:color w:val="000000"/>
          <w:kern w:val="0"/>
          <w:lang w:val="en-US" w:eastAsia="fr-CA"/>
          <w14:ligatures w14:val="none"/>
        </w:rPr>
        <w:t>c</w:t>
      </w:r>
      <w:r w:rsidRPr="00E0218E">
        <w:rPr>
          <w:rFonts w:ascii="Arial" w:eastAsia="Times New Roman" w:hAnsi="Arial" w:cs="Arial"/>
          <w:color w:val="000000"/>
          <w:kern w:val="0"/>
          <w:lang w:val="en-US" w:eastAsia="fr-CA"/>
          <w14:ligatures w14:val="none"/>
        </w:rPr>
        <w:t>omparisons with Bayesian models with random-effects meta-analysis were performed as sensitivity analyses</w:t>
      </w:r>
      <w:sdt>
        <w:sdtPr>
          <w:rPr>
            <w:rFonts w:ascii="Arial" w:eastAsia="Times New Roman" w:hAnsi="Arial" w:cs="Arial"/>
            <w:color w:val="000000"/>
            <w:kern w:val="0"/>
            <w:vertAlign w:val="superscript"/>
            <w:lang w:val="en-US" w:eastAsia="fr-CA"/>
            <w14:ligatures w14:val="none"/>
          </w:rPr>
          <w:tag w:val="MENDELEY_CITATION_v3_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"/>
          <w:id w:val="-1663922125"/>
          <w:placeholder>
            <w:docPart w:val="DefaultPlaceholder_-1854013440"/>
          </w:placeholder>
        </w:sdtPr>
        <w:sdtContent>
          <w:r w:rsidR="00C83DC9" w:rsidRPr="00C83DC9">
            <w:rPr>
              <w:rFonts w:ascii="Arial" w:eastAsia="Times New Roman" w:hAnsi="Arial" w:cs="Arial"/>
              <w:color w:val="000000"/>
              <w:kern w:val="0"/>
              <w:vertAlign w:val="superscript"/>
              <w:lang w:val="en-US" w:eastAsia="fr-CA"/>
              <w14:ligatures w14:val="none"/>
            </w:rPr>
            <w:t>2</w:t>
          </w:r>
        </w:sdtContent>
      </w:sdt>
      <w:r w:rsidRPr="00E0218E">
        <w:rPr>
          <w:rFonts w:ascii="Arial" w:eastAsia="Times New Roman" w:hAnsi="Arial" w:cs="Arial"/>
          <w:color w:val="000000"/>
          <w:kern w:val="0"/>
          <w:lang w:val="en-US" w:eastAsia="fr-CA"/>
          <w14:ligatures w14:val="none"/>
        </w:rPr>
        <w:t>.</w:t>
      </w:r>
      <w:r w:rsidRPr="000D4C9E">
        <w:rPr>
          <w:rFonts w:ascii="Arial" w:eastAsia="Times New Roman" w:hAnsi="Arial" w:cs="Arial"/>
          <w:kern w:val="0"/>
          <w:lang w:val="en-US" w:eastAsia="fr-CA"/>
          <w14:ligatures w14:val="none"/>
        </w:rPr>
        <w:t xml:space="preserve"> </w:t>
      </w:r>
    </w:p>
    <w:p w14:paraId="39A18710" w14:textId="77777777" w:rsidR="00C83DC9" w:rsidRDefault="00C83DC9" w:rsidP="00B6175D">
      <w:pPr>
        <w:spacing w:after="0" w:line="240" w:lineRule="auto"/>
        <w:rPr>
          <w:rFonts w:ascii="Arial" w:eastAsia="Times New Roman" w:hAnsi="Arial" w:cs="Arial"/>
          <w:kern w:val="0"/>
          <w:lang w:val="en-US" w:eastAsia="fr-CA"/>
          <w14:ligatures w14:val="none"/>
        </w:rPr>
      </w:pPr>
    </w:p>
    <w:p w14:paraId="62CF4DAC" w14:textId="45399223" w:rsidR="00C83DC9" w:rsidRDefault="00C83DC9" w:rsidP="00B6175D">
      <w:pPr>
        <w:spacing w:after="0" w:line="240" w:lineRule="auto"/>
        <w:rPr>
          <w:rFonts w:ascii="Arial" w:eastAsia="Times New Roman" w:hAnsi="Arial" w:cs="Arial"/>
          <w:b/>
          <w:bCs/>
          <w:kern w:val="0"/>
          <w:lang w:val="en-US" w:eastAsia="fr-CA"/>
          <w14:ligatures w14:val="none"/>
        </w:rPr>
      </w:pPr>
      <w:r w:rsidRPr="004411FB">
        <w:rPr>
          <w:rFonts w:ascii="Arial" w:eastAsia="Times New Roman" w:hAnsi="Arial" w:cs="Arial"/>
          <w:b/>
          <w:bCs/>
          <w:kern w:val="0"/>
          <w:lang w:val="en-US" w:eastAsia="fr-CA"/>
          <w14:ligatures w14:val="none"/>
        </w:rPr>
        <w:t>REFERENCES</w:t>
      </w:r>
    </w:p>
    <w:p w14:paraId="6ABB9C01" w14:textId="77777777" w:rsidR="004411FB" w:rsidRPr="004411FB" w:rsidRDefault="004411FB" w:rsidP="00B6175D">
      <w:pPr>
        <w:spacing w:after="0" w:line="240" w:lineRule="auto"/>
        <w:rPr>
          <w:rFonts w:ascii="Arial" w:eastAsia="Times New Roman" w:hAnsi="Arial" w:cs="Arial"/>
          <w:b/>
          <w:bCs/>
          <w:kern w:val="0"/>
          <w:lang w:val="en-US" w:eastAsia="fr-CA"/>
          <w14:ligatures w14:val="none"/>
        </w:rPr>
      </w:pPr>
    </w:p>
    <w:sdt>
      <w:sdtPr>
        <w:rPr>
          <w:rFonts w:ascii="Arial" w:eastAsia="Times New Roman" w:hAnsi="Arial" w:cs="Arial"/>
          <w:color w:val="000000"/>
          <w:kern w:val="0"/>
          <w:lang w:val="en-US" w:eastAsia="fr-CA"/>
          <w14:ligatures w14:val="none"/>
        </w:rPr>
        <w:tag w:val="MENDELEY_BIBLIOGRAPHY"/>
        <w:id w:val="-1530564587"/>
        <w:placeholder>
          <w:docPart w:val="DefaultPlaceholder_-1854013440"/>
        </w:placeholder>
      </w:sdtPr>
      <w:sdtContent>
        <w:p w14:paraId="6FBDAD26" w14:textId="18F5F353" w:rsidR="00C83DC9" w:rsidRPr="004411FB" w:rsidRDefault="00C83DC9">
          <w:pPr>
            <w:autoSpaceDE w:val="0"/>
            <w:autoSpaceDN w:val="0"/>
            <w:ind w:hanging="640"/>
            <w:divId w:val="1570308407"/>
            <w:rPr>
              <w:rFonts w:eastAsia="Times New Roman"/>
              <w:kern w:val="0"/>
              <w:sz w:val="24"/>
              <w:szCs w:val="24"/>
              <w:lang w:val="en-US"/>
              <w14:ligatures w14:val="none"/>
            </w:rPr>
          </w:pPr>
          <w:r w:rsidRPr="00C83DC9">
            <w:rPr>
              <w:rFonts w:eastAsia="Times New Roman"/>
              <w:lang w:val="en-US"/>
            </w:rPr>
            <w:t>1</w:t>
          </w:r>
          <w:r w:rsidRPr="00C83DC9">
            <w:rPr>
              <w:rFonts w:eastAsia="Times New Roman"/>
              <w:lang w:val="en-US"/>
            </w:rPr>
            <w:tab/>
          </w:r>
          <w:r w:rsidR="004411FB" w:rsidRPr="004411FB">
            <w:rPr>
              <w:rFonts w:eastAsia="Times New Roman"/>
              <w:lang w:val="en-US"/>
            </w:rPr>
            <w:t>Howick, J., Chalmers, I.</w:t>
          </w:r>
          <w:proofErr w:type="gramStart"/>
          <w:r w:rsidR="004411FB" w:rsidRPr="004411FB">
            <w:rPr>
              <w:rFonts w:eastAsia="Times New Roman"/>
              <w:lang w:val="en-US"/>
            </w:rPr>
            <w:t xml:space="preserve">,  </w:t>
          </w:r>
          <w:proofErr w:type="spellStart"/>
          <w:r w:rsidR="004411FB" w:rsidRPr="004411FB">
            <w:rPr>
              <w:rFonts w:eastAsia="Times New Roman"/>
              <w:lang w:val="en-US"/>
            </w:rPr>
            <w:t>Glasziou</w:t>
          </w:r>
          <w:proofErr w:type="spellEnd"/>
          <w:proofErr w:type="gramEnd"/>
          <w:r w:rsidR="004411FB" w:rsidRPr="004411FB">
            <w:rPr>
              <w:rFonts w:eastAsia="Times New Roman"/>
              <w:lang w:val="en-US"/>
            </w:rPr>
            <w:t>, P.,  Greenhalgh, T., Heneghan, C., Liberati, A., Moschetti, I., Phillips, B., &amp; Thornton, H. (2011). The 2011 Oxford CEBM Evidence Levels of Evidence (Introductory Document). Oxford Centre for Evidence-Based Medicine.</w:t>
          </w:r>
        </w:p>
        <w:p w14:paraId="5AA87CC5" w14:textId="77777777" w:rsidR="00C83DC9" w:rsidRDefault="00C83DC9">
          <w:pPr>
            <w:autoSpaceDE w:val="0"/>
            <w:autoSpaceDN w:val="0"/>
            <w:ind w:hanging="640"/>
            <w:divId w:val="590547172"/>
            <w:rPr>
              <w:rFonts w:eastAsia="Times New Roman"/>
            </w:rPr>
          </w:pPr>
          <w:r w:rsidRPr="00C83DC9">
            <w:rPr>
              <w:rFonts w:eastAsia="Times New Roman"/>
              <w:lang w:val="en-US"/>
            </w:rPr>
            <w:t>2</w:t>
          </w:r>
          <w:r w:rsidRPr="00C83DC9">
            <w:rPr>
              <w:rFonts w:eastAsia="Times New Roman"/>
              <w:lang w:val="en-US"/>
            </w:rPr>
            <w:tab/>
            <w:t xml:space="preserve">Nguyen A, Xie P, Litvinov I V., Lefrançois P. Efficacy and Safety of Sonic Hedgehog Inhibitors in Basal Cell Carcinomas: An Updated Systematic Review and Meta-analysis (2009–2022). </w:t>
          </w:r>
          <w:r>
            <w:rPr>
              <w:rFonts w:eastAsia="Times New Roman"/>
              <w:i/>
              <w:iCs/>
            </w:rPr>
            <w:t xml:space="preserve">Am J Clin </w:t>
          </w:r>
          <w:proofErr w:type="spellStart"/>
          <w:r>
            <w:rPr>
              <w:rFonts w:eastAsia="Times New Roman"/>
              <w:i/>
              <w:iCs/>
            </w:rPr>
            <w:t>Dermatol</w:t>
          </w:r>
          <w:proofErr w:type="spellEnd"/>
          <w:r>
            <w:rPr>
              <w:rFonts w:eastAsia="Times New Roman"/>
            </w:rPr>
            <w:t xml:space="preserve"> 2023; </w:t>
          </w:r>
          <w:r>
            <w:rPr>
              <w:rFonts w:eastAsia="Times New Roman"/>
              <w:b/>
              <w:bCs/>
            </w:rPr>
            <w:t>24</w:t>
          </w:r>
          <w:r>
            <w:rPr>
              <w:rFonts w:eastAsia="Times New Roman"/>
            </w:rPr>
            <w:t>:359–74.</w:t>
          </w:r>
        </w:p>
        <w:p w14:paraId="6A95A3FF" w14:textId="0CC7760C" w:rsidR="00C83DC9" w:rsidRDefault="00C83DC9" w:rsidP="00B6175D">
          <w:pPr>
            <w:spacing w:after="0" w:line="240" w:lineRule="auto"/>
            <w:rPr>
              <w:rFonts w:ascii="Arial" w:eastAsia="Times New Roman" w:hAnsi="Arial" w:cs="Arial"/>
              <w:kern w:val="0"/>
              <w:lang w:val="en-US" w:eastAsia="fr-CA"/>
              <w14:ligatures w14:val="none"/>
            </w:rPr>
          </w:pPr>
          <w:r>
            <w:rPr>
              <w:rFonts w:eastAsia="Times New Roman"/>
            </w:rPr>
            <w:t> </w:t>
          </w:r>
        </w:p>
      </w:sdtContent>
    </w:sdt>
    <w:p w14:paraId="12910CF2" w14:textId="77777777" w:rsidR="00B6175D" w:rsidRDefault="00B6175D" w:rsidP="00B6175D">
      <w:pPr>
        <w:spacing w:after="0" w:line="240" w:lineRule="auto"/>
        <w:rPr>
          <w:rFonts w:ascii="Arial" w:eastAsia="Times New Roman" w:hAnsi="Arial" w:cs="Arial"/>
          <w:kern w:val="0"/>
          <w:lang w:val="en-US" w:eastAsia="fr-CA"/>
          <w14:ligatures w14:val="none"/>
        </w:rPr>
      </w:pPr>
    </w:p>
    <w:p w14:paraId="0F7E74F7" w14:textId="77777777" w:rsidR="00B6175D" w:rsidRDefault="00B6175D">
      <w:pPr>
        <w:rPr>
          <w:rFonts w:ascii="Arial" w:eastAsia="Times New Roman" w:hAnsi="Arial" w:cs="Arial"/>
          <w:color w:val="000000"/>
          <w:kern w:val="0"/>
          <w:lang w:val="en-US" w:eastAsia="fr-CA"/>
          <w14:ligatures w14:val="none"/>
        </w:rPr>
      </w:pPr>
      <w:r>
        <w:rPr>
          <w:rFonts w:ascii="Arial" w:eastAsia="Times New Roman" w:hAnsi="Arial" w:cs="Arial"/>
          <w:color w:val="000000"/>
          <w:kern w:val="0"/>
          <w:lang w:val="en-US" w:eastAsia="fr-CA"/>
          <w14:ligatures w14:val="none"/>
        </w:rPr>
        <w:br w:type="page"/>
      </w:r>
    </w:p>
    <w:p w14:paraId="0159DAD6" w14:textId="77777777" w:rsidR="00B6175D" w:rsidRDefault="00B6175D" w:rsidP="00B6175D">
      <w:pPr>
        <w:spacing w:after="0" w:line="240" w:lineRule="auto"/>
        <w:rPr>
          <w:rFonts w:ascii="Arial" w:eastAsia="Times New Roman" w:hAnsi="Arial" w:cs="Arial"/>
          <w:color w:val="000000"/>
          <w:kern w:val="0"/>
          <w:lang w:val="en-US" w:eastAsia="fr-CA"/>
          <w14:ligatures w14:val="none"/>
        </w:rPr>
      </w:pPr>
      <w:r>
        <w:rPr>
          <w:noProof/>
        </w:rPr>
        <w:lastRenderedPageBreak/>
        <w:drawing>
          <wp:inline distT="0" distB="0" distL="0" distR="0" wp14:anchorId="2A62B909" wp14:editId="2861662A">
            <wp:extent cx="5686425" cy="6667500"/>
            <wp:effectExtent l="0" t="0" r="9525" b="0"/>
            <wp:docPr id="2018186185" name="Image 1" descr="Une image contenant texte, capture d’écran, Polic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86185" name="Image 1" descr="Une image contenant texte, capture d’écran, Police, Parallèle&#10;&#10;Description générée automatiquement"/>
                    <pic:cNvPicPr/>
                  </pic:nvPicPr>
                  <pic:blipFill>
                    <a:blip r:embed="rId6"/>
                    <a:stretch>
                      <a:fillRect/>
                    </a:stretch>
                  </pic:blipFill>
                  <pic:spPr>
                    <a:xfrm>
                      <a:off x="0" y="0"/>
                      <a:ext cx="5686425" cy="6667500"/>
                    </a:xfrm>
                    <a:prstGeom prst="rect">
                      <a:avLst/>
                    </a:prstGeom>
                  </pic:spPr>
                </pic:pic>
              </a:graphicData>
            </a:graphic>
          </wp:inline>
        </w:drawing>
      </w:r>
    </w:p>
    <w:p w14:paraId="6F2CF292" w14:textId="77777777" w:rsidR="00B6175D" w:rsidRPr="00E0218E" w:rsidRDefault="00B6175D" w:rsidP="00B6175D">
      <w:pPr>
        <w:spacing w:after="0" w:line="240" w:lineRule="auto"/>
        <w:rPr>
          <w:rFonts w:ascii="Arial" w:eastAsia="Times New Roman" w:hAnsi="Arial" w:cs="Arial"/>
          <w:color w:val="000000"/>
          <w:kern w:val="0"/>
          <w:lang w:val="en-US" w:eastAsia="fr-CA"/>
          <w14:ligatures w14:val="none"/>
        </w:rPr>
      </w:pPr>
      <w:r>
        <w:rPr>
          <w:rFonts w:ascii="Arial" w:eastAsia="Times New Roman" w:hAnsi="Arial" w:cs="Arial"/>
          <w:b/>
          <w:bCs/>
          <w:color w:val="000000"/>
          <w:kern w:val="0"/>
          <w:lang w:val="en-US" w:eastAsia="fr-CA"/>
          <w14:ligatures w14:val="none"/>
        </w:rPr>
        <w:t xml:space="preserve">Supplementary </w:t>
      </w:r>
      <w:r w:rsidRPr="00252E80">
        <w:rPr>
          <w:rFonts w:ascii="Arial" w:eastAsia="Times New Roman" w:hAnsi="Arial" w:cs="Arial"/>
          <w:b/>
          <w:bCs/>
          <w:color w:val="000000"/>
          <w:kern w:val="0"/>
          <w:lang w:val="en-US" w:eastAsia="fr-CA"/>
          <w14:ligatures w14:val="none"/>
        </w:rPr>
        <w:t>Figure 1.</w:t>
      </w:r>
      <w:r>
        <w:rPr>
          <w:rFonts w:ascii="Arial" w:eastAsia="Times New Roman" w:hAnsi="Arial" w:cs="Arial"/>
          <w:color w:val="000000"/>
          <w:kern w:val="0"/>
          <w:lang w:val="en-US" w:eastAsia="fr-CA"/>
          <w14:ligatures w14:val="none"/>
        </w:rPr>
        <w:t xml:space="preserve"> PRISMA flow chart for the meta-analysis and systematic review</w:t>
      </w:r>
    </w:p>
    <w:p w14:paraId="59D3DDAD" w14:textId="77777777" w:rsidR="00B6175D" w:rsidRDefault="00B6175D" w:rsidP="00B6175D">
      <w:pPr>
        <w:rPr>
          <w:rFonts w:ascii="Arial" w:eastAsia="Times New Roman" w:hAnsi="Arial" w:cs="Arial"/>
          <w:color w:val="000000"/>
          <w:kern w:val="0"/>
          <w:lang w:val="en-US" w:eastAsia="fr-CA"/>
          <w14:ligatures w14:val="none"/>
        </w:rPr>
      </w:pPr>
    </w:p>
    <w:p w14:paraId="1DA20138" w14:textId="77777777" w:rsidR="003058A0" w:rsidRPr="00B6175D" w:rsidRDefault="003058A0">
      <w:pPr>
        <w:rPr>
          <w:lang w:val="en-US"/>
        </w:rPr>
      </w:pPr>
    </w:p>
    <w:sectPr w:rsidR="003058A0" w:rsidRPr="00B617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F2A4D"/>
    <w:multiLevelType w:val="hybridMultilevel"/>
    <w:tmpl w:val="8594054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923222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5D"/>
    <w:rsid w:val="00084252"/>
    <w:rsid w:val="001C459C"/>
    <w:rsid w:val="002B3F84"/>
    <w:rsid w:val="003058A0"/>
    <w:rsid w:val="00396F7F"/>
    <w:rsid w:val="004411FB"/>
    <w:rsid w:val="00675190"/>
    <w:rsid w:val="0074565E"/>
    <w:rsid w:val="007507BE"/>
    <w:rsid w:val="007E776D"/>
    <w:rsid w:val="009074CC"/>
    <w:rsid w:val="009D7CDE"/>
    <w:rsid w:val="00A3516D"/>
    <w:rsid w:val="00B6175D"/>
    <w:rsid w:val="00C83DC9"/>
    <w:rsid w:val="00CF1F0F"/>
    <w:rsid w:val="00D0195B"/>
    <w:rsid w:val="00EB6BAA"/>
    <w:rsid w:val="00F153FE"/>
    <w:rsid w:val="00F368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C5C1"/>
  <w15:chartTrackingRefBased/>
  <w15:docId w15:val="{886D84C3-1A31-4124-87F7-43B33416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75D"/>
  </w:style>
  <w:style w:type="paragraph" w:styleId="Titre1">
    <w:name w:val="heading 1"/>
    <w:basedOn w:val="Normal"/>
    <w:next w:val="Normal"/>
    <w:link w:val="Titre1Car"/>
    <w:uiPriority w:val="9"/>
    <w:qFormat/>
    <w:rsid w:val="00B61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61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175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175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175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17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17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17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17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175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6175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175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175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175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17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17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17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175D"/>
    <w:rPr>
      <w:rFonts w:eastAsiaTheme="majorEastAsia" w:cstheme="majorBidi"/>
      <w:color w:val="272727" w:themeColor="text1" w:themeTint="D8"/>
    </w:rPr>
  </w:style>
  <w:style w:type="paragraph" w:styleId="Titre">
    <w:name w:val="Title"/>
    <w:basedOn w:val="Normal"/>
    <w:next w:val="Normal"/>
    <w:link w:val="TitreCar"/>
    <w:uiPriority w:val="10"/>
    <w:qFormat/>
    <w:rsid w:val="00B61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617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617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617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6175D"/>
    <w:pPr>
      <w:spacing w:before="160"/>
      <w:jc w:val="center"/>
    </w:pPr>
    <w:rPr>
      <w:i/>
      <w:iCs/>
      <w:color w:val="404040" w:themeColor="text1" w:themeTint="BF"/>
    </w:rPr>
  </w:style>
  <w:style w:type="character" w:customStyle="1" w:styleId="CitationCar">
    <w:name w:val="Citation Car"/>
    <w:basedOn w:val="Policepardfaut"/>
    <w:link w:val="Citation"/>
    <w:uiPriority w:val="29"/>
    <w:rsid w:val="00B6175D"/>
    <w:rPr>
      <w:i/>
      <w:iCs/>
      <w:color w:val="404040" w:themeColor="text1" w:themeTint="BF"/>
    </w:rPr>
  </w:style>
  <w:style w:type="paragraph" w:styleId="Paragraphedeliste">
    <w:name w:val="List Paragraph"/>
    <w:basedOn w:val="Normal"/>
    <w:uiPriority w:val="34"/>
    <w:qFormat/>
    <w:rsid w:val="00B6175D"/>
    <w:pPr>
      <w:ind w:left="720"/>
      <w:contextualSpacing/>
    </w:pPr>
  </w:style>
  <w:style w:type="character" w:styleId="Accentuationintense">
    <w:name w:val="Intense Emphasis"/>
    <w:basedOn w:val="Policepardfaut"/>
    <w:uiPriority w:val="21"/>
    <w:qFormat/>
    <w:rsid w:val="00B6175D"/>
    <w:rPr>
      <w:i/>
      <w:iCs/>
      <w:color w:val="0F4761" w:themeColor="accent1" w:themeShade="BF"/>
    </w:rPr>
  </w:style>
  <w:style w:type="paragraph" w:styleId="Citationintense">
    <w:name w:val="Intense Quote"/>
    <w:basedOn w:val="Normal"/>
    <w:next w:val="Normal"/>
    <w:link w:val="CitationintenseCar"/>
    <w:uiPriority w:val="30"/>
    <w:qFormat/>
    <w:rsid w:val="00B61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175D"/>
    <w:rPr>
      <w:i/>
      <w:iCs/>
      <w:color w:val="0F4761" w:themeColor="accent1" w:themeShade="BF"/>
    </w:rPr>
  </w:style>
  <w:style w:type="character" w:styleId="Rfrenceintense">
    <w:name w:val="Intense Reference"/>
    <w:basedOn w:val="Policepardfaut"/>
    <w:uiPriority w:val="32"/>
    <w:qFormat/>
    <w:rsid w:val="00B6175D"/>
    <w:rPr>
      <w:b/>
      <w:bCs/>
      <w:smallCaps/>
      <w:color w:val="0F4761" w:themeColor="accent1" w:themeShade="BF"/>
      <w:spacing w:val="5"/>
    </w:rPr>
  </w:style>
  <w:style w:type="character" w:styleId="Textedelespacerserv">
    <w:name w:val="Placeholder Text"/>
    <w:basedOn w:val="Policepardfaut"/>
    <w:uiPriority w:val="99"/>
    <w:semiHidden/>
    <w:rsid w:val="00D019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29483">
      <w:bodyDiv w:val="1"/>
      <w:marLeft w:val="0"/>
      <w:marRight w:val="0"/>
      <w:marTop w:val="0"/>
      <w:marBottom w:val="0"/>
      <w:divBdr>
        <w:top w:val="none" w:sz="0" w:space="0" w:color="auto"/>
        <w:left w:val="none" w:sz="0" w:space="0" w:color="auto"/>
        <w:bottom w:val="none" w:sz="0" w:space="0" w:color="auto"/>
        <w:right w:val="none" w:sz="0" w:space="0" w:color="auto"/>
      </w:divBdr>
      <w:divsChild>
        <w:div w:id="1570308407">
          <w:marLeft w:val="640"/>
          <w:marRight w:val="0"/>
          <w:marTop w:val="0"/>
          <w:marBottom w:val="0"/>
          <w:divBdr>
            <w:top w:val="none" w:sz="0" w:space="0" w:color="auto"/>
            <w:left w:val="none" w:sz="0" w:space="0" w:color="auto"/>
            <w:bottom w:val="none" w:sz="0" w:space="0" w:color="auto"/>
            <w:right w:val="none" w:sz="0" w:space="0" w:color="auto"/>
          </w:divBdr>
        </w:div>
        <w:div w:id="590547172">
          <w:marLeft w:val="640"/>
          <w:marRight w:val="0"/>
          <w:marTop w:val="0"/>
          <w:marBottom w:val="0"/>
          <w:divBdr>
            <w:top w:val="none" w:sz="0" w:space="0" w:color="auto"/>
            <w:left w:val="none" w:sz="0" w:space="0" w:color="auto"/>
            <w:bottom w:val="none" w:sz="0" w:space="0" w:color="auto"/>
            <w:right w:val="none" w:sz="0" w:space="0" w:color="auto"/>
          </w:divBdr>
        </w:div>
      </w:divsChild>
    </w:div>
    <w:div w:id="1614022602">
      <w:bodyDiv w:val="1"/>
      <w:marLeft w:val="0"/>
      <w:marRight w:val="0"/>
      <w:marTop w:val="0"/>
      <w:marBottom w:val="0"/>
      <w:divBdr>
        <w:top w:val="none" w:sz="0" w:space="0" w:color="auto"/>
        <w:left w:val="none" w:sz="0" w:space="0" w:color="auto"/>
        <w:bottom w:val="none" w:sz="0" w:space="0" w:color="auto"/>
        <w:right w:val="none" w:sz="0" w:space="0" w:color="auto"/>
      </w:divBdr>
      <w:divsChild>
        <w:div w:id="1356955104">
          <w:marLeft w:val="640"/>
          <w:marRight w:val="0"/>
          <w:marTop w:val="0"/>
          <w:marBottom w:val="0"/>
          <w:divBdr>
            <w:top w:val="none" w:sz="0" w:space="0" w:color="auto"/>
            <w:left w:val="none" w:sz="0" w:space="0" w:color="auto"/>
            <w:bottom w:val="none" w:sz="0" w:space="0" w:color="auto"/>
            <w:right w:val="none" w:sz="0" w:space="0" w:color="auto"/>
          </w:divBdr>
        </w:div>
        <w:div w:id="2066488344">
          <w:marLeft w:val="640"/>
          <w:marRight w:val="0"/>
          <w:marTop w:val="0"/>
          <w:marBottom w:val="0"/>
          <w:divBdr>
            <w:top w:val="none" w:sz="0" w:space="0" w:color="auto"/>
            <w:left w:val="none" w:sz="0" w:space="0" w:color="auto"/>
            <w:bottom w:val="none" w:sz="0" w:space="0" w:color="auto"/>
            <w:right w:val="none" w:sz="0" w:space="0" w:color="auto"/>
          </w:divBdr>
        </w:div>
      </w:divsChild>
    </w:div>
    <w:div w:id="2019691389">
      <w:bodyDiv w:val="1"/>
      <w:marLeft w:val="0"/>
      <w:marRight w:val="0"/>
      <w:marTop w:val="0"/>
      <w:marBottom w:val="0"/>
      <w:divBdr>
        <w:top w:val="none" w:sz="0" w:space="0" w:color="auto"/>
        <w:left w:val="none" w:sz="0" w:space="0" w:color="auto"/>
        <w:bottom w:val="none" w:sz="0" w:space="0" w:color="auto"/>
        <w:right w:val="none" w:sz="0" w:space="0" w:color="auto"/>
      </w:divBdr>
      <w:divsChild>
        <w:div w:id="1899434877">
          <w:marLeft w:val="640"/>
          <w:marRight w:val="0"/>
          <w:marTop w:val="0"/>
          <w:marBottom w:val="0"/>
          <w:divBdr>
            <w:top w:val="none" w:sz="0" w:space="0" w:color="auto"/>
            <w:left w:val="none" w:sz="0" w:space="0" w:color="auto"/>
            <w:bottom w:val="none" w:sz="0" w:space="0" w:color="auto"/>
            <w:right w:val="none" w:sz="0" w:space="0" w:color="auto"/>
          </w:divBdr>
        </w:div>
        <w:div w:id="1467551473">
          <w:marLeft w:val="640"/>
          <w:marRight w:val="0"/>
          <w:marTop w:val="0"/>
          <w:marBottom w:val="0"/>
          <w:divBdr>
            <w:top w:val="none" w:sz="0" w:space="0" w:color="auto"/>
            <w:left w:val="none" w:sz="0" w:space="0" w:color="auto"/>
            <w:bottom w:val="none" w:sz="0" w:space="0" w:color="auto"/>
            <w:right w:val="none" w:sz="0" w:space="0" w:color="auto"/>
          </w:divBdr>
        </w:div>
        <w:div w:id="196596659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énéral"/>
          <w:gallery w:val="placeholder"/>
        </w:category>
        <w:types>
          <w:type w:val="bbPlcHdr"/>
        </w:types>
        <w:behaviors>
          <w:behavior w:val="content"/>
        </w:behaviors>
        <w:guid w:val="{235C3F62-E8D4-4A43-A400-7486E933304A}"/>
      </w:docPartPr>
      <w:docPartBody>
        <w:p w:rsidR="00000000" w:rsidRDefault="008F5D0B">
          <w:r w:rsidRPr="00A619F8">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00"/>
    <w:rsid w:val="00127AE6"/>
    <w:rsid w:val="00462B0B"/>
    <w:rsid w:val="00563F00"/>
    <w:rsid w:val="007507BE"/>
    <w:rsid w:val="008F5D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F5D0B"/>
    <w:rPr>
      <w:color w:val="666666"/>
    </w:rPr>
  </w:style>
  <w:style w:type="paragraph" w:customStyle="1" w:styleId="74AB3EB6ADF74B2CBE8DEA7B34BE3419">
    <w:name w:val="74AB3EB6ADF74B2CBE8DEA7B34BE3419"/>
    <w:rsid w:val="00563F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BCEC3F-B5E5-4481-B018-BAA3130B8605}">
  <we:reference id="wa104382081" version="1.55.1.0" store="fr-CA" storeType="OMEX"/>
  <we:alternateReferences>
    <we:reference id="wa104382081" version="1.55.1.0" store="" storeType="OMEX"/>
  </we:alternateReferences>
  <we:properties>
    <we:property name="MENDELEY_CITATIONS" value="[{&quot;citationID&quot;:&quot;MENDELEY_CITATION_95921aa1-fc60-496e-9589-18f96228b57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&quot;,&quot;citationItems&quot;:[{&quot;id&quot;:&quot;fc549efd-b09e-3f98-aa17-5fd605b76fac&quot;,&quot;itemData&quot;:{&quot;type&quot;:&quot;webpage&quot;,&quot;id&quot;:&quot;fc549efd-b09e-3f98-aa17-5fd605b76fac&quot;,&quot;title&quot;:&quot;The Oxford CEBM Levels of Evidence: Introductory Document | KT Pathways&quot;,&quot;accessed&quot;:{&quot;date-parts&quot;:[[2024,11,12]]},&quot;URL&quot;:&quot;https://www.ktpathways.ca/resources/oxford-cebm-levels-evidence-introductory-document&quot;,&quot;container-title-short&quot;:&quot;&quot;},&quot;isTemporary&quot;:false}]},{&quot;citationID&quot;:&quot;MENDELEY_CITATION_027194cf-07bc-4bcf-a219-59a391356c99&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&quot;,&quot;citationItems&quot;:[{&quot;id&quot;:&quot;79201192-8ec0-35c7-9236-f7de00842302&quot;,&quot;itemData&quot;:{&quot;type&quot;:&quot;article-journal&quot;,&quot;id&quot;:&quot;79201192-8ec0-35c7-9236-f7de00842302&quot;,&quot;title&quot;:&quot;Efficacy and Safety of Sonic Hedgehog Inhibitors in Basal Cell Carcinomas: An Updated Systematic Review and Meta-analysis (2009–2022)&quot;,&quot;author&quot;:[{&quot;family&quot;:&quot;Nguyen&quot;,&quot;given&quot;:&quot;Alex&quot;,&quot;parse-names&quot;:false,&quot;dropping-particle&quot;:&quot;&quot;,&quot;non-dropping-particle&quot;:&quot;&quot;},{&quot;family&quot;:&quot;Xie&quot;,&quot;given&quot;:&quot;Pingxing&quot;,&quot;parse-names&quot;:false,&quot;dropping-particle&quot;:&quot;&quot;,&quot;non-dropping-particle&quot;:&quot;&quot;},{&quot;family&quot;:&quot;Litvinov&quot;,&quot;given&quot;:&quot;Ivan&quot;,&quot;parse-names&quot;:false,&quot;dropping-particle&quot;:&quot;V.&quot;,&quot;non-dropping-particle&quot;:&quot;&quot;},{&quot;family&quot;:&quot;Lefrançois&quot;,&quot;given&quot;:&quot;Philippe&quot;,&quot;parse-names&quot;:false,&quot;dropping-particle&quot;:&quot;&quot;,&quot;non-dropping-particle&quot;:&quot;&quot;}],&quot;container-title&quot;:&quot;American Journal of Clinical Dermatology&quot;,&quot;container-title-short&quot;:&quot;Am J Clin Dermatol&quot;,&quot;accessed&quot;:{&quot;date-parts&quot;:[[2024,11,10]]},&quot;DOI&quot;:&quot;10.1007/S40257-023-00763-X/TABLES/6&quot;,&quot;ISSN&quot;:&quot;11791888&quot;,&quot;PMID&quot;:&quot;36795228&quot;,&quot;URL&quot;:&quot;https://link.springer.com/article/10.1007/s40257-023-00763-x&quot;,&quot;issued&quot;:{&quot;date-parts&quot;:[[2023,5,1]]},&quot;page&quot;:&quot;359-374&quot;,&quot;abstract&quot;:&quot;Background: Basal cell carcinoma (BCC) of the skin is the most common form of skin cancer in the United States. In life-threatening, advanced BCC, sonic hedgehog inhibitors (SSHis) remain a pre-eminent treatment option for locally advanced BCC and metastatic BCC. Objective: In this updated systematic review and meta-analysis, we aimed to better characterize the efficacy and safety of SSHis by including final updates from pivotal clinical trials and additional new recent studies. Methods: An electronic database search was performed for articles including clinical trials, prospective case series, and retrospective medical record reviews on human subjects. Overall response rates (ORRs) and complete response rates (CRRs) were the primary outcomes. For safety assessment, the prevalence of the following adverse effects was analyzed: muscle spasms, dysgeusia, alopecia, weight loss, fatigue, nausea, myalgias, vomiting, skin squamous cell carcinoma, increased creatine kinase, diarrhea, decreased appetite, and amenorrhea. Analyses were performed using R statistical software. Data were pooled using linear models with fixed effects meta-analysis for primary analyses, along with 95% confidence intervals (CIs) and p-values. Intermolecular differences were calculated using Fisher’s exact test. Results: A total of 22 studies (N = 2384 patients) were included in the meta-analysis: 19 studies assessing both efficacy and safety, 2 studies assessing safety only, and 1 study assessing efficacy only. Overall, the pooled ORR for all patients was 64.9% (95% CI 48.2–81.6%), implicating there is at least a partial response (z = 7.60, p &lt; 0.0001) in most patients receiving SSHis. The ORR for vismodegib was 68.5% and 50.1% for sonidegib. The most common adverse effects for vismodegib and sonidegib were muscle spasms (70.5% and 61.0%, respectively), dysgeusia (58.4% and 48.6%, respectively), and alopecia (59.9% and 51.1%, respectively). Patients were likely to experience weight loss (35.1%, p &lt; 0.0001) from vismodegib. Alternatively, patients taking sonidegib experienced more nausea, diarrhea, increased creatine kinase levels, and decreased appetite compared with those receiving vismodegib. Conclusion: SSHis are an effective treatment for advanced BCC disease. Given the high discontinuation rates, management of patient expectations is warranted for compliance and achieving long-term efficacy. It is essential to stay updated with the latest discoveries on the efficacy and safety of SSHis.&quot;,&quot;publisher&quot;:&quot;Adis&quot;,&quot;issue&quot;:&quot;3&quot;,&quot;volume&quot;:&quot;24&quot;},&quot;isTemporary&quot;:false}]},{&quot;citationID&quot;:&quot;MENDELEY_CITATION_e92b3845-98e6-4223-af3b-42363f1ed8e7&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&quot;,&quot;citationItems&quot;:[{&quot;id&quot;:&quot;79201192-8ec0-35c7-9236-f7de00842302&quot;,&quot;itemData&quot;:{&quot;type&quot;:&quot;article-journal&quot;,&quot;id&quot;:&quot;79201192-8ec0-35c7-9236-f7de00842302&quot;,&quot;title&quot;:&quot;Efficacy and Safety of Sonic Hedgehog Inhibitors in Basal Cell Carcinomas: An Updated Systematic Review and Meta-analysis (2009–2022)&quot;,&quot;author&quot;:[{&quot;family&quot;:&quot;Nguyen&quot;,&quot;given&quot;:&quot;Alex&quot;,&quot;parse-names&quot;:false,&quot;dropping-particle&quot;:&quot;&quot;,&quot;non-dropping-particle&quot;:&quot;&quot;},{&quot;family&quot;:&quot;Xie&quot;,&quot;given&quot;:&quot;Pingxing&quot;,&quot;parse-names&quot;:false,&quot;dropping-particle&quot;:&quot;&quot;,&quot;non-dropping-particle&quot;:&quot;&quot;},{&quot;family&quot;:&quot;Litvinov&quot;,&quot;given&quot;:&quot;Ivan&quot;,&quot;parse-names&quot;:false,&quot;dropping-particle&quot;:&quot;V.&quot;,&quot;non-dropping-particle&quot;:&quot;&quot;},{&quot;family&quot;:&quot;Lefrançois&quot;,&quot;given&quot;:&quot;Philippe&quot;,&quot;parse-names&quot;:false,&quot;dropping-particle&quot;:&quot;&quot;,&quot;non-dropping-particle&quot;:&quot;&quot;}],&quot;container-title&quot;:&quot;American Journal of Clinical Dermatology&quot;,&quot;container-title-short&quot;:&quot;Am J Clin Dermatol&quot;,&quot;accessed&quot;:{&quot;date-parts&quot;:[[2024,11,10]]},&quot;DOI&quot;:&quot;10.1007/S40257-023-00763-X/TABLES/6&quot;,&quot;ISSN&quot;:&quot;11791888&quot;,&quot;PMID&quot;:&quot;36795228&quot;,&quot;URL&quot;:&quot;https://link.springer.com/article/10.1007/s40257-023-00763-x&quot;,&quot;issued&quot;:{&quot;date-parts&quot;:[[2023,5,1]]},&quot;page&quot;:&quot;359-374&quot;,&quot;abstract&quot;:&quot;Background: Basal cell carcinoma (BCC) of the skin is the most common form of skin cancer in the United States. In life-threatening, advanced BCC, sonic hedgehog inhibitors (SSHis) remain a pre-eminent treatment option for locally advanced BCC and metastatic BCC. Objective: In this updated systematic review and meta-analysis, we aimed to better characterize the efficacy and safety of SSHis by including final updates from pivotal clinical trials and additional new recent studies. Methods: An electronic database search was performed for articles including clinical trials, prospective case series, and retrospective medical record reviews on human subjects. Overall response rates (ORRs) and complete response rates (CRRs) were the primary outcomes. For safety assessment, the prevalence of the following adverse effects was analyzed: muscle spasms, dysgeusia, alopecia, weight loss, fatigue, nausea, myalgias, vomiting, skin squamous cell carcinoma, increased creatine kinase, diarrhea, decreased appetite, and amenorrhea. Analyses were performed using R statistical software. Data were pooled using linear models with fixed effects meta-analysis for primary analyses, along with 95% confidence intervals (CIs) and p-values. Intermolecular differences were calculated using Fisher’s exact test. Results: A total of 22 studies (N = 2384 patients) were included in the meta-analysis: 19 studies assessing both efficacy and safety, 2 studies assessing safety only, and 1 study assessing efficacy only. Overall, the pooled ORR for all patients was 64.9% (95% CI 48.2–81.6%), implicating there is at least a partial response (z = 7.60, p &lt; 0.0001) in most patients receiving SSHis. The ORR for vismodegib was 68.5% and 50.1% for sonidegib. The most common adverse effects for vismodegib and sonidegib were muscle spasms (70.5% and 61.0%, respectively), dysgeusia (58.4% and 48.6%, respectively), and alopecia (59.9% and 51.1%, respectively). Patients were likely to experience weight loss (35.1%, p &lt; 0.0001) from vismodegib. Alternatively, patients taking sonidegib experienced more nausea, diarrhea, increased creatine kinase levels, and decreased appetite compared with those receiving vismodegib. Conclusion: SSHis are an effective treatment for advanced BCC disease. Given the high discontinuation rates, management of patient expectations is warranted for compliance and achieving long-term efficacy. It is essential to stay updated with the latest discoveries on the efficacy and safety of SSHis.&quot;,&quot;publisher&quot;:&quot;Adis&quot;,&quot;issue&quot;:&quot;3&quot;,&quot;volume&quot;:&quot;24&quot;},&quot;isTemporary&quot;:false}]}]"/>
    <we:property name="MENDELEY_CITATIONS_LOCALE_CODE" value="&quot;en-GB&quot;"/>
    <we:property name="MENDELEY_CITATIONS_STYLE" value="{&quot;id&quot;:&quot;https://www.zotero.org/styles/british-journal-of-dermatology&quot;,&quot;title&quot;:&quot;British Journal of Dermatology&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9B196-7F26-4C71-A33F-16DF491E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781</Words>
  <Characters>4297</Characters>
  <Application>Microsoft Office Word</Application>
  <DocSecurity>0</DocSecurity>
  <Lines>35</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 Joly-Chevrier</dc:creator>
  <cp:keywords/>
  <dc:description/>
  <cp:lastModifiedBy>Maxine Joly-Chevrier</cp:lastModifiedBy>
  <cp:revision>13</cp:revision>
  <dcterms:created xsi:type="dcterms:W3CDTF">2024-11-13T13:42:00Z</dcterms:created>
  <dcterms:modified xsi:type="dcterms:W3CDTF">2024-11-13T13:59:00Z</dcterms:modified>
</cp:coreProperties>
</file>