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0.png" ContentType="image/png"/>
  <Override PartName="/word/media/rId53.png" ContentType="image/png"/>
  <Override PartName="/word/media/rId54.png" ContentType="image/png"/>
  <Override PartName="/word/media/rId55.png" ContentType="image/png"/>
  <Override PartName="/word/media/rId56.png" ContentType="image/png"/>
  <Override PartName="/word/media/rId49.png" ContentType="image/png"/>
  <Override PartName="/word/media/rId50.png" ContentType="image/png"/>
  <Override PartName="/word/media/rId51.png" ContentType="image/png"/>
  <Override PartName="/word/media/rId52.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Sept. 12,</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 2016,</w:t>
      </w:r>
      <w:r>
        <w:t xml:space="preserve"> </w:t>
      </w:r>
      <w:r>
        <w:t xml:space="preserve">Stephens</w:t>
      </w:r>
      <w:r>
        <w:t xml:space="preserve"> </w:t>
      </w:r>
      <w:r>
        <w:t xml:space="preserve">et</w:t>
      </w:r>
      <w:r>
        <w:t xml:space="preserve"> </w:t>
      </w:r>
      <w:r>
        <w:t xml:space="preserve">al. 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main-points-key-factors"/>
      <w:r>
        <w:t xml:space="preserve">1. Introduction, Main Points, Key Factors</w:t>
      </w:r>
      <w:bookmarkEnd w:id="20"/>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1" w:name="important-driving-factors-have-an-economic-dimension"/>
      <w:r>
        <w:t xml:space="preserve">Important driving factors have an economic dimension</w:t>
      </w:r>
      <w:bookmarkEnd w:id="21"/>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2" w:name="key-questions-in-order-of-attention-paid-here"/>
      <w:r>
        <w:t xml:space="preserve">Key Questions (in order of attention paid here)</w:t>
      </w:r>
      <w:bookmarkEnd w:id="22"/>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3" w:name="contributions-of-this-paper"/>
      <w:r>
        <w:t xml:space="preserve">Contributions of this paper</w:t>
      </w:r>
      <w:bookmarkEnd w:id="23"/>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4" w:name="limitations"/>
      <w:r>
        <w:t xml:space="preserve">Limitations</w:t>
      </w:r>
      <w:bookmarkEnd w:id="24"/>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5" w:name="decomposition-of-energy-and-ghg-impacts-of-cavs"/>
      <w:r>
        <w:t xml:space="preserve">2. Decomposition of Energy and GHG Impacts of CAVs</w:t>
      </w:r>
      <w:bookmarkEnd w:id="25"/>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6"/>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7"/>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8" w:name="mechanisms-by-which-cavs-can-alter-energy-use-and-emissiona"/>
      <w:r>
        <w:t xml:space="preserve">Mechanisms by Which CAVs Can Alter Energy Use and Emissiona</w:t>
      </w:r>
      <w:bookmarkEnd w:id="28"/>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29" w:name="estimating-energy-impacts"/>
      <w:r>
        <w:t xml:space="preserve">3. Estimating Energy Impacts</w:t>
      </w:r>
      <w:bookmarkEnd w:id="29"/>
    </w:p>
    <w:p>
      <w:pPr>
        <w:pStyle w:val="FirstParagraph"/>
      </w:pPr>
      <w:r>
        <w:t xml:space="preserve">We define the effects of automation on vehicle energy intensity (energy per vehicle km traveled) through a set of identified technological and operational</w:t>
      </w:r>
      <w:r>
        <w:t xml:space="preserve"> </w:t>
      </w:r>
      <w:r>
        <w:t xml:space="preserve">“</w:t>
      </w:r>
      <w:r>
        <w:t xml:space="preserve">mechanisms.</w:t>
      </w:r>
      <w:r>
        <w:t xml:space="preserve">”</w:t>
      </w:r>
    </w:p>
    <w:p>
      <w:pPr>
        <w:pStyle w:val="BodyText"/>
      </w:pPr>
      <w:r>
        <w:t xml:space="preserve">The estimation for the midcase energy intensity impacts of each mechanism is based on literature review</w:t>
      </w:r>
      <w:r>
        <w:rPr>
          <w:rStyle w:val="FootnoteReference"/>
        </w:rPr>
        <w:footnoteReference w:id="30"/>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1" w:name="construct-multiplicative-factors-to-apply-to-energy-intensities-for-each-mechanism"/>
      <w:r>
        <w:t xml:space="preserve">3.1 Construct multiplicative factors to apply to energy intensities for each mechanism</w:t>
      </w:r>
      <w:bookmarkEnd w:id="31"/>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2"/>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Increased_feature_load</w:t>
      </w:r>
      <w:r>
        <w:t xml:space="preserve">”</w:t>
      </w:r>
      <w:r>
        <w:t xml:space="preserve"> </w:t>
      </w:r>
      <w:r>
        <w:t xml:space="preserve">apply only to LDV passenger travel.</w:t>
      </w:r>
    </w:p>
    <w:p>
      <w:pPr>
        <w:pStyle w:val="Heading3"/>
      </w:pPr>
      <w:bookmarkStart w:id="32" w:name="energy-intensity-by-vehicle-type-and-technology-scenario-by-composing-mechanism-effects"/>
      <w:r>
        <w:t xml:space="preserve">3.2 Energy Intensity by Vehicle Type and Technology Scenario, by Composing Mechanism Effects</w:t>
      </w:r>
      <w:bookmarkEnd w:id="32"/>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Effect Sensitivity Cases by Vehicle Class, Year, AV Mechanism and Tech Scenario</w:t>
      </w:r>
    </w:p>
    <w:tbl>
      <w:tblPr>
        <w:tblStyle w:val="Table"/>
        <w:tblW w:type="pct" w:w="0.0"/>
        <w:tblLook w:firstRow="1"/>
        <w:tblCaption w:val="Effect Sensitivity Cases by Vehicle Class, Year, AV Mechanism and Tech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Specify VoTT assumptions for LDV and HDV by Scenario here?</w:t>
      </w:r>
    </w:p>
    <w:p>
      <w:pPr>
        <w:pStyle w:val="BodyText"/>
      </w:pPr>
      <w:r>
        <w:t xml:space="preserve">The total energy intensity multiplier for each scenario</w:t>
      </w:r>
      <w:r>
        <w:t xml:space="preserve"> </w:t>
      </w:r>
      <w:r>
        <w:rPr>
          <w:i/>
        </w:rPr>
        <w:t xml:space="preserve">j</w:t>
      </w:r>
      <w:r>
        <w:t xml:space="preserve"> </w:t>
      </w:r>
      <w:r>
        <w:t xml:space="preserve">is the product of all mechanism multipliers</w:t>
      </w:r>
      <w:r>
        <w:rPr>
          <w:rStyle w:val="FootnoteReference"/>
        </w:rPr>
        <w:footnoteReference w:id="33"/>
      </w:r>
      <w:r>
        <w:t xml:space="preserve"> </w:t>
      </w:r>
      <m:oMath>
        <m:sSub>
          <m:e>
            <m:r>
              <m:t>μ</m:t>
            </m:r>
          </m:e>
          <m:sub>
            <m:r>
              <m:t>j</m:t>
            </m:r>
            <m:r>
              <m:t>t</m:t>
            </m:r>
            <m:r>
              <m:t>v</m:t>
            </m:r>
          </m:sub>
        </m:sSub>
        <m:r>
          <m:t>=</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for the technology scenario</w:t>
      </w:r>
      <w:r>
        <w:t xml:space="preserve"> </w:t>
      </w:r>
      <w:r>
        <w:rPr>
          <w:i/>
        </w:rPr>
        <w:t xml:space="preserve">j</w:t>
      </w:r>
      <w:r>
        <w:t xml:space="preserve"> </w:t>
      </w:r>
      <w:r>
        <w:t xml:space="preserve">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Scenario, Vehicle-type, and Year</w:t>
      </w:r>
    </w:p>
    <w:tbl>
      <w:tblPr>
        <w:tblStyle w:val="Table"/>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Heading1"/>
      </w:pPr>
      <w:bookmarkStart w:id="34" w:name="demand-response-to-cavs"/>
      <w:r>
        <w:t xml:space="preserve">4. Demand Response to CAVs</w:t>
      </w:r>
      <w:bookmarkEnd w:id="34"/>
    </w:p>
    <w:p>
      <w:pPr>
        <w:pStyle w:val="FirstParagraph"/>
      </w:pPr>
      <w:r>
        <w:t xml:space="preserve">In addition to the changes in energy intensity we account for a travel demand response based on the change in net generalized cost of travel.</w:t>
      </w:r>
    </w:p>
    <w:p>
      <w:pPr>
        <w:pStyle w:val="Heading2"/>
      </w:pPr>
      <w:bookmarkStart w:id="35" w:name="key-parameters-for-demand-scenarios"/>
      <w:r>
        <w:t xml:space="preserve">4.1 Key parameters for Demand scenarios</w:t>
      </w:r>
      <w:bookmarkEnd w:id="35"/>
    </w:p>
    <w:p>
      <w:pPr>
        <w:pStyle w:val="FirstParagraph"/>
      </w:pPr>
      <w:r>
        <w:t xml:space="preserve">The following are the default parameter values. (Note: Need to be clear which version of certain parameters dominate in subsequent application, e.g. from</w:t>
      </w:r>
      <w:r>
        <w:t xml:space="preserve"> </w:t>
      </w:r>
      <w:r>
        <w:t xml:space="preserve">“</w:t>
      </w:r>
      <w:r>
        <w:t xml:space="preserve">DemScenCostChange</w:t>
      </w:r>
      <w:r>
        <w:t xml:space="preserve">”</w:t>
      </w:r>
      <w:r>
        <w:t xml:space="preserve"> </w:t>
      </w:r>
      <w:r>
        <w:t xml:space="preserve">vs</w:t>
      </w:r>
      <w:r>
        <w:t xml:space="preserve"> </w:t>
      </w:r>
      <w:r>
        <w:t xml:space="preserve">“</w:t>
      </w:r>
      <w:r>
        <w:t xml:space="preserve">DemRespParams</w:t>
      </w:r>
      <w:r>
        <w:t xml:space="preserve">”</w:t>
      </w:r>
      <w:r>
        <w:t xml:space="preserve"> </w:t>
      </w:r>
      <w:r>
        <w:t xml:space="preserve">tables.</w:t>
      </w:r>
      <w:r>
        <w:t xml:space="preserve"> </w:t>
      </w:r>
      <w:r>
        <w:t xml:space="preserve">The</w:t>
      </w:r>
      <w:r>
        <w:t xml:space="preserve"> </w:t>
      </w:r>
      <w:r>
        <w:t xml:space="preserve">“</w:t>
      </w:r>
      <w:r>
        <w:t xml:space="preserve">Low, Med, High</w:t>
      </w:r>
      <w:r>
        <w:t xml:space="preserve">”</w:t>
      </w:r>
      <w:r>
        <w:t xml:space="preserve"> </w:t>
      </w:r>
      <w:r>
        <w:t xml:space="preserve">cases in DemdRespParams table are separate from the Demand Scenario cases in DemScenCostChange table (section 4.3 below).</w:t>
      </w:r>
    </w:p>
    <w:p>
      <w:pPr>
        <w:pStyle w:val="TableCaption"/>
      </w:pPr>
      <w:r>
        <w:t xml:space="preserve">Key Parameters for LDV Demand Response (for all Demand Scenarios)</w:t>
      </w:r>
    </w:p>
    <w:tbl>
      <w:tblPr>
        <w:tblStyle w:val="Table"/>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6" w:name="select-a-single-scenario-to-examine"/>
      <w:r>
        <w:t xml:space="preserve">Select a Single Scenario to Examine</w:t>
      </w:r>
      <w:bookmarkEnd w:id="36"/>
    </w:p>
    <w:p>
      <w:pPr>
        <w:pStyle w:val="FirstParagraph"/>
      </w:pPr>
      <w:r>
        <w:t xml:space="preserve">Energy Intensity change is dependent on the Technology Scenario, and year of interest. For example consider Technology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Demand response is a function of full (generalized) travel cost, and energy intensity affects the energy component of travel cost. The full scenario requires updating Demand Response parameters with energy intensity reduction (by vehicle class and year) for this Technology Scenario and year, and updating other costs (travel time cost, accident/insurance costs, vehicle capital and maintenance costs) based on the Demand Scenario assumptions.</w:t>
      </w:r>
    </w:p>
    <w:p>
      <w:pPr>
        <w:pStyle w:val="TableCaption"/>
      </w:pPr>
      <w:r>
        <w:t xml:space="preserve">DemRespParams: Important Parameters for the Calculation of Demand Reponse, by Vehicle-type, and Year</w:t>
      </w:r>
    </w:p>
    <w:tbl>
      <w:tblPr>
        <w:tblStyle w:val="Table"/>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C_deltaCAV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C_deltaCAV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7" w:name="establish-base-travel-costs-for-each-cost-component"/>
      <w:r>
        <w:t xml:space="preserve">4.2 Establish Base Travel Costs for Each Cost Component</w:t>
      </w:r>
      <w:bookmarkEnd w:id="37"/>
    </w:p>
    <w:p>
      <w:pPr>
        <w:pStyle w:val="Heading3"/>
      </w:pPr>
      <w:bookmarkStart w:id="38" w:name="simple-base-travel-time-cost-calculation"/>
      <w:r>
        <w:t xml:space="preserve">Simple Base Travel Time Cost Calculation</w:t>
      </w:r>
      <w:bookmarkEnd w:id="38"/>
    </w:p>
    <w:p>
      <w:pPr>
        <w:pStyle w:val="FirstParagraph"/>
      </w:pPr>
      <w:r>
        <w:t xml:space="preserve">Unit travel time cost per mile</w:t>
      </w:r>
      <w:r>
        <w:t xml:space="preserve"> </w:t>
      </w:r>
      <m:oMath>
        <m:sSub>
          <m:e>
            <m:groupChr>
              <m:groupChrPr>
                <m:chr m:val="̲"/>
                <m:pos m:val="bot"/>
                <m:vertJc m:val="top"/>
              </m:groupChrPr>
              <m:e>
                <m:r>
                  <m:t>c</m:t>
                </m:r>
              </m:e>
            </m:groupChr>
          </m:e>
          <m:sub>
            <m:r>
              <m:t>T</m:t>
            </m:r>
            <m:r>
              <m:t>,</m:t>
            </m:r>
            <m:r>
              <m:t>v</m:t>
            </m:r>
          </m:sub>
        </m:sSub>
      </m:oMath>
      <w:r>
        <w:t xml:space="preserve"> </w:t>
      </w:r>
      <w:r>
        <w:t xml:space="preserve">is differentiated by vehicle class, and depends on average speed and hourly time cost.</w:t>
      </w:r>
    </w:p>
    <w:p>
      <w:pPr>
        <w:pStyle w:val="TableCaption"/>
      </w:pPr>
      <w:r>
        <w:t xml:space="preserve">Base Travel Time Cost Parameters</w:t>
      </w:r>
    </w:p>
    <w:tbl>
      <w:tblPr>
        <w:tblStyle w:val="Table"/>
        <w:tblW w:type="pct" w:w="0.0"/>
        <w:tblLook w:firstRow="1"/>
        <w:tblCaption w:val="Base Travel Time Cost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24.428</w:t>
            </w:r>
          </w:p>
        </w:tc>
        <w:tc>
          <w:p>
            <w:pPr>
              <w:pStyle w:val="Compact"/>
              <w:jc w:val="right"/>
            </w:pPr>
            <w:r>
              <w:t xml:space="preserve">24.428</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FirstParagraph"/>
      </w:pPr>
      <w:r>
        <w:t xml:space="preserve">Note: travel time parameter values for LDVs are an average for Car and Light-truck vehicle types</w:t>
      </w:r>
    </w:p>
    <w:p>
      <w:pPr>
        <w:pStyle w:val="BodyText"/>
      </w:pPr>
      <w:r>
        <w:rPr>
          <w:b/>
        </w:rPr>
        <w:t xml:space="preserve">ToDo</w:t>
      </w:r>
      <w:r>
        <w:t xml:space="preserve"> </w:t>
      </w:r>
      <w:r>
        <w:t xml:space="preserve">Needed data: Seek to benchmark average speed for local and intercity driving, for both LDVs and HDVs. These regional values should be consistent with overall average speed.</w:t>
      </w:r>
    </w:p>
    <w:p>
      <w:pPr>
        <w:pStyle w:val="Heading3"/>
      </w:pPr>
      <w:bookmarkStart w:id="39" w:name="base-vehicle-travel-cost-components"/>
      <w:r>
        <w:t xml:space="preserve">Base Vehicle Travel Cost Components</w:t>
      </w:r>
      <w:bookmarkEnd w:id="39"/>
    </w:p>
    <w:p>
      <w:pPr>
        <w:pStyle w:val="FirstParagraph"/>
      </w:pPr>
      <w:r>
        <w:t xml:space="preserve">Specify the primary (private) cost components for base case (conventional, manual) road vehicle travel.</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TableCaption"/>
      </w:pPr>
      <w:r>
        <w:t xml:space="preserve">Base Vehicle Travel Cost Components by Vehicle Type (cents/mi)</w:t>
      </w:r>
    </w:p>
    <w:tbl>
      <w:tblPr>
        <w:tblStyle w:val="Table"/>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VehCapCost</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r>
        <w:tc>
          <w:p>
            <w:pPr>
              <w:pStyle w:val="Compact"/>
              <w:jc w:val="left"/>
            </w:pPr>
            <w:r>
              <w:t xml:space="preserve">Note: these val</w:t>
            </w:r>
          </w:p>
        </w:tc>
        <w:tc>
          <w:p>
            <w:pPr>
              <w:pStyle w:val="Compact"/>
              <w:jc w:val="right"/>
            </w:pPr>
            <w:r>
              <w:t xml:space="preserve">ues are the</w:t>
            </w:r>
          </w:p>
        </w:tc>
        <w:tc>
          <w:p>
            <w:pPr>
              <w:pStyle w:val="Compact"/>
              <w:jc w:val="right"/>
            </w:pPr>
            <w:r>
              <w:t xml:space="preserve">average of local</w:t>
            </w:r>
          </w:p>
        </w:tc>
        <w:tc>
          <w:p>
            <w:pPr>
              <w:pStyle w:val="Compact"/>
              <w:jc w:val="right"/>
            </w:pPr>
            <w:r>
              <w:t xml:space="preserve">and intercity.</w:t>
            </w:r>
          </w:p>
        </w:tc>
      </w:tr>
    </w:tbl>
    <w:p>
      <w:pPr>
        <w:pStyle w:val="Heading3"/>
      </w:pPr>
      <w:bookmarkStart w:id="40" w:name="vehicle-travel-cost-shares-by-component---base"/>
      <w:r>
        <w:t xml:space="preserve">Vehicle Travel Cost Shares by Component - Base</w:t>
      </w:r>
      <w:bookmarkEnd w:id="40"/>
    </w:p>
    <w:p>
      <w:pPr>
        <w:pStyle w:val="TableCaption"/>
      </w:pPr>
      <w:r>
        <w:t xml:space="preserve">Base Vehicle Travel Cost: Components Share by Vehicle Type, Year=2018</w:t>
      </w:r>
    </w:p>
    <w:tbl>
      <w:tblPr>
        <w:tblStyle w:val="Table"/>
        <w:tblW w:type="pct" w:w="0.0"/>
        <w:tblLook w:firstRow="1"/>
        <w:tblCaption w:val="Base Vehicle Travel Cost: Components Share by Vehicle Type, Year=2018"/>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0.346</w:t>
            </w:r>
          </w:p>
        </w:tc>
        <w:tc>
          <w:p>
            <w:pPr>
              <w:pStyle w:val="Compact"/>
              <w:jc w:val="right"/>
            </w:pPr>
            <w:r>
              <w:t xml:space="preserve">0.143</w:t>
            </w:r>
          </w:p>
        </w:tc>
        <w:tc>
          <w:p>
            <w:pPr>
              <w:pStyle w:val="Compact"/>
              <w:jc w:val="right"/>
            </w:pPr>
            <w:r>
              <w:t xml:space="preserve">0.126</w:t>
            </w:r>
          </w:p>
        </w:tc>
      </w:tr>
      <w:tr>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AccAndIns</w:t>
            </w:r>
          </w:p>
        </w:tc>
        <w:tc>
          <w:p>
            <w:pPr>
              <w:pStyle w:val="Compact"/>
              <w:jc w:val="right"/>
            </w:pPr>
            <w:r>
              <w:t xml:space="preserve">0.039</w:t>
            </w:r>
          </w:p>
        </w:tc>
        <w:tc>
          <w:p>
            <w:pPr>
              <w:pStyle w:val="Compact"/>
              <w:jc w:val="right"/>
            </w:pPr>
            <w:r>
              <w:t xml:space="preserve">0.062</w:t>
            </w:r>
          </w:p>
        </w:tc>
        <w:tc>
          <w:p>
            <w:pPr>
              <w:pStyle w:val="Compact"/>
              <w:jc w:val="right"/>
            </w:pPr>
            <w:r>
              <w:t xml:space="preserve">0.073</w:t>
            </w:r>
          </w:p>
        </w:tc>
      </w:tr>
      <w:tr>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Total</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bl>
    <w:p>
      <w:pPr>
        <w:pStyle w:val="BodyText"/>
      </w:pPr>
      <w:r>
        <w:drawing>
          <wp:inline>
            <wp:extent cx="5943600" cy="4245428"/>
            <wp:effectExtent b="0" l="0" r="0" t="0"/>
            <wp:docPr descr="" title="" id="1" name="Picture"/>
            <a:graphic>
              <a:graphicData uri="http://schemas.openxmlformats.org/drawingml/2006/picture">
                <pic:pic>
                  <pic:nvPicPr>
                    <pic:cNvPr descr="CAVdecom_files/figure-docx/baseCostShareStackedBarGraph-1.png" id="0" name="Picture"/>
                    <pic:cNvPicPr>
                      <a:picLocks noChangeArrowheads="1" noChangeAspect="1"/>
                    </pic:cNvPicPr>
                  </pic:nvPicPr>
                  <pic:blipFill>
                    <a:blip r:embed="rId41"/>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4"/>
      </w:pPr>
      <w:bookmarkStart w:id="42" w:name="display-base-travel-costs-per-mile-by-component"/>
      <w:r>
        <w:t xml:space="preserve">Display Base Travel Costs per Mile by Component</w:t>
      </w:r>
      <w:bookmarkEnd w:id="42"/>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baseCostComponStackedBarGraph-1.png" id="0"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44" w:name="fractional-increase-in-vkt-for-demand-scenarios"/>
      <w:r>
        <w:t xml:space="preserve">4.3 Fractional Increase in VKT for Demand Scenarios</w:t>
      </w:r>
      <w:bookmarkEnd w:id="44"/>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5" w:name="demand-scenario-cost-reduction-parameters-and-demand-response-parameters-drive-demand-scenarios"/>
      <w:r>
        <w:t xml:space="preserve">Demand Scenario Cost Reduction Parameters and Demand Response Parameters Drive Demand Scenarios</w:t>
      </w:r>
      <w:bookmarkEnd w:id="45"/>
    </w:p>
    <w:p>
      <w:pPr>
        <w:pStyle w:val="FirstParagraph"/>
      </w:pPr>
      <w:r>
        <w:t xml:space="preserve">Automation</w:t>
      </w:r>
      <w:r>
        <w:t xml:space="preserve"> </w:t>
      </w:r>
      <w:r>
        <w:rPr>
          <w:i/>
        </w:rPr>
        <w:t xml:space="preserve">demand</w:t>
      </w:r>
      <w:r>
        <w:t xml:space="preserve"> </w:t>
      </w:r>
      <w:r>
        <w:t xml:space="preserve">scenarios are defined by assumptions regarding CAV impacts on selected component costs (e.g. travel time costs, internal accident and insurance costs, and vehicle costs), and on the sensitivity of road travel demand to costs. They are not CAV penetration scenarios.</w:t>
      </w:r>
      <w:r>
        <w:t xml:space="preserve"> </w:t>
      </w:r>
      <w:r>
        <w:t xml:space="preserve">Penetration is exogenous, and initially assumed 100%.</w:t>
      </w:r>
    </w:p>
    <w:p>
      <w:pPr>
        <w:pStyle w:val="TableCaption"/>
      </w:pPr>
      <w:r>
        <w:t xml:space="preserve">Vehicle Travel Cost Component Change (Reduction) by Demand Scenario</w:t>
      </w:r>
    </w:p>
    <w:tbl>
      <w:tblPr>
        <w:tblStyle w:val="Table"/>
        <w:tblW w:type="pct" w:w="0.0"/>
        <w:tblLook w:firstRow="1"/>
        <w:tblCaption w:val="Vehicle Travel Cost Component Change (Reduction) by Demand Scenario"/>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C_deltaVoTT</w:t>
            </w:r>
          </w:p>
        </w:tc>
        <w:tc>
          <w:tcPr>
            <w:tcBorders>
              <w:bottom w:val="single"/>
            </w:tcBorders>
            <w:vAlign w:val="bottom"/>
          </w:tcPr>
          <w:p>
            <w:pPr>
              <w:pStyle w:val="Compact"/>
              <w:jc w:val="right"/>
            </w:pPr>
            <w:r>
              <w:t xml:space="preserve">C_deltaInsur</w:t>
            </w:r>
          </w:p>
        </w:tc>
        <w:tc>
          <w:tcPr>
            <w:tcBorders>
              <w:bottom w:val="single"/>
            </w:tcBorders>
            <w:vAlign w:val="bottom"/>
          </w:tcPr>
          <w:p>
            <w:pPr>
              <w:pStyle w:val="Compact"/>
              <w:jc w:val="left"/>
            </w:pPr>
            <w:r>
              <w:t xml:space="preserve">Description</w:t>
            </w:r>
          </w:p>
        </w:tc>
      </w:tr>
      <w:tr>
        <w:tc>
          <w:p>
            <w:pPr>
              <w:pStyle w:val="Compact"/>
              <w:jc w:val="left"/>
            </w:pPr>
            <w:r>
              <w:t xml:space="preserve">DS1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left"/>
            </w:pPr>
            <w:r>
              <w:t xml:space="preserve">DS2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left"/>
            </w:pPr>
            <w:r>
              <w:t xml:space="preserve">DS3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left"/>
            </w:pPr>
            <w:r>
              <w:t xml:space="preserve">DS4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6" w:name="vehicle-travel-cost-shares-by-component---cav-scenario"/>
      <w:r>
        <w:t xml:space="preserve">Vehicle Travel Cost Shares by Component - CAV Scenario</w:t>
      </w:r>
      <w:bookmarkEnd w:id="46"/>
    </w:p>
    <w:p>
      <w:pPr>
        <w:pStyle w:val="FirstParagraph"/>
      </w:pPr>
      <w:r>
        <w:t xml:space="preserve">Costs are adjusted relative to Base for cost and other assumptions of each Demand Scenario and for the Energy Intensity change associated with the current Technology Scenario. Energy intensity drives the energy cost, but this component is typically less than 15% of total costs for LDVs, and less than 35% of total costs for HDVs.</w:t>
      </w:r>
    </w:p>
    <w:p>
      <w:pPr>
        <w:pStyle w:val="BodyText"/>
      </w:pPr>
      <w:r>
        <w:t xml:space="preserve">Base cost components</w:t>
      </w:r>
      <w:r>
        <w:t xml:space="preserve"> </w:t>
      </w:r>
      <m:oMath>
        <m:sSubSup>
          <m:e>
            <m:r>
              <m:t>σ</m:t>
            </m:r>
          </m:e>
          <m:sub>
            <m:r>
              <m:t>i</m:t>
            </m:r>
            <m:r>
              <m:t>v</m:t>
            </m:r>
            <m:r>
              <m:t>t</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cost component</w:t>
      </w:r>
      <w:r>
        <w:t xml:space="preserve"> </w:t>
      </w:r>
      <w:r>
        <w:rPr>
          <w:i/>
        </w:rPr>
        <w:t xml:space="preserve">i</w:t>
      </w:r>
      <w:r>
        <w:t xml:space="preserve"> </w:t>
      </w:r>
      <w:r>
        <w:t xml:space="preserve">are relative to the Base (Manual Vehicle) level. The total relative cost can be greater than or less than 1.0. Denoted</w:t>
      </w:r>
      <w:r>
        <w:t xml:space="preserve"> </w:t>
      </w:r>
      <m:oMath>
        <m:sSub>
          <m:e>
            <m:r>
              <m:t>σ</m:t>
            </m:r>
          </m:e>
          <m:sub>
            <m:r>
              <m:t>i</m:t>
            </m:r>
            <m:r>
              <m:t>v</m:t>
            </m:r>
            <m:r>
              <m:t>t</m:t>
            </m:r>
            <m:r>
              <m:t>d</m:t>
            </m:r>
            <m:r>
              <m:t>j</m:t>
            </m:r>
          </m:sub>
        </m:sSub>
      </m:oMath>
      <w:r>
        <w:t xml:space="preserve">, they depend on cost component</w:t>
      </w:r>
      <w:r>
        <w:t xml:space="preserve"> </w:t>
      </w:r>
      <w:r>
        <w:rPr>
          <w:i/>
        </w:rPr>
        <w:t xml:space="preserve">i</w:t>
      </w:r>
      <w:r>
        <w:t xml:space="preserve">, Vehicle class</w:t>
      </w:r>
      <w:r>
        <w:t xml:space="preserve"> </w:t>
      </w:r>
      <w:r>
        <w:rPr>
          <w:i/>
        </w:rPr>
        <w:t xml:space="preserve">v</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and TechScenario</w:t>
      </w:r>
      <w:r>
        <w:t xml:space="preserve"> </w:t>
      </w:r>
      <w:r>
        <w:rPr>
          <w:i/>
        </w:rPr>
        <w:t xml:space="preserve">j</w:t>
      </w:r>
      <w:r>
        <w:t xml:space="preserve">.</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The perceived change in fuel cost effects for consumers/riders also depends on the fraction</w:t>
      </w:r>
      <w:r>
        <w:t xml:space="preserve"> </w:t>
      </w:r>
      <m:oMath>
        <m:sSub>
          <m:e>
            <m:r>
              <m:t>f</m:t>
            </m:r>
          </m:e>
          <m:sub>
            <m:r>
              <m:t>f</m:t>
            </m:r>
            <m:r>
              <m:t>u</m:t>
            </m:r>
            <m:r>
              <m:t>e</m:t>
            </m:r>
            <m:r>
              <m:t>l</m:t>
            </m:r>
            <m:r>
              <m:t>v</m:t>
            </m:r>
            <m:r>
              <m:t>i</m:t>
            </m:r>
            <m:r>
              <m:t>s</m:t>
            </m:r>
            <m:r>
              <m:t>,</m:t>
            </m:r>
            <m:r>
              <m:t>v</m:t>
            </m:r>
          </m:sub>
        </m:sSub>
        <m:r>
          <m:t>)</m:t>
        </m:r>
      </m:oMath>
      <w:r>
        <w:t xml:space="preserve"> </w:t>
      </w:r>
      <w:r>
        <w:t xml:space="preserve">of fuel costs that are assumed visible to or perceived by them. That is, for cost component</w:t>
      </w:r>
      <w:r>
        <w:t xml:space="preserve"> </w:t>
      </w:r>
      <m:oMath>
        <m:r>
          <m:t>i</m:t>
        </m:r>
        <m:r>
          <m:t>=</m:t>
        </m:r>
        <m:r>
          <m:t>f</m:t>
        </m:r>
        <m:r>
          <m:t>u</m:t>
        </m:r>
        <m:r>
          <m:t>e</m:t>
        </m:r>
        <m:r>
          <m:t>l</m:t>
        </m:r>
      </m:oMath>
      <w:r>
        <w:t xml:space="preserve">:</w:t>
      </w:r>
    </w:p>
    <w:p>
      <w:pPr>
        <w:pStyle w:val="Compact"/>
      </w:pPr>
      <m:oMathPara>
        <m:oMathParaPr>
          <m:jc m:val="center"/>
        </m:oMathParaPr>
        <m:oMath>
          <m:sSub>
            <m:e>
              <m:r>
                <m:t>σ</m:t>
              </m:r>
            </m:e>
            <m:sub>
              <m:r>
                <m:t>i</m:t>
              </m:r>
              <m:r>
                <m:t>v</m:t>
              </m:r>
              <m:r>
                <m:t>t</m:t>
              </m:r>
              <m:r>
                <m:t>d</m:t>
              </m:r>
              <m:r>
                <m:t>j</m:t>
              </m:r>
            </m:sub>
          </m:sSub>
          <m:r>
            <m:t>=</m:t>
          </m:r>
          <m:sSubSup>
            <m:e>
              <m:r>
                <m:t>σ</m:t>
              </m:r>
            </m:e>
            <m:sub>
              <m:r>
                <m:t>f</m:t>
              </m:r>
              <m:r>
                <m:t>u</m:t>
              </m:r>
              <m:r>
                <m:t>e</m:t>
              </m:r>
              <m:r>
                <m:t>l</m:t>
              </m:r>
              <m:r>
                <m:t>,</m:t>
              </m:r>
              <m:r>
                <m:t>v</m:t>
              </m:r>
              <m:r>
                <m:t>t</m:t>
              </m:r>
            </m:sub>
            <m:sup>
              <m:r>
                <m:t>B</m:t>
              </m:r>
            </m:sup>
          </m:sSubSup>
          <m:r>
            <m:t>⋅</m:t>
          </m:r>
          <m:r>
            <m:t>(</m:t>
          </m:r>
          <m:r>
            <m:t>1</m:t>
          </m:r>
          <m:r>
            <m:t>+</m:t>
          </m:r>
          <m:sSub>
            <m:e>
              <m:r>
                <m:t>μ</m:t>
              </m:r>
            </m:e>
            <m:sub>
              <m:r>
                <m:t>j</m:t>
              </m:r>
              <m:r>
                <m:t>t</m:t>
              </m:r>
              <m:r>
                <m:t>v</m:t>
              </m:r>
            </m:sub>
          </m:sSub>
          <m:r>
            <m:t>⋅</m:t>
          </m:r>
          <m:sSub>
            <m:e>
              <m:r>
                <m:t>f</m:t>
              </m:r>
            </m:e>
            <m:sub>
              <m:r>
                <m:t>f</m:t>
              </m:r>
              <m:r>
                <m:t>u</m:t>
              </m:r>
              <m:r>
                <m:t>e</m:t>
              </m:r>
              <m:r>
                <m:t>l</m:t>
              </m:r>
              <m:r>
                <m:t>v</m:t>
              </m:r>
              <m:r>
                <m:t>i</m:t>
              </m:r>
              <m:r>
                <m:t>s</m:t>
              </m:r>
              <m:r>
                <m:t>,</m:t>
              </m:r>
              <m:r>
                <m:t>v</m:t>
              </m:r>
            </m:sub>
          </m:sSub>
          <m:r>
            <m:t>)</m:t>
          </m:r>
        </m:oMath>
      </m:oMathPara>
    </w:p>
    <w:p>
      <w:pPr>
        <w:pStyle w:val="FirstParagraph"/>
      </w:pPr>
      <w:r>
        <w:t xml:space="preserve">Other cost components</w:t>
      </w:r>
      <w:r>
        <w:t xml:space="preserve"> </w:t>
      </w:r>
      <w:r>
        <w:rPr>
          <w:i/>
        </w:rPr>
        <w:t xml:space="preserve">i</w:t>
      </w:r>
      <w:r>
        <w:t xml:space="preserve"> </w:t>
      </w:r>
      <w:r>
        <w:t xml:space="preserve">have similar scenario-based adjustments:</w:t>
      </w:r>
    </w:p>
    <w:p>
      <w:pPr>
        <w:pStyle w:val="BodyText"/>
      </w:pPr>
      <m:oMathPara>
        <m:oMathParaPr>
          <m:jc m:val="center"/>
        </m:oMathParaPr>
        <m:oMath>
          <m:sSub>
            <m:e>
              <m:r>
                <m:t>σ</m:t>
              </m:r>
            </m:e>
            <m:sub>
              <m:r>
                <m:t>f</m:t>
              </m:r>
              <m:r>
                <m:t>u</m:t>
              </m:r>
              <m:r>
                <m:t>e</m:t>
              </m:r>
              <m:r>
                <m:t>l</m:t>
              </m:r>
              <m:r>
                <m:t>,</m:t>
              </m:r>
              <m:r>
                <m:t>v</m:t>
              </m:r>
              <m:r>
                <m:t>t</m:t>
              </m:r>
              <m:r>
                <m:t>d</m:t>
              </m:r>
              <m:r>
                <m:t>j</m:t>
              </m:r>
            </m:sub>
          </m:sSub>
          <m:r>
            <m:t>=</m:t>
          </m:r>
          <m:sSubSup>
            <m:e>
              <m:r>
                <m:t>σ</m:t>
              </m:r>
            </m:e>
            <m:sub>
              <m:r>
                <m:t>i</m:t>
              </m:r>
              <m:r>
                <m:t>v</m:t>
              </m:r>
              <m:r>
                <m:t>t</m:t>
              </m:r>
            </m:sub>
            <m:sup>
              <m:r>
                <m:t>B</m:t>
              </m:r>
            </m:sup>
          </m:sSubSup>
          <m:r>
            <m:t>⋅</m:t>
          </m:r>
          <m:r>
            <m:t>(</m:t>
          </m:r>
          <m:r>
            <m:t>1</m:t>
          </m:r>
          <m:r>
            <m:t>+</m:t>
          </m:r>
          <m:sSub>
            <m:e>
              <m:r>
                <m:t>γ</m:t>
              </m:r>
            </m:e>
            <m:sub>
              <m:r>
                <m:t>d</m:t>
              </m:r>
              <m:r>
                <m:t>t</m:t>
              </m:r>
              <m:r>
                <m:t>v</m:t>
              </m:r>
            </m:sub>
          </m:sSub>
          <m:r>
            <m:t>)</m:t>
          </m:r>
        </m:oMath>
      </m:oMathPara>
    </w:p>
    <w:p>
      <w:pPr>
        <w:pStyle w:val="Heading2"/>
      </w:pPr>
      <w:bookmarkStart w:id="47" w:name="calculate-adjusted-travel-cost-components-for-scenario-conditions"/>
      <w:r>
        <w:t xml:space="preserve">4.4 Calculate Adjusted Travel Cost Components for Scenario Conditions</w:t>
      </w:r>
      <w:bookmarkEnd w:id="47"/>
    </w:p>
    <w:p>
      <w:pPr>
        <w:pStyle w:val="FirstParagraph"/>
      </w:pPr>
      <w:r>
        <w:t xml:space="preserve">Updated cost component table based on Scenario VoTT and other costs.</w:t>
      </w:r>
      <w:r>
        <w:t xml:space="preserve"> </w:t>
      </w:r>
      <w:r>
        <w:t xml:space="preserve">Calculate cost component fractions for all demand scenarios. The Technology (energy intensity) scenario is held</w:t>
      </w:r>
      <w:r>
        <w:t xml:space="preserve"> </w:t>
      </w:r>
      <w:r>
        <w:t xml:space="preserve">at number 4, the</w:t>
      </w:r>
      <w:r>
        <w:t xml:space="preserve"> </w:t>
      </w:r>
      <w:r>
        <w:t xml:space="preserve">“</w:t>
      </w:r>
      <w:r>
        <w:t xml:space="preserve">Strong responses</w:t>
      </w:r>
      <w:r>
        <w:t xml:space="preserve">”</w:t>
      </w:r>
      <w:r>
        <w:t xml:space="preserve"> </w:t>
      </w:r>
      <w:r>
        <w:t xml:space="preserve">scenario.</w:t>
      </w:r>
    </w:p>
    <w:p>
      <w:pPr>
        <w:pStyle w:val="TableCaption"/>
      </w:pPr>
      <w:r>
        <w:t xml:space="preserve">Alt Travel Cost Components Relative to Base, by Demand Scenario &amp; Vehicle Type</w:t>
      </w:r>
    </w:p>
    <w:tbl>
      <w:tblPr>
        <w:tblStyle w:val="Table"/>
        <w:tblW w:type="pct" w:w="0.0"/>
        <w:tblLook w:firstRow="1"/>
        <w:tblCaption w:val="Alt Travel Cost Components Relative to Base, by Demand Scenario &amp; Vehicle Type"/>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DS1</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DS1</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DS1</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DS1</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DS1</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DS1</w:t>
            </w:r>
          </w:p>
        </w:tc>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DS1</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DS1</w:t>
            </w:r>
          </w:p>
        </w:tc>
        <w:tc>
          <w:p>
            <w:pPr>
              <w:pStyle w:val="Compact"/>
              <w:jc w:val="left"/>
            </w:pPr>
            <w:r>
              <w:t xml:space="preserve">Total</w:t>
            </w:r>
          </w:p>
        </w:tc>
        <w:tc>
          <w:p>
            <w:pPr>
              <w:pStyle w:val="Compact"/>
              <w:jc w:val="right"/>
            </w:pPr>
            <w:r>
              <w:t xml:space="preserve">0.879</w:t>
            </w:r>
          </w:p>
        </w:tc>
        <w:tc>
          <w:p>
            <w:pPr>
              <w:pStyle w:val="Compact"/>
              <w:jc w:val="right"/>
            </w:pPr>
            <w:r>
              <w:t xml:space="preserve">0.860</w:t>
            </w:r>
          </w:p>
        </w:tc>
        <w:tc>
          <w:p>
            <w:pPr>
              <w:pStyle w:val="Compact"/>
              <w:jc w:val="right"/>
            </w:pPr>
            <w:r>
              <w:t xml:space="preserve">0.866</w:t>
            </w:r>
          </w:p>
        </w:tc>
      </w:tr>
      <w:tr>
        <w:tc>
          <w:p>
            <w:pPr>
              <w:pStyle w:val="Compact"/>
              <w:jc w:val="left"/>
            </w:pPr>
            <w:r>
              <w:t xml:space="preserve">DS1</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DS2</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DS2</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DS2</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DS2</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DS2</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DS2</w:t>
            </w:r>
          </w:p>
        </w:tc>
        <w:tc>
          <w:p>
            <w:pPr>
              <w:pStyle w:val="Compact"/>
              <w:jc w:val="left"/>
            </w:pPr>
            <w:r>
              <w:t xml:space="preserve">Time</w:t>
            </w:r>
          </w:p>
        </w:tc>
        <w:tc>
          <w:p>
            <w:pPr>
              <w:pStyle w:val="Compact"/>
              <w:jc w:val="right"/>
            </w:pPr>
            <w:r>
              <w:t xml:space="preserve">0.340</w:t>
            </w:r>
          </w:p>
        </w:tc>
        <w:tc>
          <w:p>
            <w:pPr>
              <w:pStyle w:val="Compact"/>
              <w:jc w:val="right"/>
            </w:pPr>
            <w:r>
              <w:t xml:space="preserve">0.346</w:t>
            </w:r>
          </w:p>
        </w:tc>
        <w:tc>
          <w:p>
            <w:pPr>
              <w:pStyle w:val="Compact"/>
              <w:jc w:val="right"/>
            </w:pPr>
            <w:r>
              <w:t xml:space="preserve">0.411</w:t>
            </w:r>
          </w:p>
        </w:tc>
      </w:tr>
      <w:tr>
        <w:tc>
          <w:p>
            <w:pPr>
              <w:pStyle w:val="Compact"/>
              <w:jc w:val="left"/>
            </w:pPr>
            <w:r>
              <w:t xml:space="preserve">DS2</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DS2</w:t>
            </w:r>
          </w:p>
        </w:tc>
        <w:tc>
          <w:p>
            <w:pPr>
              <w:pStyle w:val="Compact"/>
              <w:jc w:val="left"/>
            </w:pPr>
            <w:r>
              <w:t xml:space="preserve">Total</w:t>
            </w:r>
          </w:p>
        </w:tc>
        <w:tc>
          <w:p>
            <w:pPr>
              <w:pStyle w:val="Compact"/>
              <w:jc w:val="right"/>
            </w:pPr>
            <w:r>
              <w:t xml:space="preserve">0.861</w:t>
            </w:r>
          </w:p>
        </w:tc>
        <w:tc>
          <w:p>
            <w:pPr>
              <w:pStyle w:val="Compact"/>
              <w:jc w:val="right"/>
            </w:pPr>
            <w:r>
              <w:t xml:space="preserve">0.842</w:t>
            </w:r>
          </w:p>
        </w:tc>
        <w:tc>
          <w:p>
            <w:pPr>
              <w:pStyle w:val="Compact"/>
              <w:jc w:val="right"/>
            </w:pPr>
            <w:r>
              <w:t xml:space="preserve">0.844</w:t>
            </w:r>
          </w:p>
        </w:tc>
      </w:tr>
      <w:tr>
        <w:tc>
          <w:p>
            <w:pPr>
              <w:pStyle w:val="Compact"/>
              <w:jc w:val="left"/>
            </w:pPr>
            <w:r>
              <w:t xml:space="preserve">DS2</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DS3</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DS3</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DS3</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DS3</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DS3</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DS3</w:t>
            </w:r>
          </w:p>
        </w:tc>
        <w:tc>
          <w:p>
            <w:pPr>
              <w:pStyle w:val="Compact"/>
              <w:jc w:val="left"/>
            </w:pPr>
            <w:r>
              <w:t xml:space="preserve">Time</w:t>
            </w:r>
          </w:p>
        </w:tc>
        <w:tc>
          <w:p>
            <w:pPr>
              <w:pStyle w:val="Compact"/>
              <w:jc w:val="right"/>
            </w:pPr>
            <w:r>
              <w:t xml:space="preserve">0.179</w:t>
            </w:r>
          </w:p>
        </w:tc>
        <w:tc>
          <w:p>
            <w:pPr>
              <w:pStyle w:val="Compact"/>
              <w:jc w:val="right"/>
            </w:pPr>
            <w:r>
              <w:t xml:space="preserve">0.182</w:t>
            </w:r>
          </w:p>
        </w:tc>
        <w:tc>
          <w:p>
            <w:pPr>
              <w:pStyle w:val="Compact"/>
              <w:jc w:val="right"/>
            </w:pPr>
            <w:r>
              <w:t xml:space="preserve">0.216</w:t>
            </w:r>
          </w:p>
        </w:tc>
      </w:tr>
      <w:tr>
        <w:tc>
          <w:p>
            <w:pPr>
              <w:pStyle w:val="Compact"/>
              <w:jc w:val="left"/>
            </w:pPr>
            <w:r>
              <w:t xml:space="preserve">DS3</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DS3</w:t>
            </w:r>
          </w:p>
        </w:tc>
        <w:tc>
          <w:p>
            <w:pPr>
              <w:pStyle w:val="Compact"/>
              <w:jc w:val="left"/>
            </w:pPr>
            <w:r>
              <w:t xml:space="preserve">Total</w:t>
            </w:r>
          </w:p>
        </w:tc>
        <w:tc>
          <w:p>
            <w:pPr>
              <w:pStyle w:val="Compact"/>
              <w:jc w:val="right"/>
            </w:pPr>
            <w:r>
              <w:t xml:space="preserve">0.692</w:t>
            </w:r>
          </w:p>
        </w:tc>
        <w:tc>
          <w:p>
            <w:pPr>
              <w:pStyle w:val="Compact"/>
              <w:jc w:val="right"/>
            </w:pPr>
            <w:r>
              <w:t xml:space="preserve">0.666</w:t>
            </w:r>
          </w:p>
        </w:tc>
        <w:tc>
          <w:p>
            <w:pPr>
              <w:pStyle w:val="Compact"/>
              <w:jc w:val="right"/>
            </w:pPr>
            <w:r>
              <w:t xml:space="preserve">0.635</w:t>
            </w:r>
          </w:p>
        </w:tc>
      </w:tr>
      <w:tr>
        <w:tc>
          <w:p>
            <w:pPr>
              <w:pStyle w:val="Compact"/>
              <w:jc w:val="left"/>
            </w:pPr>
            <w:r>
              <w:t xml:space="preserve">DS3</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DS4</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DS4</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DS4</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DS4</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DS4</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DS4</w:t>
            </w:r>
          </w:p>
        </w:tc>
        <w:tc>
          <w:p>
            <w:pPr>
              <w:pStyle w:val="Compact"/>
              <w:jc w:val="left"/>
            </w:pPr>
            <w:r>
              <w:t xml:space="preserve">Time</w:t>
            </w:r>
          </w:p>
        </w:tc>
        <w:tc>
          <w:p>
            <w:pPr>
              <w:pStyle w:val="Compact"/>
              <w:jc w:val="right"/>
            </w:pPr>
            <w:r>
              <w:t xml:space="preserve">0.072</w:t>
            </w:r>
          </w:p>
        </w:tc>
        <w:tc>
          <w:p>
            <w:pPr>
              <w:pStyle w:val="Compact"/>
              <w:jc w:val="right"/>
            </w:pPr>
            <w:r>
              <w:t xml:space="preserve">0.073</w:t>
            </w:r>
          </w:p>
        </w:tc>
        <w:tc>
          <w:p>
            <w:pPr>
              <w:pStyle w:val="Compact"/>
              <w:jc w:val="right"/>
            </w:pPr>
            <w:r>
              <w:t xml:space="preserve">0.086</w:t>
            </w:r>
          </w:p>
        </w:tc>
      </w:tr>
      <w:tr>
        <w:tc>
          <w:p>
            <w:pPr>
              <w:pStyle w:val="Compact"/>
              <w:jc w:val="left"/>
            </w:pPr>
            <w:r>
              <w:t xml:space="preserve">DS4</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DS4</w:t>
            </w:r>
          </w:p>
        </w:tc>
        <w:tc>
          <w:p>
            <w:pPr>
              <w:pStyle w:val="Compact"/>
              <w:jc w:val="left"/>
            </w:pPr>
            <w:r>
              <w:t xml:space="preserve">Total</w:t>
            </w:r>
          </w:p>
        </w:tc>
        <w:tc>
          <w:p>
            <w:pPr>
              <w:pStyle w:val="Compact"/>
              <w:jc w:val="right"/>
            </w:pPr>
            <w:r>
              <w:t xml:space="preserve">0.585</w:t>
            </w:r>
          </w:p>
        </w:tc>
        <w:tc>
          <w:p>
            <w:pPr>
              <w:pStyle w:val="Compact"/>
              <w:jc w:val="right"/>
            </w:pPr>
            <w:r>
              <w:t xml:space="preserve">0.556</w:t>
            </w:r>
          </w:p>
        </w:tc>
        <w:tc>
          <w:p>
            <w:pPr>
              <w:pStyle w:val="Compact"/>
              <w:jc w:val="right"/>
            </w:pPr>
            <w:r>
              <w:t xml:space="preserve">0.505</w:t>
            </w:r>
          </w:p>
        </w:tc>
      </w:tr>
      <w:tr>
        <w:tc>
          <w:p>
            <w:pPr>
              <w:pStyle w:val="Compact"/>
              <w:jc w:val="left"/>
            </w:pPr>
            <w:r>
              <w:t xml:space="preserve">DS4</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bl>
    <w:p>
      <w:pPr>
        <w:pStyle w:val="Heading4"/>
      </w:pPr>
      <w:bookmarkStart w:id="48" w:name="display-alternative-scenario-travel-costs-per-mile-by-component"/>
      <w:r>
        <w:t xml:space="preserve">Display Alternative Scenario Travel Costs per Mile by Component</w:t>
      </w:r>
      <w:bookmarkEnd w:id="48"/>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altCostSharesStackedBarGraph-1.png" id="0" name="Picture"/>
                    <pic:cNvPicPr>
                      <a:picLocks noChangeArrowheads="1" noChangeAspect="1"/>
                    </pic:cNvPicPr>
                  </pic:nvPicPr>
                  <pic:blipFill>
                    <a:blip r:embed="rId49"/>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SharesStackedBarGraph-2.png" id="0" name="Picture"/>
                    <pic:cNvPicPr>
                      <a:picLocks noChangeArrowheads="1" noChangeAspect="1"/>
                    </pic:cNvPicPr>
                  </pic:nvPicPr>
                  <pic:blipFill>
                    <a:blip r:embed="rId50"/>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SharesStackedBarGraph-3.png" id="0" name="Picture"/>
                    <pic:cNvPicPr>
                      <a:picLocks noChangeArrowheads="1" noChangeAspect="1"/>
                    </pic:cNvPicPr>
                  </pic:nvPicPr>
                  <pic:blipFill>
                    <a:blip r:embed="rId51"/>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SharesStackedBarGraph-4.png" id="0"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p>
      <w:pPr>
        <w:pStyle w:val="SourceCode"/>
      </w:pPr>
      <w:r>
        <w:rPr>
          <w:rStyle w:val="NormalTok"/>
        </w:rPr>
        <w:t xml:space="preserve">VTCostAlt =</w:t>
      </w:r>
      <w:r>
        <w:rPr>
          <w:rStyle w:val="StringTok"/>
        </w:rPr>
        <w:t xml:space="preserve"> </w:t>
      </w:r>
      <w:r>
        <w:rPr>
          <w:rStyle w:val="NormalTok"/>
        </w:rPr>
        <w:t xml:space="preserve">VTCostBase </w:t>
      </w:r>
      <w:r>
        <w:rPr>
          <w:rStyle w:val="OperatorTok"/>
        </w:rPr>
        <w:t xml:space="preserve">%&gt;%</w:t>
      </w:r>
      <w:r>
        <w:rPr>
          <w:rStyle w:val="StringTok"/>
        </w:rPr>
        <w:t xml:space="preserve"> </w:t>
      </w:r>
      <w:r>
        <w:rPr>
          <w:rStyle w:val="KeywordTok"/>
        </w:rPr>
        <w:t xml:space="preserve">filter</w:t>
      </w:r>
      <w:r>
        <w:rPr>
          <w:rStyle w:val="NormalTok"/>
        </w:rPr>
        <w:t xml:space="preserve">(CostCat</w:t>
      </w:r>
      <w:r>
        <w:rPr>
          <w:rStyle w:val="OperatorTok"/>
        </w:rPr>
        <w:t xml:space="preserve">==</w:t>
      </w:r>
      <w:r>
        <w:rPr>
          <w:rStyle w:val="StringTok"/>
        </w:rPr>
        <w:t xml:space="preserve">"Total"</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CostCat) </w:t>
      </w:r>
      <w:r>
        <w:rPr>
          <w:rStyle w:val="CommentTok"/>
        </w:rPr>
        <w:t xml:space="preserve"># first get Base total cost for each VehType</w:t>
      </w:r>
      <w:r>
        <w:br w:type="textWrapping"/>
      </w:r>
      <w:r>
        <w:rPr>
          <w:rStyle w:val="NormalTok"/>
        </w:rPr>
        <w:t xml:space="preserve">VTCostAlt =</w:t>
      </w:r>
      <w:r>
        <w:rPr>
          <w:rStyle w:val="StringTok"/>
        </w:rPr>
        <w:t xml:space="preserve"> </w:t>
      </w:r>
      <w:r>
        <w:rPr>
          <w:rStyle w:val="KeywordTok"/>
        </w:rPr>
        <w:t xml:space="preserve">left_join</w:t>
      </w:r>
      <w:r>
        <w:rPr>
          <w:rStyle w:val="NormalTok"/>
        </w:rPr>
        <w:t xml:space="preserve">(VTCShrAlt, VTCostAlt,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"VehType"</w:t>
      </w:r>
      <w:r>
        <w:rPr>
          <w:rStyle w:val="NormalTok"/>
        </w:rPr>
        <w:t xml:space="preserve">))</w:t>
      </w:r>
      <w:r>
        <w:br w:type="textWrapping"/>
      </w:r>
      <w:r>
        <w:rPr>
          <w:rStyle w:val="NormalTok"/>
        </w:rPr>
        <w:t xml:space="preserve">VTCostAlt =</w:t>
      </w:r>
      <w:r>
        <w:rPr>
          <w:rStyle w:val="StringTok"/>
        </w:rPr>
        <w:t xml:space="preserve"> </w:t>
      </w:r>
      <w:r>
        <w:rPr>
          <w:rStyle w:val="NormalTok"/>
        </w:rPr>
        <w:t xml:space="preserve">VTCostAlt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BaseVTCost_cpm=</w:t>
      </w:r>
      <w:r>
        <w:rPr>
          <w:rStyle w:val="NormalTok"/>
        </w:rPr>
        <w:t xml:space="preserve">VTCost_cpm)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VTCost_cpm =</w:t>
      </w:r>
      <w:r>
        <w:rPr>
          <w:rStyle w:val="NormalTok"/>
        </w:rPr>
        <w:t xml:space="preserve"> BaseVTCost_cpm </w:t>
      </w:r>
      <w:r>
        <w:rPr>
          <w:rStyle w:val="OperatorTok"/>
        </w:rPr>
        <w:t xml:space="preserve">*</w:t>
      </w:r>
      <w:r>
        <w:rPr>
          <w:rStyle w:val="StringTok"/>
        </w:rPr>
        <w:t xml:space="preserve"> </w:t>
      </w:r>
      <w:r>
        <w:rPr>
          <w:rStyle w:val="NormalTok"/>
        </w:rPr>
        <w:t xml:space="preserve">VTCost_shr)</w:t>
      </w:r>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altCostComponStackedBarGraph-1.png" id="0"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2.png" id="0" name="Picture"/>
                    <pic:cNvPicPr>
                      <a:picLocks noChangeArrowheads="1" noChangeAspect="1"/>
                    </pic:cNvPicPr>
                  </pic:nvPicPr>
                  <pic:blipFill>
                    <a:blip r:embed="rId54"/>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3.png" id="0" name="Picture"/>
                    <pic:cNvPicPr>
                      <a:picLocks noChangeArrowheads="1" noChangeAspect="1"/>
                    </pic:cNvPicPr>
                  </pic:nvPicPr>
                  <pic:blipFill>
                    <a:blip r:embed="rId55"/>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4.png" id="0" name="Picture"/>
                    <pic:cNvPicPr>
                      <a:picLocks noChangeArrowheads="1" noChangeAspect="1"/>
                    </pic:cNvPicPr>
                  </pic:nvPicPr>
                  <pic:blipFill>
                    <a:blip r:embed="rId56"/>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7" w:name="fractional-vmt-changes-in-cav-scenario"/>
      <w:r>
        <w:t xml:space="preserve">4.5 Fractional VMT Changes in CAV Scenario</w:t>
      </w:r>
      <w:bookmarkEnd w:id="57"/>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r>
        <w:t xml:space="preserve"> </w:t>
      </w:r>
      <w:r>
        <w:t xml:space="preserve">[??? is elasticity case to be governed by demand scenario</w:t>
      </w:r>
      <w:r>
        <w:t xml:space="preserve"> </w:t>
      </w:r>
      <w:r>
        <w:rPr>
          <w:i/>
        </w:rPr>
        <w:t xml:space="preserve">d</w:t>
      </w:r>
      <w:r>
        <w:t xml:space="preserve">, or separate index</w:t>
      </w:r>
      <w:r>
        <w:t xml:space="preserve"> </w:t>
      </w:r>
      <w:r>
        <w:rPr>
          <w:i/>
        </w:rPr>
        <w:t xml:space="preserve">c</w:t>
      </w:r>
      <w:r>
        <w:t xml:space="preserve">?]</w:t>
      </w:r>
    </w:p>
    <w:p>
      <w:pPr>
        <w:pStyle w:val="BodyText"/>
      </w:pPr>
      <w:r>
        <w:t xml:space="preserve">Define</w:t>
      </w:r>
    </w:p>
    <w:p>
      <w:pPr>
        <w:pStyle w:val="Compact"/>
        <w:numPr>
          <w:numId w:val="1024"/>
          <w:ilvl w:val="0"/>
        </w:numPr>
      </w:pPr>
      <m:oMath>
        <m:sSub>
          <m:e>
            <m:r>
              <m:t>c</m:t>
            </m:r>
          </m:e>
          <m:sub>
            <m:r>
              <m:t>r</m:t>
            </m:r>
            <m:r>
              <m:t>e</m:t>
            </m:r>
            <m:r>
              <m:t>l</m:t>
            </m:r>
            <m:r>
              <m:t>,</m:t>
            </m:r>
            <m:r>
              <m:t>v</m:t>
            </m:r>
            <m:r>
              <m:t>t</m:t>
            </m:r>
            <m:r>
              <m:t>d</m:t>
            </m:r>
            <m:r>
              <m:t>j</m:t>
            </m:r>
          </m:sub>
        </m:sSub>
      </m:oMath>
      <w:r>
        <w:t xml:space="preserve"> </w:t>
      </w:r>
      <w:r>
        <w:t xml:space="preserve">= Relative Total Cost for vehicle travel [unitless, vehicle travel cost $/veh-km]</w:t>
      </w:r>
    </w:p>
    <w:p>
      <w:pPr>
        <w:pStyle w:val="Compact"/>
        <w:numPr>
          <w:numId w:val="1024"/>
          <w:ilvl w:val="0"/>
        </w:numPr>
      </w:pPr>
      <m:oMath>
        <m:sSub>
          <m:e>
            <m:r>
              <m:t>m</m:t>
            </m:r>
          </m:e>
          <m:sub>
            <m:r>
              <m:t>v</m:t>
            </m:r>
            <m:r>
              <m:t>t</m:t>
            </m:r>
            <m:r>
              <m:t>d</m:t>
            </m:r>
            <m:r>
              <m:t>j</m:t>
            </m:r>
          </m:sub>
        </m:sSub>
        <m:r>
          <m:t>(</m:t>
        </m:r>
        <m:sSub>
          <m:e>
            <m:r>
              <m:t>c</m:t>
            </m:r>
          </m:e>
          <m:sub>
            <m:r>
              <m:t>r</m:t>
            </m:r>
            <m:r>
              <m:t>e</m:t>
            </m:r>
            <m:r>
              <m:t>l</m:t>
            </m:r>
            <m:r>
              <m:t>,</m:t>
            </m:r>
            <m:r>
              <m:t>v</m:t>
            </m:r>
            <m:r>
              <m:t>t</m:t>
            </m:r>
            <m:r>
              <m:t>d</m:t>
            </m:r>
            <m:r>
              <m:t>j</m:t>
            </m:r>
          </m:sub>
        </m:sSub>
      </m:oMath>
      <w:r>
        <w:t xml:space="preserve"> </w:t>
      </w:r>
      <w:r>
        <w:t xml:space="preserve">= fractional increase in VKT [unitless, VKT is in km/vehicle-yr]</w:t>
      </w:r>
    </w:p>
    <w:p>
      <w:pPr>
        <w:pStyle w:val="FirstParagraph"/>
      </w:pPr>
      <m:oMathPara>
        <m:oMathParaPr>
          <m:jc m:val="center"/>
        </m:oMathParaPr>
        <m:oMath>
          <m:sSub>
            <m:e>
              <m:r>
                <m:t>c</m:t>
              </m:r>
            </m:e>
            <m:sub>
              <m:r>
                <m:t>r</m:t>
              </m:r>
              <m:r>
                <m:t>e</m:t>
              </m:r>
              <m:r>
                <m:t>l</m:t>
              </m:r>
              <m:r>
                <m:t>,</m:t>
              </m:r>
              <m:r>
                <m:t>v</m:t>
              </m:r>
              <m:r>
                <m:t>t</m:t>
              </m:r>
              <m:r>
                <m:t>d</m:t>
              </m:r>
              <m:r>
                <m:t>j</m:t>
              </m:r>
            </m:sub>
          </m:sSub>
          <m:r>
            <m:t>=</m:t>
          </m:r>
          <m:r>
            <m:t>R</m:t>
          </m:r>
          <m:r>
            <m:t>e</m:t>
          </m:r>
          <m:r>
            <m:t>l</m:t>
          </m:r>
          <m:r>
            <m:t>T</m:t>
          </m:r>
          <m:r>
            <m:t>o</m:t>
          </m:r>
          <m:r>
            <m:t>t</m:t>
          </m:r>
          <m:r>
            <m:t>a</m:t>
          </m:r>
          <m:r>
            <m:t>l</m:t>
          </m:r>
          <m:r>
            <m:t>C</m:t>
          </m:r>
          <m:r>
            <m:t>o</m:t>
          </m:r>
          <m:r>
            <m:t>s</m:t>
          </m:r>
          <m:sSub>
            <m:e>
              <m:r>
                <m:t>t</m:t>
              </m:r>
            </m:e>
            <m:sub>
              <m:r>
                <m:t>v</m:t>
              </m:r>
              <m:r>
                <m:t>t</m:t>
              </m:r>
              <m:r>
                <m:t>d</m:t>
              </m:r>
              <m:r>
                <m:t>j</m:t>
              </m:r>
            </m:sub>
          </m:sSub>
          <m:r>
            <m:t>≡</m:t>
          </m:r>
          <m:f>
            <m:fPr>
              <m:type m:val="bar"/>
            </m:fPr>
            <m:num>
              <m:sSub>
                <m:e>
                  <m:r>
                    <m:t>C</m:t>
                  </m:r>
                </m:e>
                <m:sub>
                  <m:r>
                    <m:t>t</m:t>
                  </m:r>
                  <m:r>
                    <m:t>o</m:t>
                  </m:r>
                  <m:r>
                    <m:t>t</m:t>
                  </m:r>
                  <m:r>
                    <m:t>,</m:t>
                  </m:r>
                  <m:r>
                    <m:t>v</m:t>
                  </m:r>
                  <m:r>
                    <m:t>t</m:t>
                  </m:r>
                  <m:r>
                    <m:t>d</m:t>
                  </m:r>
                  <m:r>
                    <m:t>j</m:t>
                  </m:r>
                </m:sub>
              </m:sSub>
            </m:num>
            <m:den>
              <m:sSubSup>
                <m:e>
                  <m:r>
                    <m:t>C</m:t>
                  </m:r>
                </m:e>
                <m:sub>
                  <m:r>
                    <m:t>t</m:t>
                  </m:r>
                  <m:r>
                    <m:t>o</m:t>
                  </m:r>
                  <m:r>
                    <m:t>t</m:t>
                  </m:r>
                  <m:r>
                    <m:t>,</m:t>
                  </m:r>
                  <m:r>
                    <m:t>v</m:t>
                  </m:r>
                  <m:r>
                    <m:t>t</m:t>
                  </m:r>
                </m:sub>
                <m:sup>
                  <m:r>
                    <m:t>B</m:t>
                  </m:r>
                </m:sup>
              </m:sSubSup>
            </m:den>
          </m:f>
        </m:oMath>
      </m:oMathPara>
    </w:p>
    <w:p>
      <w:pPr>
        <w:pStyle w:val="FirstParagraph"/>
      </w:pPr>
      <m:oMathPara>
        <m:oMathParaPr>
          <m:jc m:val="center"/>
        </m:oMathParaPr>
        <m:oMath>
          <m:r>
            <m:t>f</m:t>
          </m:r>
          <m:r>
            <m:t>r</m:t>
          </m:r>
          <m:r>
            <m:t>a</m:t>
          </m:r>
          <m:r>
            <m:t>c</m:t>
          </m:r>
          <m:r>
            <m:t>t</m:t>
          </m:r>
          <m:r>
            <m:t>i</m:t>
          </m:r>
          <m:r>
            <m:t>o</m:t>
          </m:r>
          <m:r>
            <m:t>n</m:t>
          </m:r>
          <m:r>
            <m:t>a</m:t>
          </m:r>
          <m:r>
            <m:t>l</m:t>
          </m:r>
          <m:r>
            <m:t>V</m:t>
          </m:r>
          <m:r>
            <m:t>K</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v</m:t>
              </m:r>
              <m:r>
                <m:t>t</m:t>
              </m:r>
              <m:r>
                <m:t>d</m:t>
              </m:r>
              <m:r>
                <m:t>j</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a key assumption. Does this include mode switching, and longer-run locational choices, etc. as well the costs considered here (travel-time, vehicle capital and operation costs, including fuel, insuarance, maintenance, etc.)?</w:t>
      </w:r>
      <w:r>
        <w:t xml:space="preserve"> </w:t>
      </w:r>
      <w:r>
        <w:t xml:space="preserve">Sources for ElasVKT: (HERS-ST technical report, August 2005 + Graham and Glaister 2002)</w:t>
      </w:r>
    </w:p>
    <w:p>
      <w:pPr>
        <w:pStyle w:val="BodyText"/>
      </w:pPr>
      <w:r>
        <w:t xml:space="preserve">Note: Additional adjustments to the fractional change in VKT for LDV travel, beyond those from the elastic demand response to changing full generalized cost, follow from:</w:t>
      </w:r>
    </w:p>
    <w:p>
      <w:pPr>
        <w:pStyle w:val="Compact"/>
        <w:numPr>
          <w:numId w:val="1025"/>
          <w:ilvl w:val="0"/>
        </w:numPr>
      </w:pPr>
      <w:r>
        <w:t xml:space="preserve">multiplier factors on VMT to include larger travel by underserved population (elderly, youth, physically challenged)</w:t>
      </w:r>
    </w:p>
    <w:p>
      <w:pPr>
        <w:pStyle w:val="Compact"/>
        <w:numPr>
          <w:numId w:val="1026"/>
          <w:ilvl w:val="1"/>
        </w:numPr>
      </w:pPr>
      <w:r>
        <w:t xml:space="preserve">Aside on original ests: =</w:t>
      </w:r>
      <w:r>
        <w:t xml:space="preserve">‘</w:t>
      </w:r>
      <w:r>
        <w:t xml:space="preserve">[CAV Energy ASIF Framework WadudMacKenzieLeiby V20161024_Test.xlsx]calcul Dem_LDV</w:t>
      </w:r>
      <w:r>
        <w:t xml:space="preserve">’</w:t>
      </w:r>
      <w:r>
        <w:t xml:space="preserve">!$I</w:t>
      </w:r>
      <m:oMath>
        <m:r>
          <m:t>39</m:t>
        </m:r>
        <m:r>
          <m:t>:</m:t>
        </m:r>
      </m:oMath>
      <w:r>
        <w:t xml:space="preserve">K$44</w:t>
      </w:r>
    </w:p>
    <w:p>
      <w:pPr>
        <w:pStyle w:val="Compact"/>
        <w:numPr>
          <w:numId w:val="1025"/>
          <w:ilvl w:val="0"/>
        </w:numPr>
      </w:pPr>
      <w:r>
        <w:t xml:space="preserve">multiplier factors on VMT to account for VKT increase or decline in response to ride-hailing/ride-pooling, for the same level of PKT.</w:t>
      </w:r>
    </w:p>
    <w:p>
      <w:pPr>
        <w:pStyle w:val="Compact"/>
        <w:numPr>
          <w:numId w:val="1027"/>
          <w:ilvl w:val="1"/>
        </w:numPr>
      </w:pPr>
      <w:r>
        <w:t xml:space="preserve">Aside on original ests: =</w:t>
      </w:r>
      <w:r>
        <w:t xml:space="preserve">‘</w:t>
      </w:r>
      <w:r>
        <w:t xml:space="preserve">[CAV Energy ASIF Framework WadudMacKenzieLeiby V20161024_Test.xlsx]calcul Dem_LDV</w:t>
      </w:r>
      <w:r>
        <w:t xml:space="preserve">’</w:t>
      </w:r>
      <w:r>
        <w:t xml:space="preserve">!$I</w:t>
      </w:r>
      <m:oMath>
        <m:r>
          <m:t>46</m:t>
        </m:r>
        <m:r>
          <m:t>:</m:t>
        </m:r>
      </m:oMath>
      <w:r>
        <w:t xml:space="preserve">K$48</w:t>
      </w:r>
    </w:p>
    <w:p>
      <w:pPr>
        <w:pStyle w:val="Heading3"/>
      </w:pPr>
      <w:bookmarkStart w:id="58" w:name="effects-on-vmt-demand-from-underserved-population-and-car-sharingride-pooling"/>
      <w:r>
        <w:t xml:space="preserve">Effects on VMT Demand from Underserved Population, and Car Sharing/Ride Pooling</w:t>
      </w:r>
      <w:bookmarkEnd w:id="58"/>
    </w:p>
    <w:p>
      <w:pPr>
        <w:pStyle w:val="FirstParagraph"/>
      </w:pPr>
      <w:r>
        <w:t xml:space="preserve">The fractional change in VMT demand due to the cost-elastic response is augmented by adjustments reflecting:</w:t>
      </w:r>
      <w:r>
        <w:t xml:space="preserve"> </w:t>
      </w:r>
      <w:r>
        <w:t xml:space="preserve">- estimated additional road travel by underserved/non-driving populations, specifically older and young people;</w:t>
      </w:r>
      <w:r>
        <w:t xml:space="preserve"> </w:t>
      </w:r>
      <w:r>
        <w:t xml:space="preserve">-</w:t>
      </w:r>
    </w:p>
    <w:p>
      <w:pPr>
        <w:pStyle w:val="Heading1"/>
      </w:pPr>
      <w:bookmarkStart w:id="59" w:name="policy-and-scenario-calculations"/>
      <w:r>
        <w:t xml:space="preserve">5. Policy and Scenario Calculations</w:t>
      </w:r>
      <w:bookmarkEnd w:id="59"/>
    </w:p>
    <w:p>
      <w:pPr>
        <w:pStyle w:val="FirstParagraph"/>
      </w:pPr>
      <w:r>
        <w:t xml:space="preserve">VMT Demand Response: pick up chosen Demand and Technology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60" w:name="final-scenario-results-table-for-2050"/>
      <w:r>
        <w:t xml:space="preserve">Final Scenario Results Table for 2050</w:t>
      </w:r>
      <w:bookmarkEnd w:id="60"/>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tbl>
      <w:tblPr>
        <w:tblStyle w:val="Table"/>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61" w:name="bar-chart-representation-of-results"/>
      <w:r>
        <w:t xml:space="preserve">5.2 Bar Chart Representation of Results</w:t>
      </w:r>
      <w:bookmarkEnd w:id="61"/>
    </w:p>
    <w:p>
      <w:pPr>
        <w:pStyle w:val="FirstParagraph"/>
      </w:pPr>
      <w:r>
        <w:t xml:space="preserve">XXX</w:t>
      </w:r>
    </w:p>
    <w:p>
      <w:pPr>
        <w:pStyle w:val="Heading2"/>
      </w:pPr>
      <w:bookmarkStart w:id="62" w:name="travel-time-budget"/>
      <w:r>
        <w:t xml:space="preserve">Travel Time Budget</w:t>
      </w:r>
      <w:bookmarkEnd w:id="62"/>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63" w:name="physical-constants"/>
      <w:r>
        <w:t xml:space="preserve">Physical Constants</w:t>
      </w:r>
      <w:bookmarkEnd w:id="63"/>
    </w:p>
    <w:p>
      <w:pPr>
        <w:pStyle w:val="Heading2"/>
      </w:pPr>
      <w:bookmarkStart w:id="64" w:name="vehicle-scenario-parameters"/>
      <w:r>
        <w:t xml:space="preserve">Vehicle Scenario Parameters</w:t>
      </w:r>
      <w:bookmarkEnd w:id="64"/>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65" w:name="simple-functions-for-mpg-as-a-function-of-highway-speed"/>
      <w:r>
        <w:t xml:space="preserve">6. Simple functions for MPG as a function of highway speed</w:t>
      </w:r>
      <w:bookmarkEnd w:id="65"/>
    </w:p>
    <w:p>
      <w:pPr>
        <w:pStyle w:val="Heading2"/>
      </w:pPr>
      <w:bookmarkStart w:id="66" w:name="fuel-consumption-vs.speed---thomas-et-al.approach"/>
      <w:r>
        <w:t xml:space="preserve">6.1 Fuel Consumption vs. Speed - Thomas et al. Approach</w:t>
      </w:r>
      <w:bookmarkEnd w:id="66"/>
    </w:p>
    <w:p>
      <w:pPr>
        <w:numPr>
          <w:numId w:val="1028"/>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67">
        <w:r>
          <w:rPr>
            <w:rStyle w:val="Hyperlink"/>
          </w:rPr>
          <w:t xml:space="preserve">doi:10.4271/2013-01-1113</w:t>
        </w:r>
      </w:hyperlink>
    </w:p>
    <w:p>
      <w:pPr>
        <w:pStyle w:val="BlockText"/>
        <w:numPr>
          <w:numId w:val="1000"/>
          <w:ilvl w:val="0"/>
        </w:numPr>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68">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
        <w:tblW w:type="pct" w:w="0.0"/>
        <w:tblLook w:firstRow="1"/>
        <w:tblCaption w:val="Table: Percent MPG Decreases With Speed (Rows are Ref Spe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69" w:name="fuel-consumption-vs-speed---berry-approach"/>
      <w:r>
        <w:t xml:space="preserve">6.2 Fuel Consumption vs Speed - Berry Approach</w:t>
      </w:r>
      <w:bookmarkEnd w:id="69"/>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70"/>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71" w:name="compute-the-optimum-highway-speed-for-a-range-of-time-costs-and-fuel-costs"/>
      <w:r>
        <w:t xml:space="preserve">Compute the Optimum Highway Speed for a Range of Time Costs and Fuel Costs</w:t>
      </w:r>
      <w:bookmarkEnd w:id="71"/>
    </w:p>
    <w:p>
      <w:pPr>
        <w:pStyle w:val="Heading1"/>
      </w:pPr>
      <w:bookmarkStart w:id="72" w:name="safety-costs-associated-with-speed"/>
      <w:r>
        <w:t xml:space="preserve">7. Safety Costs Associated with Speed</w:t>
      </w:r>
      <w:bookmarkEnd w:id="72"/>
    </w:p>
    <w:p>
      <w:pPr>
        <w:pStyle w:val="Compact"/>
        <w:numPr>
          <w:numId w:val="1029"/>
          <w:ilvl w:val="0"/>
        </w:numPr>
      </w:pPr>
      <w:hyperlink r:id="rId73">
        <w:r>
          <w:rPr>
            <w:rStyle w:val="Hyperlink"/>
          </w:rPr>
          <w:t xml:space="preserve">Road safety - Speed</w:t>
        </w:r>
      </w:hyperlink>
      <w:r>
        <w:t xml:space="preserve"> </w:t>
      </w:r>
      <w:r>
        <w:t xml:space="preserve">World Health Organization, 2004</w:t>
      </w:r>
    </w:p>
    <w:p>
      <w:pPr>
        <w:pStyle w:val="Compact"/>
        <w:numPr>
          <w:numId w:val="1030"/>
          <w:ilvl w:val="1"/>
        </w:numPr>
      </w:pPr>
      <w:r>
        <w:t xml:space="preserve">An increase in average speed of 1 km/h typically results in a 3% higher risk of a crash involving injury, with a 4-5% increase for crashes that result in fatalities.</w:t>
      </w:r>
    </w:p>
    <w:p>
      <w:pPr>
        <w:pStyle w:val="Compact"/>
        <w:numPr>
          <w:numId w:val="1030"/>
          <w:ilvl w:val="1"/>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9"/>
          <w:ilvl w:val="0"/>
        </w:numPr>
      </w:pPr>
      <w:r>
        <w:t xml:space="preserve">WHO 2004 World report on road traffic injury prevention</w:t>
      </w:r>
      <w:r>
        <w:t xml:space="preserve"> </w:t>
      </w:r>
      <w:r>
        <w:t xml:space="preserve">** Crash Risk**</w:t>
      </w:r>
    </w:p>
    <w:p>
      <w:pPr>
        <w:pStyle w:val="Compact"/>
        <w:numPr>
          <w:numId w:val="1031"/>
          <w:ilvl w:val="1"/>
        </w:numPr>
      </w:pPr>
      <w:r>
        <w:t xml:space="preserve">WHO 2004</w:t>
      </w:r>
      <w:r>
        <w:t xml:space="preserve"> </w:t>
      </w:r>
      <w:hyperlink r:id="rId74">
        <w:r>
          <w:rPr>
            <w:rStyle w:val="Hyperlink"/>
          </w:rPr>
          <w:t xml:space="preserve">World report on road traffic injury prevention</w:t>
        </w:r>
      </w:hyperlink>
    </w:p>
    <w:p>
      <w:pPr>
        <w:pStyle w:val="Compact"/>
        <w:numPr>
          <w:numId w:val="1031"/>
          <w:ilvl w:val="1"/>
        </w:numPr>
      </w:pPr>
      <w:hyperlink r:id="rId75">
        <w:r>
          <w:rPr>
            <w:rStyle w:val="Hyperlink"/>
          </w:rPr>
          <w:t xml:space="preserve">http://www.who.int/violence_injury_prevention/publications/road_traffic/world_report/en/</w:t>
        </w:r>
      </w:hyperlink>
    </w:p>
    <w:p>
      <w:pPr>
        <w:pStyle w:val="Compact"/>
        <w:numPr>
          <w:numId w:val="1031"/>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31"/>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31"/>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31"/>
          <w:ilvl w:val="1"/>
        </w:numPr>
      </w:pPr>
      <w:r>
        <w:t xml:space="preserve">A meta-analysis of 36 studies on speed limit changes showed, at levels above 50 km/h, a decrease of 2% in the number of crashes for every 1 km/h reduction in the average speed (43).</w:t>
      </w:r>
    </w:p>
    <w:p>
      <w:pPr>
        <w:pStyle w:val="Compact"/>
        <w:numPr>
          <w:numId w:val="1031"/>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76" w:name="severity-of-crash-injuries"/>
      <w:r>
        <w:rPr>
          <w:b/>
        </w:rPr>
        <w:t xml:space="preserve">Severity of crash injuries</w:t>
      </w:r>
      <w:bookmarkEnd w:id="76"/>
    </w:p>
    <w:p>
      <w:pPr>
        <w:pStyle w:val="Compact"/>
        <w:numPr>
          <w:numId w:val="1032"/>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33"/>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33"/>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33"/>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33"/>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33"/>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33"/>
          <w:ilvl w:val="1"/>
        </w:numPr>
      </w:pPr>
      <w:r>
        <w:t xml:space="preserve">Older pedestrians are even more physically vulnerable as speeds increase (52) (see Figure 3.4).</w:t>
      </w:r>
    </w:p>
    <w:p>
      <w:pPr>
        <w:pStyle w:val="Compact"/>
        <w:numPr>
          <w:numId w:val="1033"/>
          <w:ilvl w:val="1"/>
        </w:numPr>
      </w:pPr>
      <w:r>
        <w:t xml:space="preserve">Excess and inappropriate speed contributes to around 30% of fatal crashes in high-income countries (53).</w:t>
      </w:r>
    </w:p>
    <w:p>
      <w:pPr>
        <w:pStyle w:val="Compact"/>
        <w:numPr>
          <w:numId w:val="1032"/>
          <w:ilvl w:val="0"/>
        </w:numPr>
      </w:pPr>
      <w:r>
        <w:t xml:space="preserve">Safety References</w:t>
      </w:r>
    </w:p>
    <w:p>
      <w:pPr>
        <w:pStyle w:val="Compact"/>
        <w:numPr>
          <w:numId w:val="1034"/>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34"/>
          <w:ilvl w:val="1"/>
        </w:numPr>
      </w:pPr>
      <w:r>
        <w:t xml:space="preserve">Ogden KW. Safer roads: a guide to road safety engineering.</w:t>
      </w:r>
      <w:r>
        <w:t xml:space="preserve"> </w:t>
      </w:r>
      <w:r>
        <w:t xml:space="preserve">Melbourne, Ashgate Publishing Ltd, 1996.</w:t>
      </w:r>
    </w:p>
    <w:p>
      <w:pPr>
        <w:pStyle w:val="Compact"/>
        <w:numPr>
          <w:numId w:val="1034"/>
          <w:ilvl w:val="1"/>
        </w:numPr>
      </w:pPr>
      <w:r>
        <w:t xml:space="preserve">Cities on the move: a World Bank urban strategy review.</w:t>
      </w:r>
      <w:r>
        <w:t xml:space="preserve"> </w:t>
      </w:r>
      <w:r>
        <w:t xml:space="preserve">Washington, DC, The World Bank, 2002.</w:t>
      </w:r>
    </w:p>
    <w:p>
      <w:pPr>
        <w:pStyle w:val="Compact"/>
        <w:numPr>
          <w:numId w:val="1034"/>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34"/>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77">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34"/>
          <w:ilvl w:val="1"/>
        </w:numPr>
      </w:pPr>
      <w:r>
        <w:t xml:space="preserve">Towards a sustainable safe traffic system in the Netherlands. Leidschendam, Institute for Road Safety</w:t>
      </w:r>
      <w:r>
        <w:t xml:space="preserve"> </w:t>
      </w:r>
      <w:r>
        <w:t xml:space="preserve">Research, 1993.</w:t>
      </w:r>
    </w:p>
    <w:p>
      <w:pPr>
        <w:pStyle w:val="Compact"/>
        <w:numPr>
          <w:numId w:val="1034"/>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34"/>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34"/>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34"/>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34"/>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34"/>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78" w:name="speed-and-accident-risk"/>
      <w:r>
        <w:t xml:space="preserve">7.2 Speed and Accident Risk</w:t>
      </w:r>
      <w:bookmarkEnd w:id="78"/>
    </w:p>
    <w:p>
      <w:pPr>
        <w:numPr>
          <w:numId w:val="1035"/>
          <w:ilvl w:val="0"/>
        </w:numPr>
      </w:pPr>
      <w:r>
        <w:t xml:space="preserve">Notes from</w:t>
      </w:r>
      <w:r>
        <w:t xml:space="preserve"> </w:t>
      </w:r>
      <w:hyperlink r:id="rId79">
        <w:r>
          <w:rPr>
            <w:rStyle w:val="Hyperlink"/>
          </w:rPr>
          <w:t xml:space="preserve">Speed and Accident Risk</w:t>
        </w:r>
      </w:hyperlink>
      <w:r>
        <w:t xml:space="preserve">, European Road Safety Observatory</w:t>
      </w:r>
    </w:p>
    <w:p>
      <w:pPr>
        <w:numPr>
          <w:numId w:val="1035"/>
          <w:ilvl w:val="0"/>
        </w:numPr>
      </w:pPr>
      <w:hyperlink r:id="rId80">
        <w:r>
          <w:rPr>
            <w:rStyle w:val="Hyperlink"/>
          </w:rPr>
          <w:t xml:space="preserve">https://ec.europa.eu/transport/road_safety/specialist/knowledge/speed/speed_is_a_central_issue_in_road_safety/speed_and_road_safety_en</w:t>
        </w:r>
      </w:hyperlink>
    </w:p>
    <w:p>
      <w:pPr>
        <w:pStyle w:val="BlockText"/>
        <w:numPr>
          <w:numId w:val="1000"/>
          <w:ilvl w:val="0"/>
        </w:numPr>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numPr>
          <w:numId w:val="1000"/>
          <w:ilvl w:val="0"/>
        </w:numPr>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numPr>
          <w:numId w:val="1000"/>
          <w:ilvl w:val="0"/>
        </w:numPr>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numPr>
          <w:numId w:val="1000"/>
          <w:ilvl w:val="0"/>
        </w:numPr>
      </w:pPr>
      <w:r>
        <w:t xml:space="preserve">1 km/h increase in speed implies a 3% increase in accidents</w:t>
      </w:r>
    </w:p>
    <w:p>
      <w:pPr>
        <w:pStyle w:val="BlockText"/>
        <w:numPr>
          <w:numId w:val="1000"/>
          <w:ilvl w:val="0"/>
        </w:numPr>
      </w:pPr>
      <w:r>
        <w:t xml:space="preserve">In practice the relationship is more complex. …The higher the speed, the steeper the increase in accident risk. The relationship between speed and accident risk is a power function:</w:t>
      </w:r>
    </w:p>
    <w:p>
      <w:pPr>
        <w:pStyle w:val="BlockText"/>
        <w:numPr>
          <w:numId w:val="1000"/>
          <w:ilvl w:val="0"/>
        </w:numPr>
      </w:pPr>
      <w:r>
        <w:t xml:space="preserve">Based on the principles of kinetic energy and validated by empirical data, Nilsson [</w:t>
      </w:r>
      <w:hyperlink r:id="rId81">
        <w:r>
          <w:rPr>
            <w:rStyle w:val="Hyperlink"/>
          </w:rPr>
          <w:t xml:space="preserve">44</w:t>
        </w:r>
      </w:hyperlink>
      <w:r>
        <w:t xml:space="preserve">][</w:t>
      </w:r>
      <w:hyperlink r:id="rId82">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numPr>
          <w:numId w:val="1000"/>
          <w:ilvl w:val="0"/>
        </w:numPr>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83" w:name="references"/>
      <w:r>
        <w:t xml:space="preserve">References</w:t>
      </w:r>
      <w:bookmarkEnd w:id="83"/>
    </w:p>
    <w:p>
      <w:pPr>
        <w:pStyle w:val="Compact"/>
        <w:numPr>
          <w:numId w:val="1036"/>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84">
        <w:r>
          <w:rPr>
            <w:rStyle w:val="Hyperlink"/>
          </w:rPr>
          <w:t xml:space="preserve">http://doi.org/10.1016/j.tranpol.2017.09.005</w:t>
        </w:r>
      </w:hyperlink>
    </w:p>
    <w:p>
      <w:pPr>
        <w:pStyle w:val="Compact"/>
        <w:numPr>
          <w:numId w:val="1036"/>
          <w:ilvl w:val="0"/>
        </w:numPr>
      </w:pPr>
      <w:r>
        <w:t xml:space="preserve">Brown, A., Gonder, J., &amp; Repac, B. (2014). An Analysis of Possible Energy Impacts of Automated Vehicle. In G. Meyer &amp; S. Beiker (Eds.), Road Vehicle Automation (pp. 61-70). Springer. Retrieved from</w:t>
      </w:r>
      <w:r>
        <w:t xml:space="preserve"> </w:t>
      </w:r>
      <w:hyperlink r:id="rId85">
        <w:r>
          <w:rPr>
            <w:rStyle w:val="Hyperlink"/>
          </w:rPr>
          <w:t xml:space="preserve">http://link.springer.com/book/10.1007%2F978-3-319-05990-</w:t>
        </w:r>
      </w:hyperlink>
    </w:p>
    <w:p>
      <w:pPr>
        <w:pStyle w:val="Compact"/>
        <w:numPr>
          <w:numId w:val="1036"/>
          <w:ilvl w:val="0"/>
        </w:numPr>
      </w:pPr>
      <w:r>
        <w:t xml:space="preserve">European Road Safety Observatory 2018</w:t>
      </w:r>
      <w:r>
        <w:t xml:space="preserve"> </w:t>
      </w:r>
      <w:hyperlink r:id="rId79">
        <w:r>
          <w:rPr>
            <w:rStyle w:val="Hyperlink"/>
          </w:rPr>
          <w:t xml:space="preserve">Speed and Accident Risk</w:t>
        </w:r>
      </w:hyperlink>
      <w:r>
        <w:t xml:space="preserve"> </w:t>
      </w:r>
      <w:r>
        <w:t xml:space="preserve">(last revised 06/07/2018).</w:t>
      </w:r>
    </w:p>
    <w:p>
      <w:pPr>
        <w:pStyle w:val="Compact"/>
        <w:numPr>
          <w:numId w:val="1036"/>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6"/>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6"/>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86">
        <w:r>
          <w:rPr>
            <w:rStyle w:val="Hyperlink"/>
          </w:rPr>
          <w:t xml:space="preserve">http://www.ocs.polito.it/biblioteca/mobilita/FlexingLink1.pdf</w:t>
        </w:r>
      </w:hyperlink>
      <w:r>
        <w:t xml:space="preserve">), June 2000.</w:t>
      </w:r>
    </w:p>
    <w:p>
      <w:pPr>
        <w:pStyle w:val="Compact"/>
        <w:numPr>
          <w:numId w:val="1036"/>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87">
        <w:r>
          <w:rPr>
            <w:rStyle w:val="Hyperlink"/>
          </w:rPr>
          <w:t xml:space="preserve">doi:10.3390/en4040563</w:t>
        </w:r>
      </w:hyperlink>
    </w:p>
    <w:p>
      <w:pPr>
        <w:pStyle w:val="Compact"/>
        <w:numPr>
          <w:numId w:val="1036"/>
          <w:ilvl w:val="0"/>
        </w:numPr>
      </w:pPr>
      <w:r>
        <w:t xml:space="preserve">Shaefer et al. 2009.</w:t>
      </w:r>
    </w:p>
    <w:p>
      <w:pPr>
        <w:pStyle w:val="Compact"/>
        <w:numPr>
          <w:numId w:val="1036"/>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88">
        <w:r>
          <w:rPr>
            <w:rStyle w:val="Hyperlink"/>
          </w:rPr>
          <w:t xml:space="preserve">http://www.nrel.gov/docs/fy17osti/67216.pdf</w:t>
        </w:r>
      </w:hyperlink>
    </w:p>
    <w:p>
      <w:pPr>
        <w:pStyle w:val="Compact"/>
        <w:numPr>
          <w:numId w:val="1036"/>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67">
        <w:r>
          <w:rPr>
            <w:rStyle w:val="Hyperlink"/>
          </w:rPr>
          <w:t xml:space="preserve">doi:10.4271/2013-01-1113</w:t>
        </w:r>
      </w:hyperlink>
    </w:p>
    <w:p>
      <w:pPr>
        <w:pStyle w:val="Compact"/>
        <w:numPr>
          <w:numId w:val="1036"/>
          <w:ilvl w:val="0"/>
        </w:numPr>
      </w:pPr>
      <w:r>
        <w:t xml:space="preserve">Wadud, Z., MacKenzie, D., &amp; Leiby, P. (2016). Help or hindrance? The travel, energy and carbon impacts of highly automated vehicles. Transportation Research Part A: Policy and Practice, 86, 1-18.</w:t>
      </w:r>
      <w:r>
        <w:t xml:space="preserve"> </w:t>
      </w:r>
      <w:hyperlink r:id="rId89">
        <w:r>
          <w:rPr>
            <w:rStyle w:val="Hyperlink"/>
          </w:rPr>
          <w:t xml:space="preserve">doi:10.1016/j.tra.2015.12.001</w:t>
        </w:r>
      </w:hyperlink>
    </w:p>
    <w:sectPr w:rsidR="00FC2353" w:rsidRPr="00FC2353">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We differentiate between transportation services (PKT) and vehicle travel (VKT).</w:t>
      </w:r>
    </w:p>
  </w:footnote>
  <w:footnote w:id="27">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0">
    <w:p>
      <w:pPr>
        <w:pStyle w:val="FootnoteText"/>
      </w:pPr>
      <w:r>
        <w:rPr>
          <w:rStyle w:val="FootnoteReference"/>
        </w:rPr>
        <w:footnoteRef/>
      </w:r>
      <w:r>
        <w:t xml:space="preserve"> </w:t>
      </w:r>
      <w:r>
        <w:t xml:space="preserve">We start from the values developed in Wadud, MacKenzie and Leiby 2016.</w:t>
      </w:r>
    </w:p>
  </w:footnote>
  <w:footnote w:id="33">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8">
    <w:nsid w:val="47261bad"/>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0" Target="media/rId7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81"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2"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89" Target="doi:10.1016/j.tra.2015.12.001" TargetMode="External" /><Relationship Type="http://schemas.openxmlformats.org/officeDocument/2006/relationships/hyperlink" Id="rId87" Target="doi:10.3390/en4040563" TargetMode="External" /><Relationship Type="http://schemas.openxmlformats.org/officeDocument/2006/relationships/hyperlink" Id="rId67" Target="doi:10.4271/2013-01-1113" TargetMode="External" /><Relationship Type="http://schemas.openxmlformats.org/officeDocument/2006/relationships/hyperlink" Id="rId77" Target="http://" TargetMode="External" /><Relationship Type="http://schemas.openxmlformats.org/officeDocument/2006/relationships/hyperlink" Id="rId74" Target="http://apps.who.int/iris/bitstream/10665/42871/1/9241562609.pdf" TargetMode="External" /><Relationship Type="http://schemas.openxmlformats.org/officeDocument/2006/relationships/hyperlink" Id="rId84" Target="http://doi.org/10.1016/j.tranpol.2017.09.005" TargetMode="External" /><Relationship Type="http://schemas.openxmlformats.org/officeDocument/2006/relationships/hyperlink" Id="rId85" Target="http://link.springer.com/book/10.1007%2F978-3-319-05990-" TargetMode="External" /><Relationship Type="http://schemas.openxmlformats.org/officeDocument/2006/relationships/hyperlink" Id="rId68" Target="http://www.greencarcongress.com/2013/01/thomas-20130117.html" TargetMode="External" /><Relationship Type="http://schemas.openxmlformats.org/officeDocument/2006/relationships/hyperlink" Id="rId88" Target="http://www.nrel.gov/docs/fy17osti/67216.pdf" TargetMode="External" /><Relationship Type="http://schemas.openxmlformats.org/officeDocument/2006/relationships/hyperlink" Id="rId86" Target="http://www.ocs.polito.it/biblioteca/mobilita/FlexingLink1.pdf" TargetMode="External" /><Relationship Type="http://schemas.openxmlformats.org/officeDocument/2006/relationships/hyperlink" Id="rId75" Target="http://www.who.int/violence_injury_prevention/publications/road_traffic/world_report/en/" TargetMode="External" /><Relationship Type="http://schemas.openxmlformats.org/officeDocument/2006/relationships/hyperlink" Id="rId73" Target="http://www.who.int/violence_injury_prevention/publications/road_traffic/world_report/speed_en.pdf" TargetMode="External" /><Relationship Type="http://schemas.openxmlformats.org/officeDocument/2006/relationships/hyperlink" Id="rId79" Target="https://ec.europa.eu/transport/road_safety/specialist/knowledge/speed/speed_is_a_central_issue_in_road_safety/speed_and_accident_risk_en" TargetMode="External" /><Relationship Type="http://schemas.openxmlformats.org/officeDocument/2006/relationships/hyperlink" Id="rId80"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81"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2"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89" Target="doi:10.1016/j.tra.2015.12.001" TargetMode="External" /><Relationship Type="http://schemas.openxmlformats.org/officeDocument/2006/relationships/hyperlink" Id="rId87" Target="doi:10.3390/en4040563" TargetMode="External" /><Relationship Type="http://schemas.openxmlformats.org/officeDocument/2006/relationships/hyperlink" Id="rId67" Target="doi:10.4271/2013-01-1113" TargetMode="External" /><Relationship Type="http://schemas.openxmlformats.org/officeDocument/2006/relationships/hyperlink" Id="rId77" Target="http://" TargetMode="External" /><Relationship Type="http://schemas.openxmlformats.org/officeDocument/2006/relationships/hyperlink" Id="rId74" Target="http://apps.who.int/iris/bitstream/10665/42871/1/9241562609.pdf" TargetMode="External" /><Relationship Type="http://schemas.openxmlformats.org/officeDocument/2006/relationships/hyperlink" Id="rId84" Target="http://doi.org/10.1016/j.tranpol.2017.09.005" TargetMode="External" /><Relationship Type="http://schemas.openxmlformats.org/officeDocument/2006/relationships/hyperlink" Id="rId85" Target="http://link.springer.com/book/10.1007%2F978-3-319-05990-" TargetMode="External" /><Relationship Type="http://schemas.openxmlformats.org/officeDocument/2006/relationships/hyperlink" Id="rId68" Target="http://www.greencarcongress.com/2013/01/thomas-20130117.html" TargetMode="External" /><Relationship Type="http://schemas.openxmlformats.org/officeDocument/2006/relationships/hyperlink" Id="rId88" Target="http://www.nrel.gov/docs/fy17osti/67216.pdf" TargetMode="External" /><Relationship Type="http://schemas.openxmlformats.org/officeDocument/2006/relationships/hyperlink" Id="rId86" Target="http://www.ocs.polito.it/biblioteca/mobilita/FlexingLink1.pdf" TargetMode="External" /><Relationship Type="http://schemas.openxmlformats.org/officeDocument/2006/relationships/hyperlink" Id="rId75" Target="http://www.who.int/violence_injury_prevention/publications/road_traffic/world_report/en/" TargetMode="External" /><Relationship Type="http://schemas.openxmlformats.org/officeDocument/2006/relationships/hyperlink" Id="rId73" Target="http://www.who.int/violence_injury_prevention/publications/road_traffic/world_report/speed_en.pdf" TargetMode="External" /><Relationship Type="http://schemas.openxmlformats.org/officeDocument/2006/relationships/hyperlink" Id="rId79" Target="https://ec.europa.eu/transport/road_safety/specialist/knowledge/speed/speed_is_a_central_issue_in_road_safety/speed_and_accident_risk_en" TargetMode="External" /><Relationship Type="http://schemas.openxmlformats.org/officeDocument/2006/relationships/hyperlink" Id="rId80"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cp:keywords/>
  <dcterms:created xsi:type="dcterms:W3CDTF">2018-10-08T20:36:25Z</dcterms:created>
  <dcterms:modified xsi:type="dcterms:W3CDTF">2018-10-08T20:36:25Z</dcterms:modified>
</cp:coreProperties>
</file>