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August</w:t>
      </w:r>
      <w:r>
        <w:t xml:space="preserve"> </w:t>
      </w:r>
      <w:r>
        <w:t xml:space="preserve">29,</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3" w:name="key-questions-in-order-of-attention-paid-here"/>
      <w:bookmarkEnd w:id="23"/>
      <w:r>
        <w:t xml:space="preserve">Key Questions (in order of attention paid here)</w:t>
      </w:r>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5" w:name="limitations"/>
      <w:bookmarkEnd w:id="25"/>
      <w:r>
        <w:t xml:space="preserve">Limitations</w:t>
      </w:r>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8"/>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bookmarkEnd w:id="29"/>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0" w:name="estimating-energy-impacts"/>
      <w:bookmarkEnd w:id="30"/>
      <w:r>
        <w:t xml:space="preserve">3. Estimating Energy Impacts</w:t>
      </w:r>
    </w:p>
    <w:p>
      <w:pPr>
        <w:pStyle w:val="FirstParagraph"/>
      </w:pPr>
      <w:r>
        <w:t xml:space="preserve">We define the effects of automation on vehicle energy intensity (energy per vehicle km traveled) through a set of identified technological and operational</w:t>
      </w:r>
      <w:r>
        <w:t xml:space="preserve"> </w:t>
      </w:r>
      <w:r>
        <w:t xml:space="preserve">“</w:t>
      </w:r>
      <w:r>
        <w:t xml:space="preserve">mechanisms.</w:t>
      </w:r>
      <w:r>
        <w:t xml:space="preserve">”</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2" w:name="construct-multiplicative-factors-to-apply-to-energy-intensities-for-each-mechanism"/>
      <w:bookmarkEnd w:id="32"/>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2"/>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Increased_feature_load</w:t>
      </w:r>
      <w:r>
        <w:t xml:space="preserve">”</w:t>
      </w:r>
      <w:r>
        <w:t xml:space="preserve"> </w:t>
      </w:r>
      <w:r>
        <w:t xml:space="preserve">apply only to LDV passenger travel.</w:t>
      </w:r>
    </w:p>
    <w:p>
      <w:pPr>
        <w:pStyle w:val="Heading3"/>
      </w:pPr>
      <w:bookmarkStart w:id="33" w:name="energy-intensity-by-vehicle-type-and-technology-scenario-by-composing-mechanism-effects"/>
      <w:bookmarkEnd w:id="33"/>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Effect Sensitivity Cases by Vehicle Class, Year, AV Mechanism and Scenario</w:t>
      </w:r>
    </w:p>
    <w:tbl>
      <w:tblPr>
        <w:tblStyle w:val="TableNormal"/>
        <w:tblW w:type="pct" w:w="0.0"/>
        <w:tblLook w:firstRow="1"/>
        <w:tblCaption w:val="Effect Sensitivity Cases by Vehicle Class, Year, AV Mechanism and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VoTT assumptions for LDV and HDV by Scenario?</w:t>
      </w:r>
    </w:p>
    <w:p>
      <w:pPr>
        <w:pStyle w:val="BodyText"/>
      </w:pPr>
      <w:r>
        <w:t xml:space="preserve">The total energy intensity multiplier for each scenario</w:t>
      </w:r>
      <w:r>
        <w:t xml:space="preserve"> </w:t>
      </w:r>
      <w:r>
        <w:rPr>
          <w:i/>
        </w:rPr>
        <w:t xml:space="preserve">j</w:t>
      </w:r>
      <w:r>
        <w:t xml:space="preserve"> </w:t>
      </w:r>
      <w:r>
        <w:t xml:space="preserve">is the product of all mechanism multipliers</w:t>
      </w:r>
      <w:r>
        <w:rPr>
          <w:rStyle w:val="FootnoteReference"/>
        </w:rPr>
        <w:footnoteReference w:id="34"/>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Heading1"/>
      </w:pPr>
      <w:bookmarkStart w:id="35" w:name="demand-response-to-cavs"/>
      <w:bookmarkEnd w:id="35"/>
      <w:r>
        <w:t xml:space="preserve">4. Demand Response to CAVs</w:t>
      </w:r>
    </w:p>
    <w:p>
      <w:pPr>
        <w:pStyle w:val="FirstParagraph"/>
      </w:pPr>
      <w:r>
        <w:t xml:space="preserve">In addition to the changes in energy intensity we account for a travel demand response based on the change in net generalized cost of travel.</w:t>
      </w:r>
    </w:p>
    <w:p>
      <w:pPr>
        <w:pStyle w:val="Heading2"/>
      </w:pPr>
      <w:bookmarkStart w:id="36" w:name="key-parameters-for-demand-scenarios"/>
      <w:bookmarkEnd w:id="36"/>
      <w:r>
        <w:t xml:space="preserve">4.1 Key parameters for Demand scenarios</w:t>
      </w:r>
    </w:p>
    <w:p>
      <w:pPr>
        <w:pStyle w:val="FirstParagraph"/>
      </w:pPr>
      <w:r>
        <w:t xml:space="preserve">The following are the default parameter values. (Note: Need to be clear which version of certain parameters dominate in subsequent application, e.g. from</w:t>
      </w:r>
      <w:r>
        <w:t xml:space="preserve"> </w:t>
      </w:r>
      <w:r>
        <w:t xml:space="preserve">“</w:t>
      </w:r>
      <w:r>
        <w:t xml:space="preserve">DemScenCostReduction</w:t>
      </w:r>
      <w:r>
        <w:t xml:space="preserve">”</w:t>
      </w:r>
      <w:r>
        <w:t xml:space="preserve"> </w:t>
      </w:r>
      <w:r>
        <w:t xml:space="preserve">vs</w:t>
      </w:r>
      <w:r>
        <w:t xml:space="preserve"> </w:t>
      </w:r>
      <w:r>
        <w:t xml:space="preserve">“</w:t>
      </w:r>
      <w:r>
        <w:t xml:space="preserve">DemRespParams</w:t>
      </w:r>
      <w:r>
        <w:t xml:space="preserve">”</w:t>
      </w:r>
      <w:r>
        <w:t xml:space="preserve"> </w:t>
      </w:r>
      <w:r>
        <w:t xml:space="preserve">tables.</w:t>
      </w:r>
      <w:r>
        <w:t xml:space="preserve"> </w:t>
      </w:r>
      <w:r>
        <w:t xml:space="preserve">The</w:t>
      </w:r>
      <w:r>
        <w:t xml:space="preserve"> </w:t>
      </w:r>
      <w:r>
        <w:t xml:space="preserve">“</w:t>
      </w:r>
      <w:r>
        <w:t xml:space="preserve">Low, Med, High</w:t>
      </w:r>
      <w:r>
        <w:t xml:space="preserve">”</w:t>
      </w:r>
      <w:r>
        <w:t xml:space="preserve"> </w:t>
      </w:r>
      <w:r>
        <w:t xml:space="preserve">cases in DemdRespParams table are separate from the Demand Scenario cases in DemScenCostReduction table.</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C_incrCAV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7" w:name="select-a-single-scenario-to-examine"/>
      <w:bookmarkEnd w:id="37"/>
      <w:r>
        <w:t xml:space="preserve">Select a Single Scenario to Examine</w:t>
      </w:r>
    </w:p>
    <w:p>
      <w:pPr>
        <w:pStyle w:val="FirstParagraph"/>
      </w:pPr>
      <w:r>
        <w:t xml:space="preserve">Energy Intensity change is dependent on the Technology Scenario, and year of interest. For example consider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Demand response is a function of full (generalized) travel cost, and energy intensity affects the energy component of travel cost. So the full scenario requires updating Demand Response parameters with energy intensity reduction (by vehicle class and year) for this Technology Scenario and year</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ExclWearCost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8" w:name="establish-base-travel-costs-for-each-cost-component"/>
      <w:bookmarkEnd w:id="38"/>
      <w:r>
        <w:t xml:space="preserve">4.2 Establish Base Travel Costs for Each Cost Component</w:t>
      </w:r>
    </w:p>
    <w:p>
      <w:pPr>
        <w:pStyle w:val="Heading3"/>
      </w:pPr>
      <w:bookmarkStart w:id="39" w:name="simple-base-travel-time-cost-calculation"/>
      <w:bookmarkEnd w:id="39"/>
      <w:r>
        <w:t xml:space="preserve">Simple Base Travel Time Cost Calculation</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Heading3"/>
      </w:pPr>
      <w:bookmarkStart w:id="40" w:name="base-vehicle-travel-cost-components"/>
      <w:bookmarkEnd w:id="40"/>
      <w:r>
        <w:t xml:space="preserve">Base Vehicle Travel Cost Components</w:t>
      </w:r>
    </w:p>
    <w:p>
      <w:pPr>
        <w:pStyle w:val="FirstParagraph"/>
      </w:pPr>
      <w:r>
        <w:t xml:space="preserve">Specify the primary (private) cost components for base case (conventional, manual) road vehicle travel.</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WearAndOwn</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VehType</w:t>
            </w:r>
          </w:p>
        </w:tc>
        <w:tc>
          <w:tcPr>
            <w:tcBorders>
              <w:bottom w:val="single"/>
            </w:tcBorders>
            <w:vAlign w:val="bottom"/>
          </w:tcPr>
          <w:p>
            <w:pPr>
              <w:pStyle w:val="Compact"/>
              <w:jc w:val="right"/>
            </w:pPr>
            <w:r>
              <w:t xml:space="preserve">Total</w:t>
            </w:r>
          </w:p>
        </w:tc>
      </w:tr>
      <w:tr>
        <w:tc>
          <w:p>
            <w:pPr>
              <w:pStyle w:val="Compact"/>
              <w:jc w:val="left"/>
            </w:pPr>
            <w:r>
              <w:t xml:space="preserve">HDVClass8</w:t>
            </w:r>
          </w:p>
        </w:tc>
        <w:tc>
          <w:p>
            <w:pPr>
              <w:pStyle w:val="Compact"/>
              <w:jc w:val="right"/>
            </w:pPr>
            <w:r>
              <w:t xml:space="preserve">170.6000</w:t>
            </w:r>
          </w:p>
        </w:tc>
      </w:tr>
      <w:tr>
        <w:tc>
          <w:p>
            <w:pPr>
              <w:pStyle w:val="Compact"/>
              <w:jc w:val="left"/>
            </w:pPr>
            <w:r>
              <w:t xml:space="preserve">LDVAvgLtTruck</w:t>
            </w:r>
          </w:p>
        </w:tc>
        <w:tc>
          <w:p>
            <w:pPr>
              <w:pStyle w:val="Compact"/>
              <w:jc w:val="right"/>
            </w:pPr>
            <w:r>
              <w:t xml:space="preserve">137.2477</w:t>
            </w:r>
          </w:p>
        </w:tc>
      </w:tr>
      <w:tr>
        <w:tc>
          <w:p>
            <w:pPr>
              <w:pStyle w:val="Compact"/>
              <w:jc w:val="left"/>
            </w:pPr>
            <w:r>
              <w:t xml:space="preserve">LDVAvgSedan</w:t>
            </w:r>
          </w:p>
        </w:tc>
        <w:tc>
          <w:p>
            <w:pPr>
              <w:pStyle w:val="Compact"/>
              <w:jc w:val="right"/>
            </w:pPr>
            <w:r>
              <w:t xml:space="preserve">115.6667</w:t>
            </w:r>
          </w:p>
        </w:tc>
      </w:tr>
    </w:tbl>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19.630000</w:t>
            </w:r>
          </w:p>
        </w:tc>
        <w:tc>
          <w:p>
            <w:pPr>
              <w:pStyle w:val="Compact"/>
              <w:jc w:val="right"/>
            </w:pPr>
            <w:r>
              <w:t xml:space="preserve">14.590000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6.150000</w:t>
            </w:r>
          </w:p>
        </w:tc>
        <w:tc>
          <w:p>
            <w:pPr>
              <w:pStyle w:val="Compact"/>
              <w:jc w:val="right"/>
            </w:pPr>
            <w:r>
              <w:t xml:space="preserve">5.470000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8.490909</w:t>
            </w:r>
          </w:p>
        </w:tc>
        <w:tc>
          <w:p>
            <w:pPr>
              <w:pStyle w:val="Compact"/>
              <w:jc w:val="right"/>
            </w:pPr>
            <w:r>
              <w:t xml:space="preserve">8.447257</w:t>
            </w:r>
          </w:p>
        </w:tc>
      </w:tr>
      <w:tr>
        <w:tc>
          <w:p>
            <w:pPr>
              <w:pStyle w:val="Compact"/>
              <w:jc w:val="left"/>
            </w:pPr>
            <w:r>
              <w:t xml:space="preserve">WearAndOwn</w:t>
            </w:r>
          </w:p>
        </w:tc>
        <w:tc>
          <w:p>
            <w:pPr>
              <w:pStyle w:val="Compact"/>
              <w:jc w:val="right"/>
            </w:pPr>
            <w:r>
              <w:t xml:space="preserve">18.9</w:t>
            </w:r>
          </w:p>
        </w:tc>
        <w:tc>
          <w:p>
            <w:pPr>
              <w:pStyle w:val="Compact"/>
              <w:jc w:val="right"/>
            </w:pPr>
            <w:r>
              <w:t xml:space="preserve">43.490909</w:t>
            </w:r>
          </w:p>
        </w:tc>
        <w:tc>
          <w:p>
            <w:pPr>
              <w:pStyle w:val="Compact"/>
              <w:jc w:val="right"/>
            </w:pPr>
            <w:r>
              <w:t xml:space="preserve">29.907173</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0.000000</w:t>
            </w:r>
          </w:p>
        </w:tc>
        <w:tc>
          <w:p>
            <w:pPr>
              <w:pStyle w:val="Compact"/>
              <w:jc w:val="right"/>
            </w:pPr>
            <w:r>
              <w:t xml:space="preserve">0.000000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2.272727</w:t>
            </w:r>
          </w:p>
        </w:tc>
        <w:tc>
          <w:p>
            <w:pPr>
              <w:pStyle w:val="Compact"/>
              <w:jc w:val="right"/>
            </w:pPr>
            <w:r>
              <w:t xml:space="preserve">2.109705</w:t>
            </w:r>
          </w:p>
        </w:tc>
      </w:tr>
      <w:tr>
        <w:tc>
          <w:p>
            <w:pPr>
              <w:pStyle w:val="Compact"/>
              <w:jc w:val="left"/>
            </w:pPr>
            <w:r>
              <w:t xml:space="preserve">Time</w:t>
            </w:r>
          </w:p>
        </w:tc>
        <w:tc>
          <w:p>
            <w:pPr>
              <w:pStyle w:val="Compact"/>
              <w:jc w:val="right"/>
            </w:pPr>
            <w:r>
              <w:t xml:space="preserve">61.1</w:t>
            </w:r>
          </w:p>
        </w:tc>
        <w:tc>
          <w:p>
            <w:pPr>
              <w:pStyle w:val="Compact"/>
              <w:jc w:val="right"/>
            </w:pPr>
            <w:r>
              <w:t xml:space="preserve">49.994933</w:t>
            </w:r>
          </w:p>
        </w:tc>
        <w:tc>
          <w:p>
            <w:pPr>
              <w:pStyle w:val="Compact"/>
              <w:jc w:val="right"/>
            </w:pPr>
            <w:r>
              <w:t xml:space="preserve">49.994933</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7.218182</w:t>
            </w:r>
          </w:p>
        </w:tc>
        <w:tc>
          <w:p>
            <w:pPr>
              <w:pStyle w:val="Compact"/>
              <w:jc w:val="right"/>
            </w:pPr>
            <w:r>
              <w:t xml:space="preserve">5.147679</w:t>
            </w:r>
          </w:p>
        </w:tc>
      </w:tr>
      <w:tr>
        <w:tc>
          <w:p>
            <w:pPr>
              <w:pStyle w:val="Compact"/>
              <w:jc w:val="left"/>
            </w:pPr>
            <w:r>
              <w:t xml:space="preserve">Total</w:t>
            </w:r>
          </w:p>
        </w:tc>
        <w:tc>
          <w:p>
            <w:pPr>
              <w:pStyle w:val="Compact"/>
              <w:jc w:val="right"/>
            </w:pPr>
            <w:r>
              <w:t xml:space="preserve">170.6</w:t>
            </w:r>
          </w:p>
        </w:tc>
        <w:tc>
          <w:p>
            <w:pPr>
              <w:pStyle w:val="Compact"/>
              <w:jc w:val="right"/>
            </w:pPr>
            <w:r>
              <w:t xml:space="preserve">137.247660</w:t>
            </w:r>
          </w:p>
        </w:tc>
        <w:tc>
          <w:p>
            <w:pPr>
              <w:pStyle w:val="Compact"/>
              <w:jc w:val="right"/>
            </w:pPr>
            <w:r>
              <w:t xml:space="preserve">115.666747</w:t>
            </w:r>
          </w:p>
        </w:tc>
      </w:tr>
    </w:tbl>
    <w:p>
      <w:pPr>
        <w:pStyle w:val="Heading2"/>
      </w:pPr>
      <w:bookmarkStart w:id="41" w:name="fractional-increase-in-vkt-for-demand-scenarios"/>
      <w:bookmarkEnd w:id="41"/>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2" w:name="demand-scenario-cost-reduction-parameters-and-demand-response-parameters-drive-demand-scenarios"/>
      <w:bookmarkEnd w:id="42"/>
      <w:r>
        <w:t xml:space="preserve">Demand Scenario Cost Reduction Parameters and Demand Response Parameters Drive Demand Scenarios</w:t>
      </w:r>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TableCaption"/>
      </w:pPr>
      <w:r>
        <w:t xml:space="preserve">Vehicle Travel Cost Component Reduction by Demand Scenario</w:t>
      </w:r>
    </w:p>
    <w:tbl>
      <w:tblPr>
        <w:tblStyle w:val="TableNormal"/>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3" w:name="vehicle-travel-cost-shares-by-component---base"/>
      <w:bookmarkEnd w:id="43"/>
      <w:r>
        <w:t xml:space="preserve">Vehicle Travel Cost Shares by Component - Base</w:t>
      </w:r>
    </w:p>
    <w:p>
      <w:pPr>
        <w:pStyle w:val="TableCaption"/>
      </w:pPr>
      <w:r>
        <w:t xml:space="preserve">Base Vehicle Travel Cost: Components Share by Vehicle Type</w:t>
      </w:r>
    </w:p>
    <w:tbl>
      <w:tblPr>
        <w:tblStyle w:val="TableNormal"/>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WearAndOwn</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4" w:name="cost-shares-by-component---cav-scenario"/>
      <w:bookmarkEnd w:id="44"/>
      <w:r>
        <w:t xml:space="preserve">Cost Shares by Component - CAV Scenario</w:t>
      </w:r>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Heading2"/>
      </w:pPr>
      <w:bookmarkStart w:id="45" w:name="calculate-adjusted-travel-cost-components-for-scenario-conditions"/>
      <w:bookmarkEnd w:id="45"/>
      <w:r>
        <w:t xml:space="preserve">4.4 Calculate Adjusted Travel Cost Components for Scenario Conditions</w:t>
      </w:r>
    </w:p>
    <w:p>
      <w:pPr>
        <w:pStyle w:val="TableCaption"/>
      </w:pPr>
      <w:r>
        <w:t xml:space="preserve">Alt Travel Cost Components Relative to Base, by Vehicle Type &amp; Dem Scenario</w:t>
      </w:r>
    </w:p>
    <w:tbl>
      <w:tblPr>
        <w:tblStyle w:val="TableNormal"/>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WearAndOwn</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WearAndOwn</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WearAndOwn</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WearAndOwn</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6" w:name="fractional-vmt-changes-in-cav-scenario"/>
      <w:bookmarkEnd w:id="46"/>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Heading3"/>
      </w:pPr>
      <w:bookmarkStart w:id="47" w:name="effects-on-vmt-demand-from-elderly-drivers-and-car-sharing-ride-pooling"/>
      <w:bookmarkEnd w:id="47"/>
      <w:r>
        <w:t xml:space="preserve">Effects on VMT Demand from Elderly Drivers, and Car Sharing (Ride Pooling)</w:t>
      </w:r>
    </w:p>
    <w:p>
      <w:pPr>
        <w:pStyle w:val="SourceCode"/>
      </w:pPr>
      <w:r>
        <w:rPr>
          <w:rStyle w:val="VerbatimChar"/>
        </w:rPr>
        <w:t xml:space="preserve">## Warning: Column `VC` joining factor and character vector, coercing into</w:t>
      </w:r>
      <w:r>
        <w:br w:type="textWrapping"/>
      </w:r>
      <w:r>
        <w:rPr>
          <w:rStyle w:val="VerbatimChar"/>
        </w:rPr>
        <w:t xml:space="preserve">## character vector</w:t>
      </w:r>
    </w:p>
    <w:p>
      <w:pPr>
        <w:pStyle w:val="SourceCode"/>
      </w:pPr>
      <w:r>
        <w:rPr>
          <w:rStyle w:val="VerbatimChar"/>
        </w:rPr>
        <w:t xml:space="preserve">## Test output to Kaya (VMTIncrease table) matches example to within 2.30628e-06</w:t>
      </w:r>
    </w:p>
    <w:p>
      <w:pPr>
        <w:pStyle w:val="Heading1"/>
      </w:pPr>
      <w:bookmarkStart w:id="48" w:name="policy-and-scenario-calculations"/>
      <w:bookmarkEnd w:id="48"/>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49" w:name="final-scenario-results-table-for-2050"/>
      <w:bookmarkEnd w:id="49"/>
      <w:r>
        <w:t xml:space="preserve">Final Scenario Results Table for 2050</w:t>
      </w:r>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p>
      <w:pPr>
        <w:pStyle w:val="SourceCode"/>
      </w:pPr>
      <w:r>
        <w:rPr>
          <w:rStyle w:val="KeywordTok"/>
        </w:rPr>
        <w:t xml:space="preserve">kable</w:t>
      </w:r>
      <w:r>
        <w:rPr>
          <w:rStyle w:val="NormalTok"/>
        </w:rPr>
        <w:t xml:space="preserve">(summaryScenarioResultsTableExample)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50" w:name="bar-chart-representation-of-results"/>
      <w:bookmarkEnd w:id="50"/>
      <w:r>
        <w:t xml:space="preserve">5.2 Bar Chart Representation of Results</w:t>
      </w:r>
    </w:p>
    <w:p>
      <w:pPr>
        <w:pStyle w:val="FirstParagraph"/>
      </w:pPr>
      <w:r>
        <w:t xml:space="preserve">XXX</w:t>
      </w:r>
    </w:p>
    <w:p>
      <w:pPr>
        <w:pStyle w:val="Heading2"/>
      </w:pPr>
      <w:bookmarkStart w:id="51" w:name="travel-time-budget"/>
      <w:bookmarkEnd w:id="51"/>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2" w:name="physical-constants"/>
      <w:bookmarkEnd w:id="52"/>
      <w:r>
        <w:t xml:space="preserve">Physical Constants</w:t>
      </w:r>
    </w:p>
    <w:p>
      <w:pPr>
        <w:pStyle w:val="Heading2"/>
      </w:pPr>
      <w:bookmarkStart w:id="53" w:name="vehicle-scenario-parameters"/>
      <w:bookmarkEnd w:id="53"/>
      <w:r>
        <w:t xml:space="preserve">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54" w:name="simple-functions-for-mpg-as-a-function-of-highway-speed"/>
      <w:bookmarkEnd w:id="54"/>
      <w:r>
        <w:t xml:space="preserve">6. Simple functions for MPG as a function of highway speed</w:t>
      </w:r>
    </w:p>
    <w:p>
      <w:pPr>
        <w:pStyle w:val="Heading2"/>
      </w:pPr>
      <w:bookmarkStart w:id="55" w:name="fuel-consumption-vs.speed---thomas-et-al.-approach"/>
      <w:bookmarkEnd w:id="55"/>
      <w:r>
        <w:t xml:space="preserve">6.1 Fuel Consumption vs. Speed - Thomas et al. Approach</w:t>
      </w:r>
    </w:p>
    <w:p>
      <w:pPr>
        <w:pStyle w:val="Compact"/>
        <w:numPr>
          <w:numId w:val="1024"/>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BlockText"/>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57">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Normal"/>
        <w:tblW w:type="pct" w:w="0.0"/>
        <w:tblLook w:firstRow="1"/>
        <w:tblCaption w:val="Table: 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58" w:name="fuel-consumption-vs-speed---berry-approach"/>
      <w:bookmarkEnd w:id="58"/>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59"/>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0" w:name="compute-the-optimum-highway-speed-for-a-range-of-time-costs-and-fuel-costs"/>
      <w:bookmarkEnd w:id="60"/>
      <w:r>
        <w:t xml:space="preserve">Compute the Optimum Highway Speed for a Range of Time Costs and Fuel Costs</w:t>
      </w:r>
    </w:p>
    <w:p>
      <w:pPr>
        <w:pStyle w:val="Heading1"/>
      </w:pPr>
      <w:bookmarkStart w:id="61" w:name="safety-costs-associated-with-speed"/>
      <w:bookmarkEnd w:id="61"/>
      <w:r>
        <w:t xml:space="preserve">7. Safety Costs Associated with Speed</w:t>
      </w:r>
    </w:p>
    <w:p>
      <w:pPr>
        <w:pStyle w:val="Compact"/>
        <w:numPr>
          <w:numId w:val="1025"/>
          <w:ilvl w:val="0"/>
        </w:numPr>
      </w:pPr>
      <w:hyperlink r:id="rId62">
        <w:r>
          <w:rPr>
            <w:rStyle w:val="Hyperlink"/>
          </w:rPr>
          <w:t xml:space="preserve">Road safety - Speed</w:t>
        </w:r>
      </w:hyperlink>
      <w:r>
        <w:t xml:space="preserve"> </w:t>
      </w:r>
      <w:r>
        <w:t xml:space="preserve">World Health Organization, 2004</w:t>
      </w:r>
    </w:p>
    <w:p>
      <w:pPr>
        <w:pStyle w:val="Compact"/>
        <w:numPr>
          <w:numId w:val="1025"/>
          <w:ilvl w:val="0"/>
        </w:numPr>
      </w:pPr>
      <w:r>
        <w:t xml:space="preserve">An increase in average speed of 1 km/h typically results in a 3% higher risk of a crash involving injury, with a 4-5% increase for crashes that result in fatalities.</w:t>
      </w:r>
    </w:p>
    <w:p>
      <w:pPr>
        <w:pStyle w:val="Compact"/>
        <w:numPr>
          <w:numId w:val="1025"/>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5"/>
          <w:ilvl w:val="0"/>
        </w:numPr>
      </w:pPr>
      <w:r>
        <w:t xml:space="preserve">WHO 2004 World report on road traffic injury prevention</w:t>
      </w:r>
      <w:r>
        <w:t xml:space="preserve"> </w:t>
      </w:r>
      <w:r>
        <w:t xml:space="preserve">** Crash Risk**</w:t>
      </w:r>
    </w:p>
    <w:p>
      <w:pPr>
        <w:pStyle w:val="Compact"/>
        <w:numPr>
          <w:numId w:val="1026"/>
          <w:ilvl w:val="1"/>
        </w:numPr>
      </w:pPr>
      <w:r>
        <w:t xml:space="preserve">WHO 2004</w:t>
      </w:r>
      <w:r>
        <w:t xml:space="preserve"> </w:t>
      </w:r>
      <w:hyperlink r:id="rId63">
        <w:r>
          <w:rPr>
            <w:rStyle w:val="Hyperlink"/>
          </w:rPr>
          <w:t xml:space="preserve">World report on road traffic injury prevention</w:t>
        </w:r>
      </w:hyperlink>
    </w:p>
    <w:p>
      <w:pPr>
        <w:pStyle w:val="Compact"/>
        <w:numPr>
          <w:numId w:val="1026"/>
          <w:ilvl w:val="1"/>
        </w:numPr>
      </w:pPr>
      <w:hyperlink r:id="rId64">
        <w:r>
          <w:rPr>
            <w:rStyle w:val="Hyperlink"/>
          </w:rPr>
          <w:t xml:space="preserve">http://www.who.int/violence_injury_prevention/publications/road_traffic/world_report/en/</w:t>
        </w:r>
      </w:hyperlink>
    </w:p>
    <w:p>
      <w:pPr>
        <w:pStyle w:val="Compact"/>
        <w:numPr>
          <w:numId w:val="1026"/>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6"/>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6"/>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6"/>
          <w:ilvl w:val="1"/>
        </w:numPr>
      </w:pPr>
      <w:r>
        <w:t xml:space="preserve">A meta-analysis of 36 studies on speed limit changes showed, at levels above 50 km/h, a decrease of 2% in the number of crashes for every 1 km/h reduction in the average speed (43).</w:t>
      </w:r>
    </w:p>
    <w:p>
      <w:pPr>
        <w:pStyle w:val="Compact"/>
        <w:numPr>
          <w:numId w:val="1026"/>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5" w:name="severity-of-crash-injuries"/>
      <w:bookmarkEnd w:id="65"/>
      <w:r>
        <w:rPr>
          <w:b/>
        </w:rPr>
        <w:t xml:space="preserve">Severity of crash injuries</w:t>
      </w:r>
    </w:p>
    <w:p>
      <w:pPr>
        <w:pStyle w:val="Compact"/>
        <w:numPr>
          <w:numId w:val="1027"/>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8"/>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8"/>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8"/>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8"/>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8"/>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8"/>
          <w:ilvl w:val="1"/>
        </w:numPr>
      </w:pPr>
      <w:r>
        <w:t xml:space="preserve">Older pedestrians are even more physically vulnerable as speeds increase (52) (see Figure 3.4).</w:t>
      </w:r>
    </w:p>
    <w:p>
      <w:pPr>
        <w:pStyle w:val="Compact"/>
        <w:numPr>
          <w:numId w:val="1028"/>
          <w:ilvl w:val="1"/>
        </w:numPr>
      </w:pPr>
      <w:r>
        <w:t xml:space="preserve">Excess and inappropriate speed contributes to around 30% of fatal crashes in high-income countries (53).</w:t>
      </w:r>
    </w:p>
    <w:p>
      <w:pPr>
        <w:pStyle w:val="Compact"/>
        <w:numPr>
          <w:numId w:val="1027"/>
          <w:ilvl w:val="0"/>
        </w:numPr>
      </w:pPr>
      <w:r>
        <w:t xml:space="preserve">Safety References</w:t>
      </w:r>
    </w:p>
    <w:p>
      <w:pPr>
        <w:pStyle w:val="Compact"/>
        <w:numPr>
          <w:numId w:val="1029"/>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9"/>
          <w:ilvl w:val="1"/>
        </w:numPr>
      </w:pPr>
      <w:r>
        <w:t xml:space="preserve">Ogden KW. Safer roads: a guide to road safety engineering.</w:t>
      </w:r>
      <w:r>
        <w:t xml:space="preserve"> </w:t>
      </w:r>
      <w:r>
        <w:t xml:space="preserve">Melbourne, Ashgate Publishing Ltd, 1996.</w:t>
      </w:r>
    </w:p>
    <w:p>
      <w:pPr>
        <w:pStyle w:val="Compact"/>
        <w:numPr>
          <w:numId w:val="1029"/>
          <w:ilvl w:val="1"/>
        </w:numPr>
      </w:pPr>
      <w:r>
        <w:t xml:space="preserve">Cities on the move: a World Bank urban strategy review.</w:t>
      </w:r>
      <w:r>
        <w:t xml:space="preserve"> </w:t>
      </w:r>
      <w:r>
        <w:t xml:space="preserve">Washington, DC, The World Bank, 2002.</w:t>
      </w:r>
    </w:p>
    <w:p>
      <w:pPr>
        <w:pStyle w:val="Compact"/>
        <w:numPr>
          <w:numId w:val="1029"/>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9"/>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6">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9"/>
          <w:ilvl w:val="1"/>
        </w:numPr>
      </w:pPr>
      <w:r>
        <w:t xml:space="preserve">Towards a sustainable safe traffic system in the Netherlands. Leidschendam, Institute for Road Safety</w:t>
      </w:r>
      <w:r>
        <w:t xml:space="preserve"> </w:t>
      </w:r>
      <w:r>
        <w:t xml:space="preserve">Research, 1993.</w:t>
      </w:r>
    </w:p>
    <w:p>
      <w:pPr>
        <w:pStyle w:val="Compact"/>
        <w:numPr>
          <w:numId w:val="1029"/>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9"/>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9"/>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9"/>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9"/>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9"/>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7" w:name="speed-and-accident-risk"/>
      <w:bookmarkEnd w:id="67"/>
      <w:r>
        <w:t xml:space="preserve">7.2 Speed and Accident Risk</w:t>
      </w:r>
    </w:p>
    <w:p>
      <w:pPr>
        <w:numPr>
          <w:numId w:val="1030"/>
          <w:ilvl w:val="0"/>
        </w:numPr>
      </w:pPr>
      <w:r>
        <w:t xml:space="preserve">Notes from</w:t>
      </w:r>
      <w:r>
        <w:t xml:space="preserve"> </w:t>
      </w:r>
      <w:hyperlink r:id="rId68">
        <w:r>
          <w:rPr>
            <w:rStyle w:val="Hyperlink"/>
          </w:rPr>
          <w:t xml:space="preserve">Speed and Accident Risk</w:t>
        </w:r>
      </w:hyperlink>
      <w:r>
        <w:t xml:space="preserve">, European Road Safety Observatory</w:t>
      </w:r>
    </w:p>
    <w:p>
      <w:pPr>
        <w:numPr>
          <w:numId w:val="1030"/>
          <w:ilvl w:val="0"/>
        </w:numPr>
      </w:pPr>
      <w:hyperlink r:id="rId69">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70">
        <w:r>
          <w:rPr>
            <w:rStyle w:val="Hyperlink"/>
          </w:rPr>
          <w:t xml:space="preserve">44</w:t>
        </w:r>
      </w:hyperlink>
      <w:r>
        <w:t xml:space="preserve">][</w:t>
      </w:r>
      <w:hyperlink r:id="rId71">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2" w:name="references"/>
      <w:bookmarkEnd w:id="72"/>
      <w:r>
        <w:t xml:space="preserve">References</w:t>
      </w:r>
    </w:p>
    <w:p>
      <w:pPr>
        <w:pStyle w:val="Compact"/>
        <w:numPr>
          <w:numId w:val="1031"/>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3">
        <w:r>
          <w:rPr>
            <w:rStyle w:val="Hyperlink"/>
          </w:rPr>
          <w:t xml:space="preserve">http://doi.org/10.1016/j.tranpol.2017.09.005</w:t>
        </w:r>
      </w:hyperlink>
    </w:p>
    <w:p>
      <w:pPr>
        <w:pStyle w:val="Compact"/>
        <w:numPr>
          <w:numId w:val="1031"/>
          <w:ilvl w:val="0"/>
        </w:numPr>
      </w:pPr>
      <w:r>
        <w:t xml:space="preserve">Brown, A., Gonder, J., &amp; Repac, B. (2014). An Analysis of Possible Energy Impacts of Automated Vehicle. In G. Meyer &amp; S. Beiker (Eds.), Road Vehicle Automation (pp. 61-70). Springer. Retrieved from</w:t>
      </w:r>
      <w:r>
        <w:t xml:space="preserve"> </w:t>
      </w:r>
      <w:hyperlink r:id="rId74">
        <w:r>
          <w:rPr>
            <w:rStyle w:val="Hyperlink"/>
          </w:rPr>
          <w:t xml:space="preserve">http://link.springer.com/book/10.1007%2F978-3-319-05990-</w:t>
        </w:r>
      </w:hyperlink>
    </w:p>
    <w:p>
      <w:pPr>
        <w:pStyle w:val="Compact"/>
        <w:numPr>
          <w:numId w:val="1031"/>
          <w:ilvl w:val="0"/>
        </w:numPr>
      </w:pPr>
      <w:r>
        <w:t xml:space="preserve">European Road Safety Observatory 2018</w:t>
      </w:r>
      <w:r>
        <w:t xml:space="preserve"> </w:t>
      </w:r>
      <w:hyperlink r:id="rId68">
        <w:r>
          <w:rPr>
            <w:rStyle w:val="Hyperlink"/>
          </w:rPr>
          <w:t xml:space="preserve">Speed and Accident Risk</w:t>
        </w:r>
      </w:hyperlink>
      <w:r>
        <w:t xml:space="preserve"> </w:t>
      </w:r>
      <w:r>
        <w:t xml:space="preserve">(last revised 06/07/2018).</w:t>
      </w:r>
    </w:p>
    <w:p>
      <w:pPr>
        <w:pStyle w:val="Compact"/>
        <w:numPr>
          <w:numId w:val="1031"/>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1"/>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1"/>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5">
        <w:r>
          <w:rPr>
            <w:rStyle w:val="Hyperlink"/>
          </w:rPr>
          <w:t xml:space="preserve">http://www.ocs.polito.it/biblioteca/mobilita/FlexingLink1.pdf</w:t>
        </w:r>
      </w:hyperlink>
      <w:r>
        <w:t xml:space="preserve">), June 2000.</w:t>
      </w:r>
    </w:p>
    <w:p>
      <w:pPr>
        <w:pStyle w:val="Compact"/>
        <w:numPr>
          <w:numId w:val="1031"/>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76">
        <w:r>
          <w:rPr>
            <w:rStyle w:val="Hyperlink"/>
          </w:rPr>
          <w:t xml:space="preserve">doi:10.3390/en4040563</w:t>
        </w:r>
      </w:hyperlink>
    </w:p>
    <w:p>
      <w:pPr>
        <w:pStyle w:val="Compact"/>
        <w:numPr>
          <w:numId w:val="1031"/>
          <w:ilvl w:val="0"/>
        </w:numPr>
      </w:pPr>
      <w:r>
        <w:t xml:space="preserve">Shaefer et al. 2009.</w:t>
      </w:r>
    </w:p>
    <w:p>
      <w:pPr>
        <w:pStyle w:val="Compact"/>
        <w:numPr>
          <w:numId w:val="1031"/>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77">
        <w:r>
          <w:rPr>
            <w:rStyle w:val="Hyperlink"/>
          </w:rPr>
          <w:t xml:space="preserve">http://www.nrel.gov/docs/fy17osti/67216.pdf</w:t>
        </w:r>
      </w:hyperlink>
    </w:p>
    <w:p>
      <w:pPr>
        <w:pStyle w:val="Compact"/>
        <w:numPr>
          <w:numId w:val="1031"/>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6">
        <w:r>
          <w:rPr>
            <w:rStyle w:val="Hyperlink"/>
          </w:rPr>
          <w:t xml:space="preserve">doi:10.4271/2013-01-1113</w:t>
        </w:r>
      </w:hyperlink>
    </w:p>
    <w:p>
      <w:pPr>
        <w:pStyle w:val="Compact"/>
        <w:numPr>
          <w:numId w:val="1031"/>
          <w:ilvl w:val="0"/>
        </w:numPr>
      </w:pPr>
      <w:r>
        <w:t xml:space="preserve">Wadud, Z., MacKenzie, D., &amp; Leiby, P. (2016). Help or hindrance? The travel, energy and carbon impacts of highly automated vehicles. Transportation Research Part A: Policy and Practice, 86, 1-18.</w:t>
      </w:r>
      <w:r>
        <w:t xml:space="preserve"> </w:t>
      </w:r>
      <w:hyperlink r:id="rId78">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We start from the values developed in Wadud, MacKenzie and Leiby 2016.</w:t>
      </w:r>
    </w:p>
  </w:footnote>
  <w:footnote w:id="34">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e851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c3f6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3c2af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4eccbf9c"/>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59" Target="media/rId59.png" /><Relationship Type="http://schemas.openxmlformats.org/officeDocument/2006/relationships/hyperlink" Id="rId70"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1"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8" Target="doi:10.1016/j.tra.2015.12.001" TargetMode="External" /><Relationship Type="http://schemas.openxmlformats.org/officeDocument/2006/relationships/hyperlink" Id="rId76"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3" Target="http://doi.org/10.1016/j.tranpol.2017.09.005" TargetMode="External" /><Relationship Type="http://schemas.openxmlformats.org/officeDocument/2006/relationships/hyperlink" Id="rId74"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7" Target="http://www.nrel.gov/docs/fy17osti/67216.pdf" TargetMode="External" /><Relationship Type="http://schemas.openxmlformats.org/officeDocument/2006/relationships/hyperlink" Id="rId75"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 Type="http://schemas.openxmlformats.org/officeDocument/2006/relationships/hyperlink" Id="rId68" Target="https://ec.europa.eu/transport/road_safety/specialist/knowledge/speed/speed_is_a_central_issue_in_road_safety/speed_and_accident_risk_en" TargetMode="External" /><Relationship Type="http://schemas.openxmlformats.org/officeDocument/2006/relationships/hyperlink" Id="rId69"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70"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1"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78" Target="doi:10.1016/j.tra.2015.12.001" TargetMode="External" /><Relationship Type="http://schemas.openxmlformats.org/officeDocument/2006/relationships/hyperlink" Id="rId76" Target="doi:10.3390/en4040563" TargetMode="External" /><Relationship Type="http://schemas.openxmlformats.org/officeDocument/2006/relationships/hyperlink" Id="rId56" Target="doi:10.4271/2013-01-1113" TargetMode="External" /><Relationship Type="http://schemas.openxmlformats.org/officeDocument/2006/relationships/hyperlink" Id="rId66" Target="http://" TargetMode="External" /><Relationship Type="http://schemas.openxmlformats.org/officeDocument/2006/relationships/hyperlink" Id="rId63" Target="http://apps.who.int/iris/bitstream/10665/42871/1/9241562609.pdf" TargetMode="External" /><Relationship Type="http://schemas.openxmlformats.org/officeDocument/2006/relationships/hyperlink" Id="rId73" Target="http://doi.org/10.1016/j.tranpol.2017.09.005" TargetMode="External" /><Relationship Type="http://schemas.openxmlformats.org/officeDocument/2006/relationships/hyperlink" Id="rId74" Target="http://link.springer.com/book/10.1007%2F978-3-319-05990-" TargetMode="External" /><Relationship Type="http://schemas.openxmlformats.org/officeDocument/2006/relationships/hyperlink" Id="rId57" Target="http://www.greencarcongress.com/2013/01/thomas-20130117.html" TargetMode="External" /><Relationship Type="http://schemas.openxmlformats.org/officeDocument/2006/relationships/hyperlink" Id="rId77" Target="http://www.nrel.gov/docs/fy17osti/67216.pdf" TargetMode="External" /><Relationship Type="http://schemas.openxmlformats.org/officeDocument/2006/relationships/hyperlink" Id="rId75" Target="http://www.ocs.polito.it/biblioteca/mobilita/FlexingLink1.pdf" TargetMode="External" /><Relationship Type="http://schemas.openxmlformats.org/officeDocument/2006/relationships/hyperlink" Id="rId64" Target="http://www.who.int/violence_injury_prevention/publications/road_traffic/world_report/en/" TargetMode="External" /><Relationship Type="http://schemas.openxmlformats.org/officeDocument/2006/relationships/hyperlink" Id="rId62" Target="http://www.who.int/violence_injury_prevention/publications/road_traffic/world_report/speed_en.pdf" TargetMode="External" /><Relationship Type="http://schemas.openxmlformats.org/officeDocument/2006/relationships/hyperlink" Id="rId68" Target="https://ec.europa.eu/transport/road_safety/specialist/knowledge/speed/speed_is_a_central_issue_in_road_safety/speed_and_accident_risk_en" TargetMode="External" /><Relationship Type="http://schemas.openxmlformats.org/officeDocument/2006/relationships/hyperlink" Id="rId69"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2018-08-29T22:09:13Z</dcterms:created>
  <dcterms:modified xsi:type="dcterms:W3CDTF">2018-08-29T22:09:13Z</dcterms:modified>
</cp:coreProperties>
</file>