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5: Análisis econométrico</w:t>
      </w:r>
    </w:p>
    <w:p>
      <w:pPr>
        <w:pStyle w:val="Heading2"/>
      </w:pPr>
      <w:r>
        <w:t>5.1 Del modelo de ecuaciones simultáneas al VAR: motivación metodológica</w:t>
      </w:r>
    </w:p>
    <w:p>
      <w:pPr>
        <w:spacing w:line="276" w:lineRule="auto" w:after="120"/>
      </w:pPr>
      <w:r>
        <w:t>La elección del modelo VAR/VECM como núcleo del análisis econométrico no es arbitraria: responde a una evolución bien documentada en la historia de la econometría aplicada que conviene explicitar. Los primeros modelos macroeconómicos de gran escala —construidos por la Reserva Federal, el FMI y los bancos centrales en los años sesenta y setenta— se articulaban como Modelos de Ecuaciones Simultáneas (MES): sistemas de ecuaciones estructurales en los que cada variable era modelada como función de otras variables del sistema, con restricciones de identificación impuestas a priori para distinguir las ecuaciones entre sí.</w:t>
      </w:r>
    </w:p>
    <w:p>
      <w:pPr>
        <w:spacing w:line="276" w:lineRule="auto" w:after="120"/>
      </w:pPr>
      <w:r>
        <w:t>El problema fundamental de los MES en la práctica es que esas restricciones de identificación —la decisión de cuáles variables son exógenas en cada ecuación— no puede verificarse a partir de los datos: son supuestos teóricos que se imponen de forma arbitraria. Cuando un investigador decide que, por ejemplo, el tipo de interés real es exógeno en la ecuación del precio del oro, está afirmando que el precio del oro no afecta al tipo real en el mismo mes —un supuesto que puede ser razonable pero que no es verificable sin información externa. Como señaló Sims (1980) en su influyente crítica, "las restricciones de identificación en los MES son increíbles porque se imponen por razones de conveniencia estadística, no por razones económicas sólidas".</w:t>
      </w:r>
    </w:p>
    <w:p>
      <w:pPr>
        <w:spacing w:line="276" w:lineRule="auto" w:after="120"/>
      </w:pPr>
      <w:r>
        <w:t xml:space="preserve">La propuesta de Sims fue tratar todas las variables del sistema como igualmente endógenas y modelar cada una como función de los retardos de todas las demás. Este es exactamente el modelo VAR (*Vector Autoregression*), que puede entenderse como la </w:t>
      </w:r>
      <w:r>
        <w:rPr>
          <w:b/>
        </w:rPr>
        <w:t>forma reducida</w:t>
      </w:r>
      <w:r>
        <w:t xml:space="preserve"> del MES: sin restricciones de identificación a priori, sin variables artificialmente declaradas exógenas, y sin ecuaciones estructurales cuya justificación sea cuestionable. El VAR es, en este sentido, más honesto sobre lo que los datos pueden identificar sin teoría adicional. Para nuestro sistema —donde el precio del oro, el dólar, los tipos reales y la renta variable se afectan mutuamente de formas que no podemos especificar con certeza— el VAR ofrece el marco más apropiado.</w:t>
      </w:r>
    </w:p>
    <w:p>
      <w:pPr>
        <w:spacing w:line="276" w:lineRule="auto" w:after="120"/>
      </w:pPr>
      <w:r>
        <w:t>Cuando las variables del sistema son no estacionarias y están cointegradas —como confirman los tests del Capítulo 4—, la extensión natural del VAR es el VECM (*Vector Error Correction Model*), que añade al sistema de diferencias un término de corrección de errores que captura la dinámica de ajuste al equilibrio de largo plazo. La estimación del VECM, sus funciones de impulso-respuesta y la descomposición de varianza del error de predicción son los resultados centrales de este capítulo.</w:t>
      </w:r>
    </w:p>
    <w:p>
      <w:pPr>
        <w:pStyle w:val="Heading2"/>
      </w:pPr>
      <w:r>
        <w:t>5.2 Estructura y secuencia del análisis</w:t>
      </w:r>
    </w:p>
    <w:p>
      <w:pPr>
        <w:spacing w:line="276" w:lineRule="auto" w:after="120"/>
      </w:pPr>
      <w:r>
        <w:t>El análisis econométrico que se desarrolla en este capítulo sigue un protocolo secuencial en el que cada etapa determina la siguiente. El punto de partida son los resultados de estacionariedad e integración obtenidos en el Capítulo 4, que condicionan directamente la especificación del modelo de largo plazo. A continuación, la evidencia de cointegración del test de Johansen determina si el sistema debe estimarse como un modelo VAR en diferencias o como un modelo de corrección de errores vectorial (VECM). Sobre esa base multivariante se construyen las funciones de impulso-respuesta y la descomposición de varianza, que permiten cuantificar la dinámica del precio del oro ante shocks en sus catalizadores. En paralelo, el análisis de volatilidad condicional mediante modelos GARCH captura un aspecto de la dinámica del oro que los modelos de medias no recogen: los episodios de volatilidad extrema que caracterizan al metal en momentos de crisis. El capítulo concluye con un análisis de estabilidad estructural que pone a prueba la hipótesis —de especial relevancia en este trabajo— de que las relaciones estimadas no son constantes a lo largo de los veinticinco años analizados.</w:t>
      </w:r>
    </w:p>
    <w:p>
      <w:pPr>
        <w:spacing w:line="276" w:lineRule="auto" w:after="120"/>
      </w:pPr>
      <w:r>
        <w:t>La secuencia completa de análisis, con las herramientas utilizadas y las tablas y figuras que genera cada etapa, se resume en la Tabla 5.0.</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Pr>
                <w:b/>
              </w:rPr>
              <w:t>Sección</w:t>
            </w:r>
          </w:p>
        </w:tc>
        <w:tc>
          <w:tcPr>
            <w:tcW w:type="dxa" w:w="1756"/>
          </w:tcPr>
          <w:p>
            <w:r>
              <w:rPr>
                <w:b/>
              </w:rPr>
              <w:t>Etapa</w:t>
            </w:r>
          </w:p>
        </w:tc>
        <w:tc>
          <w:tcPr>
            <w:tcW w:type="dxa" w:w="1756"/>
          </w:tcPr>
          <w:p>
            <w:r>
              <w:rPr>
                <w:b/>
              </w:rPr>
              <w:t>Herramienta</w:t>
            </w:r>
          </w:p>
        </w:tc>
        <w:tc>
          <w:tcPr>
            <w:tcW w:type="dxa" w:w="1756"/>
          </w:tcPr>
          <w:p>
            <w:r>
              <w:rPr>
                <w:b/>
              </w:rPr>
              <w:t>Insumos del Cap. 4</w:t>
            </w:r>
          </w:p>
        </w:tc>
        <w:tc>
          <w:tcPr>
            <w:tcW w:type="dxa" w:w="1756"/>
          </w:tcPr>
          <w:p>
            <w:r>
              <w:rPr>
                <w:b/>
              </w:rPr>
              <w:t>Productos (Cap. 5)</w:t>
            </w:r>
          </w:p>
        </w:tc>
      </w:tr>
      <w:tr>
        <w:tc>
          <w:tcPr>
            <w:tcW w:type="dxa" w:w="1756"/>
          </w:tcPr>
          <w:p>
            <w:r>
              <w:t>5.3</w:t>
            </w:r>
          </w:p>
        </w:tc>
        <w:tc>
          <w:tcPr>
            <w:tcW w:type="dxa" w:w="1756"/>
          </w:tcPr>
          <w:p>
            <w:r>
              <w:t>Estructura del sistema</w:t>
            </w:r>
          </w:p>
        </w:tc>
        <w:tc>
          <w:tcPr>
            <w:tcW w:type="dxa" w:w="1756"/>
          </w:tcPr>
          <w:p>
            <w:r>
              <w:t>Tests ADF + KPSS</w:t>
            </w:r>
          </w:p>
        </w:tc>
        <w:tc>
          <w:tcPr>
            <w:tcW w:type="dxa" w:w="1756"/>
          </w:tcPr>
          <w:p>
            <w:r>
              <w:t>Tabla 4.4</w:t>
            </w:r>
          </w:p>
        </w:tc>
        <w:tc>
          <w:tcPr>
            <w:tcW w:type="dxa" w:w="1756"/>
          </w:tcPr>
          <w:p>
            <w:r>
              <w:t>Clasificación I(0)/I(1)</w:t>
            </w:r>
          </w:p>
        </w:tc>
      </w:tr>
      <w:tr>
        <w:tc>
          <w:tcPr>
            <w:tcW w:type="dxa" w:w="1756"/>
          </w:tcPr>
          <w:p>
            <w:r>
              <w:t>5.3</w:t>
            </w:r>
          </w:p>
        </w:tc>
        <w:tc>
          <w:tcPr>
            <w:tcW w:type="dxa" w:w="1756"/>
          </w:tcPr>
          <w:p>
            <w:r>
              <w:t>Cointegración</w:t>
            </w:r>
          </w:p>
        </w:tc>
        <w:tc>
          <w:tcPr>
            <w:tcW w:type="dxa" w:w="1756"/>
          </w:tcPr>
          <w:p>
            <w:r>
              <w:t>Test de Johansen</w:t>
            </w:r>
          </w:p>
        </w:tc>
        <w:tc>
          <w:tcPr>
            <w:tcW w:type="dxa" w:w="1756"/>
          </w:tcPr>
          <w:p>
            <w:r>
              <w:t>Tabla 4.5</w:t>
            </w:r>
          </w:p>
        </w:tc>
        <w:tc>
          <w:tcPr>
            <w:tcW w:type="dxa" w:w="1756"/>
          </w:tcPr>
          <w:p>
            <w:r>
              <w:t>Determinación del rango</w:t>
            </w:r>
          </w:p>
        </w:tc>
      </w:tr>
      <w:tr>
        <w:tc>
          <w:tcPr>
            <w:tcW w:type="dxa" w:w="1756"/>
          </w:tcPr>
          <w:p>
            <w:r>
              <w:t>5.4</w:t>
            </w:r>
          </w:p>
        </w:tc>
        <w:tc>
          <w:tcPr>
            <w:tcW w:type="dxa" w:w="1756"/>
          </w:tcPr>
          <w:p>
            <w:r>
              <w:t>Especificación VAR</w:t>
            </w:r>
          </w:p>
        </w:tc>
        <w:tc>
          <w:tcPr>
            <w:tcW w:type="dxa" w:w="1756"/>
          </w:tcPr>
          <w:p>
            <w:r>
              <w:t>Criterios AIC/BIC</w:t>
            </w:r>
          </w:p>
        </w:tc>
        <w:tc>
          <w:tcPr>
            <w:tcW w:type="dxa" w:w="1756"/>
          </w:tcPr>
          <w:p>
            <w:r>
              <w:t>—</w:t>
            </w:r>
          </w:p>
        </w:tc>
        <w:tc>
          <w:tcPr>
            <w:tcW w:type="dxa" w:w="1756"/>
          </w:tcPr>
          <w:p>
            <w:r>
              <w:t>Tabla 5.1</w:t>
            </w:r>
          </w:p>
        </w:tc>
      </w:tr>
      <w:tr>
        <w:tc>
          <w:tcPr>
            <w:tcW w:type="dxa" w:w="1756"/>
          </w:tcPr>
          <w:p>
            <w:r>
              <w:t>5.4</w:t>
            </w:r>
          </w:p>
        </w:tc>
        <w:tc>
          <w:tcPr>
            <w:tcW w:type="dxa" w:w="1756"/>
          </w:tcPr>
          <w:p>
            <w:r>
              <w:t>Estimación VECM</w:t>
            </w:r>
          </w:p>
        </w:tc>
        <w:tc>
          <w:tcPr>
            <w:tcW w:type="dxa" w:w="1756"/>
          </w:tcPr>
          <w:p>
            <w:r>
              <w:t>VECM (r=1)</w:t>
            </w:r>
          </w:p>
        </w:tc>
        <w:tc>
          <w:tcPr>
            <w:tcW w:type="dxa" w:w="1756"/>
          </w:tcPr>
          <w:p>
            <w:r>
              <w:t>Tablas 4.4, 4.5</w:t>
            </w:r>
          </w:p>
        </w:tc>
        <w:tc>
          <w:tcPr>
            <w:tcW w:type="dxa" w:w="1756"/>
          </w:tcPr>
          <w:p>
            <w:r>
              <w:t>Tablas 5.2, 5.3</w:t>
            </w:r>
          </w:p>
        </w:tc>
      </w:tr>
      <w:tr>
        <w:tc>
          <w:tcPr>
            <w:tcW w:type="dxa" w:w="1756"/>
          </w:tcPr>
          <w:p>
            <w:r>
              <w:t>5.5</w:t>
            </w:r>
          </w:p>
        </w:tc>
        <w:tc>
          <w:tcPr>
            <w:tcW w:type="dxa" w:w="1756"/>
          </w:tcPr>
          <w:p>
            <w:r>
              <w:t>Impulso-respuesta</w:t>
            </w:r>
          </w:p>
        </w:tc>
        <w:tc>
          <w:tcPr>
            <w:tcW w:type="dxa" w:w="1756"/>
          </w:tcPr>
          <w:p>
            <w:r>
              <w:t>IRF ortogonalizada (Cholesky)</w:t>
            </w:r>
          </w:p>
        </w:tc>
        <w:tc>
          <w:tcPr>
            <w:tcW w:type="dxa" w:w="1756"/>
          </w:tcPr>
          <w:p>
            <w:r>
              <w:t>VECM</w:t>
            </w:r>
          </w:p>
        </w:tc>
        <w:tc>
          <w:tcPr>
            <w:tcW w:type="dxa" w:w="1756"/>
          </w:tcPr>
          <w:p>
            <w:r>
              <w:t>Figura 5.1</w:t>
            </w:r>
          </w:p>
        </w:tc>
      </w:tr>
      <w:tr>
        <w:tc>
          <w:tcPr>
            <w:tcW w:type="dxa" w:w="1756"/>
          </w:tcPr>
          <w:p>
            <w:r>
              <w:t>5.6</w:t>
            </w:r>
          </w:p>
        </w:tc>
        <w:tc>
          <w:tcPr>
            <w:tcW w:type="dxa" w:w="1756"/>
          </w:tcPr>
          <w:p>
            <w:r>
              <w:t>Descomposición varianza</w:t>
            </w:r>
          </w:p>
        </w:tc>
        <w:tc>
          <w:tcPr>
            <w:tcW w:type="dxa" w:w="1756"/>
          </w:tcPr>
          <w:p>
            <w:r>
              <w:t>FEVD</w:t>
            </w:r>
          </w:p>
        </w:tc>
        <w:tc>
          <w:tcPr>
            <w:tcW w:type="dxa" w:w="1756"/>
          </w:tcPr>
          <w:p>
            <w:r>
              <w:t>VECM</w:t>
            </w:r>
          </w:p>
        </w:tc>
        <w:tc>
          <w:tcPr>
            <w:tcW w:type="dxa" w:w="1756"/>
          </w:tcPr>
          <w:p>
            <w:r>
              <w:t>Figura 5.2</w:t>
            </w:r>
          </w:p>
        </w:tc>
      </w:tr>
      <w:tr>
        <w:tc>
          <w:tcPr>
            <w:tcW w:type="dxa" w:w="1756"/>
          </w:tcPr>
          <w:p>
            <w:r>
              <w:t>5.7</w:t>
            </w:r>
          </w:p>
        </w:tc>
        <w:tc>
          <w:tcPr>
            <w:tcW w:type="dxa" w:w="1756"/>
          </w:tcPr>
          <w:p>
            <w:r>
              <w:t>Volatilidad condicional</w:t>
            </w:r>
          </w:p>
        </w:tc>
        <w:tc>
          <w:tcPr>
            <w:tcW w:type="dxa" w:w="1756"/>
          </w:tcPr>
          <w:p>
            <w:r>
              <w:t>GJR-GARCH(1,1)</w:t>
            </w:r>
          </w:p>
        </w:tc>
        <w:tc>
          <w:tcPr>
            <w:tcW w:type="dxa" w:w="1756"/>
          </w:tcPr>
          <w:p>
            <w:r>
              <w:t>Retornos</w:t>
            </w:r>
          </w:p>
        </w:tc>
        <w:tc>
          <w:tcPr>
            <w:tcW w:type="dxa" w:w="1756"/>
          </w:tcPr>
          <w:p>
            <w:r>
              <w:t>Tabla 5.4; Figuras 5.3, 5.4</w:t>
            </w:r>
          </w:p>
        </w:tc>
      </w:tr>
      <w:tr>
        <w:tc>
          <w:tcPr>
            <w:tcW w:type="dxa" w:w="1756"/>
          </w:tcPr>
          <w:p>
            <w:r>
              <w:t>5.8</w:t>
            </w:r>
          </w:p>
        </w:tc>
        <w:tc>
          <w:tcPr>
            <w:tcW w:type="dxa" w:w="1756"/>
          </w:tcPr>
          <w:p>
            <w:r>
              <w:t>Estabilidad estructural</w:t>
            </w:r>
          </w:p>
        </w:tc>
        <w:tc>
          <w:tcPr>
            <w:tcW w:type="dxa" w:w="1756"/>
          </w:tcPr>
          <w:p>
            <w:r>
              <w:t>Test Chow + CUSUM</w:t>
            </w:r>
          </w:p>
        </w:tc>
        <w:tc>
          <w:tcPr>
            <w:tcW w:type="dxa" w:w="1756"/>
          </w:tcPr>
          <w:p>
            <w:r>
              <w:t>Todos</w:t>
            </w:r>
          </w:p>
        </w:tc>
        <w:tc>
          <w:tcPr>
            <w:tcW w:type="dxa" w:w="1756"/>
          </w:tcPr>
          <w:p>
            <w:r>
              <w:t>Tabla 5.5; Figuras 5.5, 5.6</w:t>
            </w:r>
          </w:p>
        </w:tc>
      </w:tr>
    </w:tbl>
    <w:p/>
    <w:p>
      <w:pPr>
        <w:pStyle w:val="Heading2"/>
      </w:pPr>
      <w:r>
        <w:t>5.3 Revisión de los resultados previos: raíz unitaria y cointegración</w:t>
      </w:r>
    </w:p>
    <w:p>
      <w:pPr>
        <w:pStyle w:val="Heading3"/>
      </w:pPr>
      <w:r>
        <w:t>5.3.1 Clasificación de las series por orden de integración</w:t>
      </w:r>
    </w:p>
    <w:p>
      <w:pPr>
        <w:spacing w:line="276" w:lineRule="auto" w:after="120"/>
      </w:pPr>
      <w:r>
        <w:t>Los tests ADF y KPSS aplicados en el Capítulo 4 a cada variable del sistema producen una clasificación que es el punto de partida imprescindible para cualquier análisis econométrico de series temporales. Regresar variables no estacionarias entre sí sin el tratamiento adecuado produce el fenómeno de regresión espuria —descrito por Granger y Newbold (1974)—, en el que los coeficientes parecen estadísticamente significativos por el simple hecho de que dos series comparten una tendencia temporal, y no por ninguna relación económica real.</w:t>
      </w:r>
    </w:p>
    <w:p>
      <w:pPr>
        <w:spacing w:line="276" w:lineRule="auto" w:after="120"/>
      </w:pPr>
      <w:r>
        <w:t>Los resultados de la Tabla 4.4 permiten distinguir dos grupos claramente diferenciados:</w:t>
      </w:r>
    </w:p>
    <w:p>
      <w:pPr>
        <w:spacing w:line="276" w:lineRule="auto" w:after="120"/>
      </w:pPr>
      <w:r/>
      <w:r>
        <w:rPr>
          <w:b/>
        </w:rPr>
        <w:t>Variables integradas de orden uno, I(1).</w:t>
      </w:r>
      <w:r>
        <w:t xml:space="preserve"> El precio del oro (ADF: p = 0,998), el índice del dólar DXY (ADF: p = 0,693), el tipo de interés real TIPS a 10 años (ADF: p = 0,333) y el S&amp;P 500 (ADF: p = 1,000) presentan en todos los casos una combinación de ADF no rechazado y KPSS rechazado, que la estrategia de confirmación descrita en el §4.6.1 clasifica como integradas de orden uno. En primeras diferencias, las mismas series son claramente estacionarias: el ADF para ΔDXY alcanza p = 2,5·10⁻²⁰ y para ΔTIPS p = 7,6·10⁻³⁰, con lo que se confirma que ninguna variable es I(2). Estas cuatro series forman el núcleo del sistema VAR/VECM.</w:t>
      </w:r>
    </w:p>
    <w:p>
      <w:pPr>
        <w:spacing w:line="276" w:lineRule="auto" w:after="120"/>
      </w:pPr>
      <w:r/>
      <w:r>
        <w:rPr>
          <w:b/>
        </w:rPr>
        <w:t>Variables estacionarias, I(0).</w:t>
      </w:r>
      <w:r>
        <w:t xml:space="preserve"> El IPC interanual (ADF: p = 0,036), el *breakeven* de inflación (ADF: p = 0,002), el VIX (ADF: p = 0,0002) y el tipo de los Fondos Federales (ADF: p = 0,001) son estacionarios en niveles. El precio del WTI presenta resultados mixtos —el ADF rechaza marginalmente al 5% pero el KPSS también rechaza—, situación que la literatura econométrica asocia con posibles raíces unitarias con tendencia determinista. A efectos de la especificación, se trata al WTI como I(1) en el análisis de robustez del §5.4 pero no se incluye en el sistema VECM principal para preservar la parsimonia.</w:t>
      </w:r>
    </w:p>
    <w:p>
      <w:pPr>
        <w:spacing w:line="276" w:lineRule="auto" w:after="120"/>
      </w:pPr>
      <w:r>
        <w:t>Esta distinción tiene consecuencias directas sobre la estrategia de estimación. Las variables I(0) (VIX, CPI, *breakeven*) no pueden cointegrar con las I(1) por definición —dado que la combinación lineal de una serie estacionaria y una no estacionaria es siempre no estacionaria— y deben tratarse de forma diferente en la especificación formal. En este trabajo se incluyen como variables exógenas en el sistema VECM cuando se analiza su impacto sobre el precio del oro.</w:t>
      </w:r>
    </w:p>
    <w:p>
      <w:pPr>
        <w:pStyle w:val="Heading3"/>
      </w:pPr>
      <w:r>
        <w:t>5.3.2 Síntesis de la evidencia de cointegración</w:t>
      </w:r>
    </w:p>
    <w:p>
      <w:pPr>
        <w:spacing w:line="276" w:lineRule="auto" w:after="120"/>
      </w:pPr>
      <w:r>
        <w:t>El test de Johansen multivariante aplicado al sistema {ln(Oro), ln(DXY), TIPS 10Y, ln(S&amp;P 500)} —cuyos resultados se presentan en la Tabla 4.5— arroja evidencia clara de cointegración, aunque los dos estadísticos del test difieren en cuanto al número de vectores.</w:t>
      </w:r>
    </w:p>
    <w:p>
      <w:pPr>
        <w:spacing w:line="276" w:lineRule="auto" w:after="120"/>
      </w:pPr>
      <w:r>
        <w:t>El estadístico de traza (Trace test) rechaza sucesivamente las hipótesis nulas H₀: r ≤ 0 (estadístico = 141,67 &gt; valor crítico al 5%: 69,82), H₀: r ≤ 1 (58,78 &gt; 47,85) y H₀: r ≤ 2 (32,34 &gt; 29,80), sin rechazar H₀: r ≤ 3. Esto señalaría la existencia de hasta tres vectores de cointegración. El estadístico de máximo autovalor (Max-Eigenvalue), en cambio, solo rechaza H₀: r = 0 (estadístico = 82,89 &gt; valor crítico: 33,88) sin rechazar H₀: r = 1, lo que apunta a un único vector de cointegración.</w:t>
      </w:r>
    </w:p>
    <w:p>
      <w:pPr>
        <w:spacing w:line="276" w:lineRule="auto" w:after="120"/>
      </w:pPr>
      <w:r>
        <w:t xml:space="preserve">En la literatura econométrica, cuando los dos estadísticos del test de Johansen discrepan, la práctica generalizada es dar preferencia al estadístico de máximo autovalor en muestras finitas, puesto que el estadístico de traza —que acumula todos los autovalores— tiende a sobre-rechazar en muestras moderadas (Johansen y Juselius, 1990). La muestra de 312 observaciones de este trabajo se considera finita a efectos de este test, especialmente considerando que el sistema incluye cuatro variables. Se adopta por tanto </w:t>
      </w:r>
      <w:r>
        <w:rPr>
          <w:b/>
        </w:rPr>
        <w:t>r = 1</w:t>
      </w:r>
      <w:r>
        <w:t xml:space="preserve"> como el rango de cointegración.</w:t>
      </w:r>
    </w:p>
    <w:p>
      <w:pPr>
        <w:spacing w:line="276" w:lineRule="auto" w:after="120"/>
      </w:pPr>
      <w:r>
        <w:t>Este hallazgo tiene un significado económico concreto: existe una combinación lineal de ln(Oro), ln(DXY), TIPS y ln(S&amp;P 500) que es estacionaria a lo largo del periodo 2000-2025, es decir, las cuatro series comparten una relación de equilibrio de largo plazo de la que se desvían temporalmente pero a la que tienden a retornar. Dicho de otro modo: hay un precio del oro de "equilibrio" determinado por el dólar, los tipos reales y la renta variable, y los movimientos del oro son en parte correcciones hacia ese equilibrio y en parte respuestas a shocks de corto plazo.</w:t>
      </w:r>
    </w:p>
    <w:p>
      <w:pPr>
        <w:spacing w:line="276" w:lineRule="auto" w:after="120"/>
      </w:pPr>
      <w:r>
        <w:t>Los tests de Engle-Granger bivariantes —que no detectan cointegración entre el oro y cada uno de sus catalizadores por separado— son consistentes con este resultado multivariante: la relación de equilibrio es necesariamente de naturaleza multivariante y no puede reducirse a ningún par aislado.</w:t>
      </w:r>
    </w:p>
    <w:p>
      <w:pPr>
        <w:pStyle w:val="Heading2"/>
      </w:pPr>
      <w:r>
        <w:t>5.4 Especificación y estimación del VECM</w:t>
      </w:r>
    </w:p>
    <w:p>
      <w:pPr>
        <w:pStyle w:val="Heading3"/>
      </w:pPr>
      <w:r>
        <w:t>5.4.1 Selección del número de retardos</w:t>
      </w:r>
    </w:p>
    <w:p>
      <w:pPr>
        <w:spacing w:line="276" w:lineRule="auto" w:after="120"/>
      </w:pPr>
      <w:r>
        <w:t>La determinación del número óptimo de retardos del sistema VAR —que en el marco VECM se traduce en el orden de las diferencias, *k_ar_diff*— es un paso previo a la estimación. Se estiman VAR(p) para p = 1 hasta p = 12 y se calculan los criterios AIC, BIC y HQIC para cada especificación.</w:t>
      </w:r>
    </w:p>
    <w:p>
      <w:pPr>
        <w:ind w:left="567"/>
      </w:pPr>
      <w:r>
        <w:rPr>
          <w:i/>
        </w:rPr>
        <w:t>**[Tabla 5.1: Selección de lags del VAR — Criterios de información]**</w:t>
      </w:r>
    </w:p>
    <w:p>
      <w:pPr>
        <w:ind w:left="567"/>
      </w:pPr>
      <w:r>
        <w:rPr>
          <w:i/>
        </w:rPr>
        <w:t>*(Véase `output/tables/tab_5_01_var_lag_selection.csv`)*</w:t>
      </w:r>
    </w:p>
    <w:p>
      <w:pPr>
        <w:spacing w:line="276" w:lineRule="auto" w:after="120"/>
      </w:pPr>
      <w:r>
        <w:t>El criterio BIC, que penaliza más agresivamente la complejidad del modelo —especialmente cuando el tamaño muestral n es grande—, selecciona el modelo más parsimonioso de los considerados. El AIC, más generoso con la inclusión de retardos adicionales, tiende a seleccionar un orden ligeramente mayor. En coherencia con el principio de parsimonia defendido en el §3.7.1, se toma como referencia el lag seleccionado por BIC, con lo que el VECM se estima con *k_ar_diff* equivalente al orden VAR óptimo menos uno.</w:t>
      </w:r>
    </w:p>
    <w:p>
      <w:pPr>
        <w:pStyle w:val="Heading3"/>
      </w:pPr>
      <w:r>
        <w:t>5.4.2 El modelo de corrección de errores vectorial</w:t>
      </w:r>
    </w:p>
    <w:p>
      <w:pPr>
        <w:spacing w:line="276" w:lineRule="auto" w:after="120"/>
      </w:pPr>
      <w:r>
        <w:t>Con un rango de cointegración r = 1 y los retardos determinados en el paso anterior, el sistema de cuatro variables se estima como un VECM con constante dentro del vector de cointegración (*deterministic = "ci"*), especificación que permite una tendencia determinista en el nivel de las variables pero no en la relación de cointegración —lo que es económicamente coherente con la tendencia alcista del oro en el periodo analizado.</w:t>
      </w:r>
    </w:p>
    <w:p>
      <w:pPr>
        <w:spacing w:line="276" w:lineRule="auto" w:after="120"/>
      </w:pPr>
      <w:r>
        <w:t>El VECM puede expresarse de forma compacta como:</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