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before="0" w:after="720"/>
        <w:jc w:val="center"/>
      </w:pPr>
      <w:r>
        <w:rPr>
          <w:rFonts w:ascii="Arial" w:hAnsi="Arial"/>
          <w:b/>
          <w:i w:val="0"/>
          <w:sz w:val="26"/>
        </w:rPr>
        <w:t>MEMORIA DEL TRABAJO FIN DE GRADO</w:t>
      </w:r>
    </w:p>
    <w:p>
      <w:pPr>
        <w:spacing w:before="0" w:after="120"/>
        <w:jc w:val="center"/>
      </w:pPr>
      <w:r>
        <w:rPr>
          <w:rFonts w:ascii="Arial" w:hAnsi="Arial"/>
          <w:b/>
          <w:i w:val="0"/>
          <w:sz w:val="32"/>
        </w:rPr>
        <w:t>Dinamica del precio del oro (2000-2025):</w:t>
      </w:r>
    </w:p>
    <w:p>
      <w:pPr>
        <w:spacing w:before="0" w:after="960"/>
        <w:jc w:val="center"/>
      </w:pPr>
      <w:r>
        <w:rPr>
          <w:rFonts w:ascii="Arial" w:hAnsi="Arial"/>
          <w:b/>
          <w:i w:val="0"/>
          <w:sz w:val="30"/>
        </w:rPr>
        <w:t>un analisis econometrico y de machine learning</w:t>
      </w:r>
    </w:p>
    <w:p>
      <w:pPr>
        <w:spacing w:before="0" w:after="160"/>
        <w:jc w:val="center"/>
      </w:pPr>
      <w:r>
        <w:rPr>
          <w:rFonts w:ascii="Arial" w:hAnsi="Arial"/>
          <w:b w:val="0"/>
          <w:i w:val="0"/>
          <w:sz w:val="24"/>
        </w:rPr>
        <w:t>Jose Leon Belando</w:t>
      </w:r>
    </w:p>
    <w:p>
      <w:pPr>
        <w:spacing w:before="0" w:after="160"/>
        <w:jc w:val="center"/>
      </w:pPr>
      <w:r>
        <w:rPr>
          <w:rFonts w:ascii="Arial" w:hAnsi="Arial"/>
          <w:b w:val="0"/>
          <w:i w:val="0"/>
          <w:sz w:val="24"/>
        </w:rPr>
        <w:t>Grado en Economia</w:t>
      </w:r>
    </w:p>
    <w:p>
      <w:pPr>
        <w:spacing w:before="0" w:after="160"/>
        <w:jc w:val="center"/>
      </w:pPr>
      <w:r>
        <w:rPr>
          <w:rFonts w:ascii="Arial" w:hAnsi="Arial"/>
          <w:b w:val="0"/>
          <w:i w:val="0"/>
          <w:sz w:val="24"/>
        </w:rPr>
        <w:t>Curso academico 2025-2026</w:t>
      </w:r>
    </w:p>
    <w:p>
      <w:pPr>
        <w:spacing w:before="0" w:after="160"/>
        <w:jc w:val="center"/>
      </w:pPr>
      <w:r>
        <w:rPr>
          <w:rFonts w:ascii="Arial" w:hAnsi="Arial"/>
          <w:b w:val="0"/>
          <w:i w:val="0"/>
          <w:sz w:val="24"/>
        </w:rPr>
        <w:t>Directora: Inmaculada Diaz Sanchez</w:t>
      </w:r>
    </w:p>
    <w:p>
      <w:pPr>
        <w:spacing w:before="0" w:after="0"/>
        <w:jc w:val="center"/>
      </w:pPr>
      <w:r>
        <w:rPr>
          <w:rFonts w:ascii="Arial" w:hAnsi="Arial"/>
          <w:b w:val="0"/>
          <w:i w:val="0"/>
          <w:sz w:val="24"/>
        </w:rPr>
        <w:t>Universidad de Murcia</w:t>
      </w:r>
    </w:p>
    <w:p>
      <w:r>
        <w:br w:type="page"/>
      </w:r>
    </w:p>
    <w:p>
      <w:r>
        <w:br w:type="page"/>
      </w:r>
    </w:p>
    <w:p>
      <w:pPr>
        <w:pStyle w:val="Heading1"/>
      </w:pPr>
      <w:r>
        <w:t>INDICE</w:t>
      </w:r>
    </w:p>
    <w:p>
      <w:pPr/>
      <w:r>
        <w:rPr>
          <w:rFonts w:ascii="Times New Roman" w:hAnsi="Times New Roman" w:cs="Times New Roman"/>
          <w:rFonts w:ascii="Times New Roman" w:hAnsi="Times New Roman"/>
          <w:b w:val="0"/>
          <w:i w:val="0"/>
          <w:sz w:val="24"/>
        </w:rPr>
        <w:fldChar w:fldCharType="begin"/>
        <w:instrText xml:space="preserve"> TOC \o "1-3" \h \z \u </w:instrText>
        <w:fldChar w:fldCharType="separate"/>
        <w:r>
          <w:t>[Pulse Ctrl+A y luego F9 en Word para actualizar el indice]</w:t>
        </w:r>
        <w:fldChar w:fldCharType="end"/>
      </w:r>
    </w:p>
    <w:p/>
    <w:p>
      <w:r>
        <w:br w:type="page"/>
      </w:r>
    </w:p>
    <w:p>
      <w:pPr>
        <w:pStyle w:val="Heading1"/>
      </w:pPr>
      <w:r>
        <w:t>RESUMEN</w:t>
      </w:r>
    </w:p>
    <w:p>
      <w:pPr/>
      <w:r>
        <w:rPr>
          <w:rFonts w:ascii="Times New Roman" w:hAnsi="Times New Roman" w:cs="Times New Roman"/>
          <w:rFonts w:ascii="Times New Roman" w:hAnsi="Times New Roman"/>
          <w:b w:val="0"/>
          <w:i w:val="0"/>
          <w:sz w:val="24"/>
        </w:rPr>
        <w:t>Este Trabajo de Fin de Grado analiza la dinamica del precio del oro durante el periodo 2000-2025 mediante un enfoque metodologico integrado que combina econometria de series temporales, analisis de datos de panel y modelos de machine learning.</w:t>
      </w:r>
    </w:p>
    <w:p>
      <w:pPr/>
      <w:r>
        <w:rPr>
          <w:rFonts w:ascii="Times New Roman" w:hAnsi="Times New Roman" w:cs="Times New Roman"/>
          <w:rFonts w:ascii="Times New Roman" w:hAnsi="Times New Roman"/>
          <w:b w:val="0"/>
          <w:i w:val="0"/>
          <w:sz w:val="24"/>
        </w:rPr>
        <w:t>El trabajo se estructura en torno a tres preguntas de investigacion: (i) que variables macroeconomicas y financieras determinan el precio del oro y cual es su importancia relativa en distintos horizontes temporales; (ii) si esas relaciones han sido estables o han cambiado tras los episodios de crisis del periodo analizado; y (iii) si el machine learning puede mejorar la prediccion a corto plazo respecto a los modelos econometricos clasicos.</w:t>
      </w:r>
    </w:p>
    <w:p>
      <w:pPr/>
      <w:r>
        <w:rPr>
          <w:rFonts w:ascii="Times New Roman" w:hAnsi="Times New Roman" w:cs="Times New Roman"/>
          <w:rFonts w:ascii="Times New Roman" w:hAnsi="Times New Roman"/>
          <w:b w:val="0"/>
          <w:i w:val="0"/>
          <w:sz w:val="24"/>
        </w:rPr>
        <w:t>La metodologia descansa en tres pilares. El primero es un modelo de correccion de errores vectorial (VECM) complementado con un modelo GJR-GARCH para la volatilidad condicional y tests de estabilidad estructural (Chow y CUSUM). El segundo es un modelo de datos de panel con efectos fijos aplicado a cuatro economias avanzadas (EE.UU., Eurozona, Japon y Reino Unido) con errores estandar de Driscoll-Kraay. El tercero son modelos de machine learning (XGBoost, Random Forest y LSTM) evaluados con validacion walk-forward y analisis SHAP de interpretabilidad.</w:t>
      </w:r>
    </w:p>
    <w:p>
      <w:pPr/>
      <w:r>
        <w:rPr>
          <w:rFonts w:ascii="Times New Roman" w:hAnsi="Times New Roman" w:cs="Times New Roman"/>
          <w:rFonts w:ascii="Times New Roman" w:hAnsi="Times New Roman"/>
          <w:b w:val="0"/>
          <w:i w:val="0"/>
          <w:sz w:val="24"/>
        </w:rPr>
        <w:t>Los resultados principales son cuatro. Primero, los tipos de interes reales son el determinante estructural mas importante del precio del oro a largo plazo (segundo rango SHAP: |phi| = 0,617; coeficiente VECM negativo significativo en las cuatro economias). Segundo, la inflacion pasada reciente es el predictor mas potente en el horizonte mensual (primer rango SHAP: |phi| = 0,954). Tercero, el test de Hausman rechaza efectos aleatorios (p &lt; 0,01), confirmando que los efectos fijos capturan heterogeneidad no observada estable entre paises. Cuarto, la red LSTM alcanza una precision direccional del 61,5%, superando al benchmark naive en 5,6 puntos porcentuales. La paradoja de 2022-2024 -- oro historicamente alto coexistiendo con tipos reales historicamente altos -- se explica por la demanda estructural de bancos centrales emergentes en el contexto del proceso de de-dolarizacion.</w:t>
      </w:r>
    </w:p>
    <w:p>
      <w:pPr/>
      <w:r>
        <w:rPr>
          <w:rFonts w:ascii="Times New Roman" w:hAnsi="Times New Roman" w:cs="Times New Roman"/>
          <w:rFonts w:ascii="Times New Roman" w:hAnsi="Times New Roman"/>
          <w:b w:val="0"/>
          <w:i w:val="0"/>
          <w:sz w:val="24"/>
        </w:rPr>
        <w:t>Palabras clave: oro, VECM, cointegracion, datos de panel, machine learning, SHAP, de-dolarizacion.</w:t>
      </w:r>
    </w:p>
    <w:p>
      <w:r>
        <w:br w:type="page"/>
      </w:r>
    </w:p>
    <w:p>
      <w:pPr>
        <w:pStyle w:val="Heading1"/>
      </w:pPr>
      <w:r>
        <w:t>Capítulo 1: Introducción y motivación</w:t>
      </w:r>
    </w:p>
    <w:p>
      <w:pPr>
        <w:pStyle w:val="Heading2"/>
      </w:pPr>
      <w:r>
        <w:t>1.1 El oro en el siglo XXI: un activo que nunca pasa de moda</w:t>
      </w:r>
    </w:p>
    <w:p>
      <w:pPr/>
      <w:r>
        <w:rPr>
          <w:rFonts w:ascii="Times New Roman" w:hAnsi="Times New Roman" w:cs="Times New Roman"/>
          <w:rFonts w:ascii="Times New Roman" w:hAnsi="Times New Roman"/>
          <w:b w:val="0"/>
          <w:i w:val="0"/>
          <w:sz w:val="24"/>
        </w:rPr>
        <w:t>El 15 de agosto de 1971, el presidente Richard Nixon anunció la suspensión unilateral de la convertibilidad del dólar estadounidense en oro, poniendo fin al sistema de Bretton Woods que había ordenado las finanzas internacionales desde 1944. Con esa decisión, el oro dejó de ser la columna vertebral del sistema monetario global para convertirse en un activo financiero más, sujeto a las fuerzas del mercado. Ese día, la onza troy se cotizaba a 35 dólares, precio al que había estado anclada por decreto durante décadas.</w:t>
      </w:r>
    </w:p>
    <w:p>
      <w:pPr/>
      <w:r>
        <w:rPr>
          <w:rFonts w:ascii="Times New Roman" w:hAnsi="Times New Roman" w:cs="Times New Roman"/>
          <w:rFonts w:ascii="Times New Roman" w:hAnsi="Times New Roman"/>
          <w:b w:val="0"/>
          <w:i w:val="0"/>
          <w:sz w:val="24"/>
        </w:rPr>
        <w:t>Más de cincuenta años después, en 2025, el precio del oro estableció 53 nuevos máximos históricos a lo largo del año, cerró con una subida del 65% —la mayor en décadas— y alcanzó los 4.549 dólares por onza en diciembre. Lo que en 1971 costaba 35 dólares vale hoy más de ciento treinta veces esa cifra en términos nominales. Pocas historias financieras del último medio siglo son tan llamativas. Y sin embargo, el debate académico sobre qué es exactamente el oro —qué función cumple en una cartera, qué lo mueve, y si puede predecirse su precio— sigue abierto y vigente.</w:t>
      </w:r>
    </w:p>
    <w:p>
      <w:pPr/>
      <w:r>
        <w:rPr>
          <w:rFonts w:ascii="Times New Roman" w:hAnsi="Times New Roman" w:cs="Times New Roman"/>
          <w:rFonts w:ascii="Times New Roman" w:hAnsi="Times New Roman"/>
          <w:b w:val="0"/>
          <w:i w:val="0"/>
          <w:sz w:val="24"/>
        </w:rPr>
        <w:t>Este Trabajo de Fin de Grado nace de esa pregunta. El oro es un activo singular que desafía las categorías convencionales de la teoría financiera: no genera flujos de caja, no paga dividendos, no tiene valor intrínseco en el sentido estrictamente productivo, y sin embargo millones de inversores, bancos centrales y gobiernos lo acumulan como reserva de valor. Su precio oscila entre el pánico y la euforia de los mercados globales, responde a la política monetaria de la Reserva Federal, al dólar, al petróleo y a las tensiones geopolíticas, y al mismo tiempo parece escapar a cualquier modelo que intente capturar toda esa complejidad.</w:t>
      </w:r>
    </w:p>
    <w:p>
      <w:pPr/>
      <w:r>
        <w:rPr>
          <w:rFonts w:ascii="Times New Roman" w:hAnsi="Times New Roman" w:cs="Times New Roman"/>
          <w:rFonts w:ascii="Times New Roman" w:hAnsi="Times New Roman"/>
          <w:b w:val="0"/>
          <w:i w:val="0"/>
          <w:sz w:val="24"/>
        </w:rPr>
        <w:t>El periodo 2000-2025 concentra cinco episodios de mercado excepcionales que hacen del oro un objeto de estudio especialmente rico: la Crisis Financiera Global de 2008, los máximos históricos post-QE de 2011, la pandemia de COVID-19 en 2020, el ciclo de subidas de tipos más agresivo en cuatro décadas combinado con tensión geopolítica entre 2022 y 2024, y la espectacular subida de 2025 impulsada por la guerra arancelaria de la administración Trump y la aceleración del proceso de de-dolarización global. En cada uno de estos episodios, el oro se comportó de forma diferente —a veces como refugio, a veces como víctima de las ventas forzadas, a veces resistiendo contra toda lógica económica convencional— y esa variabilidad de comportamiento es precisamente lo que lo convierte en un laboratorio ideal para aplicar herramientas econométricas y de machine learning.</w:t>
      </w:r>
    </w:p>
    <w:p>
      <w:pPr>
        <w:pStyle w:val="Heading2"/>
      </w:pPr>
      <w:r>
        <w:t>1.2 Motivación y relevancia del trabajo</w:t>
      </w:r>
    </w:p>
    <w:p>
      <w:pPr/>
      <w:r>
        <w:rPr>
          <w:rFonts w:ascii="Times New Roman" w:hAnsi="Times New Roman" w:cs="Times New Roman"/>
          <w:rFonts w:ascii="Times New Roman" w:hAnsi="Times New Roman"/>
          <w:b w:val="0"/>
          <w:i w:val="0"/>
          <w:sz w:val="24"/>
        </w:rPr>
        <w:t>La motivación de este trabajo es doble: académica y práctica.</w:t>
      </w:r>
    </w:p>
    <w:p>
      <w:pPr/>
      <w:r>
        <w:rPr>
          <w:rFonts w:ascii="Times New Roman" w:hAnsi="Times New Roman" w:cs="Times New Roman"/>
          <w:rFonts w:ascii="Times New Roman" w:hAnsi="Times New Roman"/>
          <w:b w:val="0"/>
          <w:i w:val="0"/>
          <w:sz w:val="24"/>
        </w:rPr>
        <w:t xml:space="preserve">Desde el punto de vista </w:t>
      </w:r>
      <w:r>
        <w:rPr>
          <w:rFonts w:ascii="Times New Roman" w:hAnsi="Times New Roman" w:cs="Times New Roman"/>
          <w:rFonts w:ascii="Times New Roman" w:hAnsi="Times New Roman"/>
          <w:b/>
          <w:i w:val="0"/>
          <w:sz w:val="24"/>
        </w:rPr>
        <w:t>académico</w:t>
      </w:r>
      <w:r>
        <w:rPr>
          <w:rFonts w:ascii="Times New Roman" w:hAnsi="Times New Roman" w:cs="Times New Roman"/>
          <w:rFonts w:ascii="Times New Roman" w:hAnsi="Times New Roman"/>
          <w:b w:val="0"/>
          <w:i w:val="0"/>
          <w:sz w:val="24"/>
        </w:rPr>
        <w:t xml:space="preserve">, la literatura sobre determinantes del precio del oro ha experimentado una expansión significativa desde la crisis de 2008. Los primeros estudios sistemáticos de Baur y Lucey (2010) y Baur y McDermott (2010) establecieron las definiciones formales de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que todavía articulan el debate. Erb y Harvey (2013) cuestionaron con evidencia empírica la idea de que el oro sea un buen protector contra la inflación a horizontes prácticos. O'Connor, Lucey, Batten y Baur (2015) sistematizaron toda la economía financiera del oro en un survey comprehensivo. Sin embargo, la mayoría de estos trabajos son anteriores a los episodios más recientes y utilizan metodologías econométricas clásicas. La aplicación sistemática de técnicas de machine learning interpretable —en particular SHAP values— para identificar qué variables dominan la dinámica del oro en distintos regímenes de mercado es todavía un área de investigación incipiente y con escasa representación en trabajos académicos de pregrado.</w:t>
      </w:r>
    </w:p>
    <w:p>
      <w:pPr/>
      <w:r>
        <w:rPr>
          <w:rFonts w:ascii="Times New Roman" w:hAnsi="Times New Roman" w:cs="Times New Roman"/>
          <w:rFonts w:ascii="Times New Roman" w:hAnsi="Times New Roman"/>
          <w:b w:val="0"/>
          <w:i w:val="0"/>
          <w:sz w:val="24"/>
        </w:rPr>
        <w:t xml:space="preserve">Desde el punto de vista </w:t>
      </w:r>
      <w:r>
        <w:rPr>
          <w:rFonts w:ascii="Times New Roman" w:hAnsi="Times New Roman" w:cs="Times New Roman"/>
          <w:rFonts w:ascii="Times New Roman" w:hAnsi="Times New Roman"/>
          <w:b/>
          <w:i w:val="0"/>
          <w:sz w:val="24"/>
        </w:rPr>
        <w:t>práctico</w:t>
      </w:r>
      <w:r>
        <w:rPr>
          <w:rFonts w:ascii="Times New Roman" w:hAnsi="Times New Roman" w:cs="Times New Roman"/>
          <w:rFonts w:ascii="Times New Roman" w:hAnsi="Times New Roman"/>
          <w:b w:val="0"/>
          <w:i w:val="0"/>
          <w:sz w:val="24"/>
        </w:rPr>
        <w:t>, la pregunta es relevante para cualquier participante en los mercados financieros. Los gestores de cartera utilizan el oro como activo de diversificación, pero no existe consenso sobre bajo qué condiciones esa diversificación es más efectiva. Los bancos centrales han comprado oro a un ritmo sin precedentes desde 2022 —superando las 1.000 toneladas netas en 2022 y 2023 según el World Gold Council (2023)— en un proceso de de-dolarización gradual que tiene implicaciones de largo alcance para el sistema financiero internacional. Entender qué mueve al oro no es, por tanto, un ejercicio meramente académico: es una cuestión con consecuencias de política económica y de gestión de activos.</w:t>
      </w:r>
    </w:p>
    <w:p>
      <w:pPr>
        <w:pStyle w:val="Heading2"/>
      </w:pPr>
      <w:r>
        <w:t>1.3 Preguntas de investigación</w:t>
      </w:r>
    </w:p>
    <w:p>
      <w:pPr/>
      <w:r>
        <w:rPr>
          <w:rFonts w:ascii="Times New Roman" w:hAnsi="Times New Roman" w:cs="Times New Roman"/>
          <w:rFonts w:ascii="Times New Roman" w:hAnsi="Times New Roman"/>
          <w:b w:val="0"/>
          <w:i w:val="0"/>
          <w:sz w:val="24"/>
        </w:rPr>
        <w:t>Este trabajo se estructura en torno a tres preguntas de investigación principales: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 ¿Qué variables macroeconómicas y financieras determinan el precio del oro en el periodo 2000-2025?</w:t>
      </w:r>
      <w:r>
        <w:rPr>
          <w:rFonts w:ascii="Times New Roman" w:hAnsi="Times New Roman" w:cs="Times New Roman"/>
          <w:rFonts w:ascii="Times New Roman" w:hAnsi="Times New Roman"/>
          <w:b w:val="0"/>
          <w:i w:val="0"/>
          <w:sz w:val="24"/>
        </w:rPr>
      </w:r>
    </w:p>
    <w:p>
      <w:pPr/>
      <w:r>
        <w:rPr>
          <w:rFonts w:ascii="Times New Roman" w:hAnsi="Times New Roman" w:cs="Times New Roman"/>
          <w:rFonts w:ascii="Times New Roman" w:hAnsi="Times New Roman"/>
          <w:b w:val="0"/>
          <w:i w:val="0"/>
          <w:sz w:val="24"/>
        </w:rPr>
        <w:t>Esta pregunta busca identificar los catalizadores estructurales del precio del oro mediante análisis de cointegración y modelos VAR. El objetivo no es simplemente listar correlaciones, sino establecer cuáles son relaciones de largo plazo (estructurales) y cuáles son dinámicas de corto plazo que se revierten.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 ¿Han cambiado los determinantes del oro tras los grandes episodios de crisis del periodo analizado?</w:t>
      </w:r>
      <w:r>
        <w:rPr>
          <w:rFonts w:ascii="Times New Roman" w:hAnsi="Times New Roman" w:cs="Times New Roman"/>
          <w:rFonts w:ascii="Times New Roman" w:hAnsi="Times New Roman"/>
          <w:b w:val="0"/>
          <w:i w:val="0"/>
          <w:sz w:val="24"/>
        </w:rPr>
      </w:r>
    </w:p>
    <w:p>
      <w:pPr/>
      <w:r>
        <w:rPr>
          <w:rFonts w:ascii="Times New Roman" w:hAnsi="Times New Roman" w:cs="Times New Roman"/>
          <w:rFonts w:ascii="Times New Roman" w:hAnsi="Times New Roman"/>
          <w:b w:val="0"/>
          <w:i w:val="0"/>
          <w:sz w:val="24"/>
        </w:rPr>
        <w:t>La Crisis Financiera Global, el COVID-19, el ciclo de subidas de tipos de 2022-2023 y el shock arancelario de 2025 son potenciales puntos de ruptura estructural en la relación del oro con sus determinantes. Esta pregunta aborda la estabilidad temporal de los modelos estimados.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 ¿Puede el machine learning mejorar la predicción del precio del oro respecto a los modelos econométricos clásicos, y qué información aporta sobre el peso relativo de cada variable?</w:t>
      </w:r>
      <w:r>
        <w:rPr>
          <w:rFonts w:ascii="Times New Roman" w:hAnsi="Times New Roman" w:cs="Times New Roman"/>
          <w:rFonts w:ascii="Times New Roman" w:hAnsi="Times New Roman"/>
          <w:b w:val="0"/>
          <w:i w:val="0"/>
          <w:sz w:val="24"/>
        </w:rPr>
      </w:r>
    </w:p>
    <w:p>
      <w:pPr/>
      <w:r>
        <w:rPr>
          <w:rFonts w:ascii="Times New Roman" w:hAnsi="Times New Roman" w:cs="Times New Roman"/>
          <w:rFonts w:ascii="Times New Roman" w:hAnsi="Times New Roman"/>
          <w:b w:val="0"/>
          <w:i w:val="0"/>
          <w:sz w:val="24"/>
        </w:rPr>
        <w:t>Esta pregunta integra los modelos XGBoost, Random Forest y LSTM, comparados contra el benchmark VAR, y utiliza SHAP values para hacer interpretable la predicción del modelo ganador.</w:t>
      </w:r>
    </w:p>
    <w:p>
      <w:pPr>
        <w:pStyle w:val="Heading2"/>
      </w:pPr>
      <w:r>
        <w:t>1.4 Contribución del trabajo</w:t>
      </w:r>
    </w:p>
    <w:p>
      <w:pPr/>
      <w:r>
        <w:rPr>
          <w:rFonts w:ascii="Times New Roman" w:hAnsi="Times New Roman" w:cs="Times New Roman"/>
          <w:rFonts w:ascii="Times New Roman" w:hAnsi="Times New Roman"/>
          <w:b w:val="0"/>
          <w:i w:val="0"/>
          <w:sz w:val="24"/>
        </w:rPr>
        <w:t>Este trabajo realiza cuatro contribuciones originales respecto a los TFGs convencionales sobre mercados financieros:</w:t>
      </w:r>
    </w:p>
    <w:p>
      <w:pPr/>
      <w:r>
        <w:rPr>
          <w:rFonts w:ascii="Times New Roman" w:hAnsi="Times New Roman" w:cs="Times New Roman"/>
          <w:rFonts w:ascii="Times New Roman" w:hAnsi="Times New Roman"/>
          <w:b w:val="0"/>
          <w:i w:val="0"/>
          <w:sz w:val="24"/>
        </w:rPr>
        <w:t xml:space="preserve">En primer lugar, estructura el análisis en </w:t>
      </w:r>
      <w:r>
        <w:rPr>
          <w:rFonts w:ascii="Times New Roman" w:hAnsi="Times New Roman" w:cs="Times New Roman"/>
          <w:rFonts w:ascii="Times New Roman" w:hAnsi="Times New Roman"/>
          <w:b/>
          <w:i w:val="0"/>
          <w:sz w:val="24"/>
        </w:rPr>
        <w:t>tres pilares metodológicos complementarios</w:t>
      </w:r>
      <w:r>
        <w:rPr>
          <w:rFonts w:ascii="Times New Roman" w:hAnsi="Times New Roman" w:cs="Times New Roman"/>
          <w:rFonts w:ascii="Times New Roman" w:hAnsi="Times New Roman"/>
          <w:b w:val="0"/>
          <w:i w:val="0"/>
          <w:sz w:val="24"/>
        </w:rPr>
        <w:t>, siguiendo el arco del temario de Econometría III: (i) el análisis VAR/VECM como núcleo econométrico, heredero directo de los Modelos de Ecuaciones Simultáneas y orientado a cuantificar relaciones de largo plazo y dinámica de impulso-respuesta; (ii) un análisis de panel cross-country que compara el comportamiento del oro en cuatro economías avanzadas, aplicando modelos de efectos fijos y efectos aleatorios con contraste de Hausman; y (iii) modelos de machine learning (XGBoost, Random Forest y LSTM) como extensión predictiva complementaria a la econometría clásica.</w:t>
      </w:r>
    </w:p>
    <w:p>
      <w:pPr/>
      <w:r>
        <w:rPr>
          <w:rFonts w:ascii="Times New Roman" w:hAnsi="Times New Roman" w:cs="Times New Roman"/>
          <w:rFonts w:ascii="Times New Roman" w:hAnsi="Times New Roman"/>
          <w:b w:val="0"/>
          <w:i w:val="0"/>
          <w:sz w:val="24"/>
        </w:rPr>
        <w:t xml:space="preserve">En segundo lugar, incorpora el análisis de </w:t>
      </w:r>
      <w:r>
        <w:rPr>
          <w:rFonts w:ascii="Times New Roman" w:hAnsi="Times New Roman" w:cs="Times New Roman"/>
          <w:rFonts w:ascii="Times New Roman" w:hAnsi="Times New Roman"/>
          <w:b/>
          <w:i w:val="0"/>
          <w:sz w:val="24"/>
        </w:rPr>
        <w:t>ruptura estructural</w:t>
      </w:r>
      <w:r>
        <w:rPr>
          <w:rFonts w:ascii="Times New Roman" w:hAnsi="Times New Roman" w:cs="Times New Roman"/>
          <w:rFonts w:ascii="Times New Roman" w:hAnsi="Times New Roman"/>
          <w:b w:val="0"/>
          <w:i w:val="0"/>
          <w:sz w:val="24"/>
        </w:rPr>
        <w:t xml:space="preserve"> de forma explícita. La mayoría de los trabajos sobre el oro estiman un modelo único para todo el periodo. Este trabajo testará si las relaciones estimadas son estables antes y después de los grandes episodios de crisis, utilizando tests de Chow y análisis CUSUM.</w:t>
      </w:r>
    </w:p>
    <w:p>
      <w:pPr/>
      <w:r>
        <w:rPr>
          <w:rFonts w:ascii="Times New Roman" w:hAnsi="Times New Roman" w:cs="Times New Roman"/>
          <w:rFonts w:ascii="Times New Roman" w:hAnsi="Times New Roman"/>
          <w:b w:val="0"/>
          <w:i w:val="0"/>
          <w:sz w:val="24"/>
        </w:rPr>
        <w:t xml:space="preserve">En tercer lugar, aplica </w:t>
      </w:r>
      <w:r>
        <w:rPr>
          <w:rFonts w:ascii="Times New Roman" w:hAnsi="Times New Roman" w:cs="Times New Roman"/>
          <w:rFonts w:ascii="Times New Roman" w:hAnsi="Times New Roman"/>
          <w:b/>
          <w:i w:val="0"/>
          <w:sz w:val="24"/>
        </w:rPr>
        <w:t>SHAP values</w:t>
      </w:r>
      <w:r>
        <w:rPr>
          <w:rFonts w:ascii="Times New Roman" w:hAnsi="Times New Roman" w:cs="Times New Roman"/>
          <w:rFonts w:ascii="Times New Roman" w:hAnsi="Times New Roman"/>
          <w:b w:val="0"/>
          <w:i w:val="0"/>
          <w:sz w:val="24"/>
        </w:rPr>
        <w:t xml:space="preserve"> para hacer interpretable la predicción del modelo de machine learning, conectando el resultado cuantitativo con la narrativa económica. Esta técnica, habitual en la literatura de finanzas cuantitativas, es prácticamente inexistente en trabajos académicos de pregrado de economía o administración de empresas en España.</w:t>
      </w:r>
    </w:p>
    <w:p>
      <w:pPr/>
      <w:r>
        <w:rPr>
          <w:rFonts w:ascii="Times New Roman" w:hAnsi="Times New Roman" w:cs="Times New Roman"/>
          <w:rFonts w:ascii="Times New Roman" w:hAnsi="Times New Roman"/>
          <w:b w:val="0"/>
          <w:i w:val="0"/>
          <w:sz w:val="24"/>
        </w:rPr>
        <w:t xml:space="preserve">En cuarto lugar, la </w:t>
      </w:r>
      <w:r>
        <w:rPr>
          <w:rFonts w:ascii="Times New Roman" w:hAnsi="Times New Roman" w:cs="Times New Roman"/>
          <w:rFonts w:ascii="Times New Roman" w:hAnsi="Times New Roman"/>
          <w:b/>
          <w:i w:val="0"/>
          <w:sz w:val="24"/>
        </w:rPr>
        <w:t>dimensión comparativa internacional</w:t>
      </w:r>
      <w:r>
        <w:rPr>
          <w:rFonts w:ascii="Times New Roman" w:hAnsi="Times New Roman" w:cs="Times New Roman"/>
          <w:rFonts w:ascii="Times New Roman" w:hAnsi="Times New Roman"/>
          <w:b w:val="0"/>
          <w:i w:val="0"/>
          <w:sz w:val="24"/>
        </w:rPr>
        <w:t xml:space="preserve"> del análisis de panel aporta evidencia sobre si el oro como activo de refugio e inflación es un fenómeno universal o específico de la economía estadounidense, respondiendo así a una pregunta con implicaciones directas para la diversificación de carteras y las decisiones de reservas soberanas.</w:t>
      </w:r>
    </w:p>
    <w:p>
      <w:pPr>
        <w:pStyle w:val="Heading2"/>
      </w:pPr>
      <w:r>
        <w:t>1.5 Estructura del trabajo</w:t>
      </w:r>
    </w:p>
    <w:p>
      <w:pPr/>
      <w:r>
        <w:rPr>
          <w:rFonts w:ascii="Times New Roman" w:hAnsi="Times New Roman" w:cs="Times New Roman"/>
          <w:rFonts w:ascii="Times New Roman" w:hAnsi="Times New Roman"/>
          <w:b w:val="0"/>
          <w:i w:val="0"/>
          <w:sz w:val="24"/>
        </w:rPr>
        <w:t>El trabajo se organiza en nueve capítulos, más una sección de referencias y un anexo técnico:</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2</w:t>
      </w:r>
      <w:r>
        <w:rPr>
          <w:rFonts w:ascii="Times New Roman" w:hAnsi="Times New Roman" w:cs="Times New Roman"/>
          <w:rFonts w:ascii="Times New Roman" w:hAnsi="Times New Roman"/>
          <w:b w:val="0"/>
          <w:i w:val="0"/>
          <w:sz w:val="24"/>
        </w:rPr>
        <w:t xml:space="preserve"> desarrolla el marco teórico. Se revisa la literatura académica sobre el oro como activo financiero, estableciendo la distinción entre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y activo especulativo, y se sintetizan los hallazgos empíricos de los trabajos fundacionales.</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3</w:t>
      </w:r>
      <w:r>
        <w:rPr>
          <w:rFonts w:ascii="Times New Roman" w:hAnsi="Times New Roman" w:cs="Times New Roman"/>
          <w:rFonts w:ascii="Times New Roman" w:hAnsi="Times New Roman"/>
          <w:b w:val="0"/>
          <w:i w:val="0"/>
          <w:sz w:val="24"/>
        </w:rPr>
        <w:t xml:space="preserve"> identifica y justifica teóricamente las variables que entrarán en los modelos: dólar (DXY), tipos de interés reales (TIPS yields), inflación (CPI y breakevens), volatilidad de mercado (VIX), precio del petróleo (WTI), índices bursátiles (S&amp;P 500), reservas de bancos centrales y un índice de sentimiento de mercado.</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4</w:t>
      </w:r>
      <w:r>
        <w:rPr>
          <w:rFonts w:ascii="Times New Roman" w:hAnsi="Times New Roman" w:cs="Times New Roman"/>
          <w:rFonts w:ascii="Times New Roman" w:hAnsi="Times New Roman"/>
          <w:b w:val="0"/>
          <w:i w:val="0"/>
          <w:sz w:val="24"/>
        </w:rPr>
        <w:t xml:space="preserve"> describe las fuentes de datos, el proceso de construcción del pipeline y el análisis exploratorio. Se presentan las estadísticas descriptivas, la evolución temporal de cada variable y su correlación con el precio del oro en distintos regímenes de mercado.</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5</w:t>
      </w:r>
      <w:r>
        <w:rPr>
          <w:rFonts w:ascii="Times New Roman" w:hAnsi="Times New Roman" w:cs="Times New Roman"/>
          <w:rFonts w:ascii="Times New Roman" w:hAnsi="Times New Roman"/>
          <w:b w:val="0"/>
          <w:i w:val="0"/>
          <w:sz w:val="24"/>
        </w:rPr>
        <w:t xml:space="preserve"> presenta el análisis econométrico: la motivación del modelo VAR desde el marco de los Modelos de Ecuaciones Simultáneas, los tests de raíz unitaria y cointegración, el modelo VECM con funciones de impulso-respuesta y descomposición de varianza, la estabilidad estructural, y un análisis complementario de volatilidad condicional mediante GJR-GARCH.</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6</w:t>
      </w:r>
      <w:r>
        <w:rPr>
          <w:rFonts w:ascii="Times New Roman" w:hAnsi="Times New Roman" w:cs="Times New Roman"/>
          <w:rFonts w:ascii="Times New Roman" w:hAnsi="Times New Roman"/>
          <w:b w:val="0"/>
          <w:i w:val="0"/>
          <w:sz w:val="24"/>
        </w:rPr>
        <w:t xml:space="preserve"> amplía la perspectiva con un análisis de datos de panel. Utilizando una muestra de cuatro economías avanzadas (EE.UU., Eurozona, Reino Unido y Japón), se estiman modelos de efectos fijos y efectos aleatorios para contrastar si el papel del oro como refugio e instrumento de cobertura inflacionaria es un fenómeno universal o específico de la economía estadounidense.</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7</w:t>
      </w:r>
      <w:r>
        <w:rPr>
          <w:rFonts w:ascii="Times New Roman" w:hAnsi="Times New Roman" w:cs="Times New Roman"/>
          <w:rFonts w:ascii="Times New Roman" w:hAnsi="Times New Roman"/>
          <w:b w:val="0"/>
          <w:i w:val="0"/>
          <w:sz w:val="24"/>
        </w:rPr>
        <w:t xml:space="preserve"> presenta los modelos de machine learning: XGBoost, Random Forest y LSTM, con validación temporal walk-forward, comparación de métricas de predicción y análisis SHAP de importancia de variables.</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8</w:t>
      </w:r>
      <w:r>
        <w:rPr>
          <w:rFonts w:ascii="Times New Roman" w:hAnsi="Times New Roman" w:cs="Times New Roman"/>
          <w:rFonts w:ascii="Times New Roman" w:hAnsi="Times New Roman"/>
          <w:b w:val="0"/>
          <w:i w:val="0"/>
          <w:sz w:val="24"/>
        </w:rPr>
        <w:t xml:space="preserve"> integra los resultados de los tres pilares metodológicos, responde a las preguntas de investigación y discute las implicaciones económicas.</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Capítulo 9</w:t>
      </w:r>
      <w:r>
        <w:rPr>
          <w:rFonts w:ascii="Times New Roman" w:hAnsi="Times New Roman" w:cs="Times New Roman"/>
          <w:rFonts w:ascii="Times New Roman" w:hAnsi="Times New Roman"/>
          <w:b w:val="0"/>
          <w:i w:val="0"/>
          <w:sz w:val="24"/>
        </w:rPr>
        <w:t xml:space="preserve"> presenta las conclusiones, las limitaciones del trabajo y las líneas de investigación futura.</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Anexo técnico</w:t>
      </w:r>
      <w:r>
        <w:rPr>
          <w:rFonts w:ascii="Times New Roman" w:hAnsi="Times New Roman" w:cs="Times New Roman"/>
          <w:rFonts w:ascii="Times New Roman" w:hAnsi="Times New Roman"/>
          <w:b w:val="0"/>
          <w:i w:val="0"/>
          <w:sz w:val="24"/>
        </w:rPr>
        <w:t xml:space="preserve"> incluye el código Python documentado que reproduce todos los análisis del trabajo.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sobre el periodo de análisis:</w:t>
      </w:r>
      <w:r>
        <w:rPr>
          <w:rFonts w:ascii="Times New Roman" w:hAnsi="Times New Roman" w:cs="Times New Roman"/>
          <w:rFonts w:ascii="Times New Roman" w:hAnsi="Times New Roman"/>
          <w:b w:val="0"/>
          <w:i w:val="0"/>
          <w:sz w:val="24"/>
        </w:rPr>
        <w:t xml:space="preserve"> El estudio cubre el periodo enero 2000 – diciembre 2025 con frecuencia mensual. Esta elección metodológica se justifica en el Capítulo 4, pero cabe adelantar que la frecuencia mensual es más robusta que la diaria para capturar los determinantes macroeconómicos del oro, que se mueven a velocidades más lentas que los flujos especulativos de corto plazo. La inclusión de 2025 es especialmente valiosa, ya que ese año concentra el mayor movimiento alcista desde la liberalización del mercado del oro en los años setenta y ofrece un banco de pruebas inédito para los modelos desarrollados en este trabajo.</w:t>
      </w:r>
    </w:p>
    <w:p>
      <w:r>
        <w:br w:type="page"/>
      </w:r>
    </w:p>
    <w:p>
      <w:pPr>
        <w:pStyle w:val="Heading1"/>
      </w:pPr>
      <w:r>
        <w:t>Capítulo 2: El oro como activo financiero: marco teórico y revisión de literatura</w:t>
      </w:r>
    </w:p>
    <w:p>
      <w:pPr>
        <w:pStyle w:val="Heading2"/>
      </w:pPr>
      <w:r>
        <w:t>2.1 Una historia en tres actos: del patrón oro al mercado libre</w:t>
      </w:r>
    </w:p>
    <w:p>
      <w:pPr/>
      <w:r>
        <w:rPr>
          <w:rFonts w:ascii="Times New Roman" w:hAnsi="Times New Roman" w:cs="Times New Roman"/>
          <w:rFonts w:ascii="Times New Roman" w:hAnsi="Times New Roman"/>
          <w:b w:val="0"/>
          <w:i w:val="0"/>
          <w:sz w:val="24"/>
        </w:rPr>
        <w:t>Para entender el oro como activo financiero contemporáneo es necesario comenzar por el momento en que dejó de ser dinero. Durante siglos, el oro había sido la base del sistema monetario occidental. El patrón oro clásico (1871-1914) anclaba las divisas nacionales a reservas físicas de metal. Después de la Primera Guerra Mundial, el patrón de cambio oro de Bretton Woods (1944-1971) estableció un sistema en el que el dólar estadounidense actuaba como divisa de reserva global, convertible en oro a razón fija de 35 dólares por onza troy, mientras que el resto de monedas mantenían tipos fijos respecto al dólar.</w:t>
      </w:r>
    </w:p>
    <w:p>
      <w:pPr/>
      <w:r>
        <w:rPr>
          <w:rFonts w:ascii="Times New Roman" w:hAnsi="Times New Roman" w:cs="Times New Roman"/>
          <w:rFonts w:ascii="Times New Roman" w:hAnsi="Times New Roman"/>
          <w:b w:val="0"/>
          <w:i w:val="0"/>
          <w:sz w:val="24"/>
        </w:rPr>
        <w:t>Este sistema funcionó razonablemente bien durante la reconstrucción de posguerra, pero empezó a mostrar sus contradicciones estructurales en los años sesenta, cuando el déficit de la balanza de pagos estadounidense —agravado por el gasto en Vietnam y los programas de la Gran Sociedad— generó una acumulación masiva de dólares en manos extranjeras que excedía con creces las reservas de oro de Fort Knox. El dilema que identificó el economista Robert Triffin en 1960 resultó ser insalvable: si Estados Unidos reducía su déficit, el mundo se quedaba sin liquidez; si lo mantenía, la credibilidad del dólar como activo convertible en oro se erosionaba.</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Nixon Shock</w:t>
      </w:r>
      <w:r>
        <w:rPr>
          <w:rFonts w:ascii="Times New Roman" w:hAnsi="Times New Roman" w:cs="Times New Roman"/>
          <w:rFonts w:ascii="Times New Roman" w:hAnsi="Times New Roman"/>
          <w:b w:val="0"/>
          <w:i w:val="0"/>
          <w:sz w:val="24"/>
        </w:rPr>
        <w:t xml:space="preserve"> del 15 de agosto de 1971 fue el desenlace inevitable. Con una sola frase en su discurso televisado —"I have directed Secretary Connally to suspend temporarily the convertibility of the dollar into gold"— Nixon rompió el último vínculo institucional entre el dinero fiduciario y el metal amarillo. El oro quedó liberado para cotizar en mercados libres. En el plazo de dos años, su precio pasó de los 35 dólares fijados administrativamente a más de 90 dólares por onza. En 1980, en el contexto de la crisis del petróleo y la hiperinflación estadounidense, alcanzó el máximo nominal de la época: 850 dólares por onza, equivalentes a más de 3.000 dólares de 2024.</w:t>
      </w:r>
    </w:p>
    <w:p>
      <w:pPr/>
      <w:r>
        <w:rPr>
          <w:rFonts w:ascii="Times New Roman" w:hAnsi="Times New Roman" w:cs="Times New Roman"/>
          <w:rFonts w:ascii="Times New Roman" w:hAnsi="Times New Roman"/>
          <w:b w:val="0"/>
          <w:i w:val="0"/>
          <w:sz w:val="24"/>
        </w:rPr>
        <w:t>Lo que siguió durante los años ochenta y noventa fue un largo mercado bajista. La política monetaria restrictiva de Paul Volcker, que elevó los tipos de interés por encima del 20% para combatir la inflación, impuso un coste de oportunidad devastador sobre el oro —que no rinde intereses— y lo relegó al olvido durante casi dos décadas. En el año 2000, el metal cotizaba alrededor de 270 dólares la onza, cerca de sus mínimos de veinte años.</w:t>
      </w:r>
    </w:p>
    <w:p>
      <w:pPr/>
      <w:r>
        <w:rPr>
          <w:rFonts w:ascii="Times New Roman" w:hAnsi="Times New Roman" w:cs="Times New Roman"/>
          <w:rFonts w:ascii="Times New Roman" w:hAnsi="Times New Roman"/>
          <w:b w:val="0"/>
          <w:i w:val="0"/>
          <w:sz w:val="24"/>
        </w:rPr>
        <w:t>Lo que ocurrió a partir de ese momento —el arranque del superciclo alcista del oro que lo llevaría de 270 dólares en 2000 a más de 4.500 dólares en 2025, con una media anual de 3.431 dólares y 53 nuevos máximos históricos solo en ese último año— es precisamente el objeto de análisis de este trabajo. Ese movimiento no fue aleatorio: obedeció a una combinación de factores macroeconómicos, monetarios, geopolíticos y estructurales que los capítulos siguientes identificarán y cuantificarán con rigor.</w:t>
      </w:r>
    </w:p>
    <w:p>
      <w:pPr>
        <w:pStyle w:val="Heading2"/>
      </w:pPr>
      <w:r>
        <w:t>2.2 Las tres identidades del oro: un activo con múltiples personalidades</w:t>
      </w:r>
    </w:p>
    <w:p>
      <w:pPr/>
      <w:r>
        <w:rPr>
          <w:rFonts w:ascii="Times New Roman" w:hAnsi="Times New Roman" w:cs="Times New Roman"/>
          <w:rFonts w:ascii="Times New Roman" w:hAnsi="Times New Roman"/>
          <w:b w:val="0"/>
          <w:i w:val="0"/>
          <w:sz w:val="24"/>
        </w:rPr>
        <w:t>La dificultad de analizar el oro como activo financiero reside en que cumple simultáneamente funciones distintas —y a veces contradictorias— según el contexto macroeconómico. La literatura académica ha propuesto tres identidades principales, cuya distinción formal es la contribución metodológica más importante de Baur y Lucey (2010):</w:t>
      </w:r>
    </w:p>
    <w:p>
      <w:pPr>
        <w:pStyle w:val="Heading3"/>
      </w:pPr>
      <w:r>
        <w:t>2.2.1 El oro como *hedge*</w:t>
      </w:r>
    </w:p>
    <w:p>
      <w:pPr/>
      <w:r>
        <w:rPr>
          <w:rFonts w:ascii="Times New Roman" w:hAnsi="Times New Roman" w:cs="Times New Roman"/>
          <w:rFonts w:ascii="Times New Roman" w:hAnsi="Times New Roman"/>
          <w:b w:val="0"/>
          <w:i w:val="0"/>
          <w:sz w:val="24"/>
        </w:rPr>
        <w:t xml:space="preserve">Un activo es un </w:t>
      </w:r>
      <w:r>
        <w:rPr>
          <w:rFonts w:ascii="Times New Roman" w:hAnsi="Times New Roman" w:cs="Times New Roman"/>
          <w:rFonts w:ascii="Times New Roman" w:hAnsi="Times New Roman"/>
          <w:b/>
          <w:i w:val="0"/>
          <w:sz w:val="24"/>
        </w:rPr>
        <w:t>hedge</w:t>
      </w:r>
      <w:r>
        <w:rPr>
          <w:rFonts w:ascii="Times New Roman" w:hAnsi="Times New Roman" w:cs="Times New Roman"/>
          <w:rFonts w:ascii="Times New Roman" w:hAnsi="Times New Roman"/>
          <w:b w:val="0"/>
          <w:i w:val="0"/>
          <w:sz w:val="24"/>
        </w:rPr>
        <w:t xml:space="preserve"> respecto a otro si tiene correlación negativa (o nula) con él en media, es decir, en condiciones de mercado normales. El oro actuaría como hedge respecto a las acciones si, en promedio, su precio sube (o no cae) cuando la bolsa cae. El mecanismo económico subyacente es la ausencia de valor intrínseco vinculado a los ciclos de beneficios empresariales: el oro no tiene exposición al ciclo económico de la misma forma que una acción, lo que genera una correlación estructuralmente baja con la renta variable.</w:t>
      </w:r>
    </w:p>
    <w:p>
      <w:pPr/>
      <w:r>
        <w:rPr>
          <w:rFonts w:ascii="Times New Roman" w:hAnsi="Times New Roman" w:cs="Times New Roman"/>
          <w:rFonts w:ascii="Times New Roman" w:hAnsi="Times New Roman"/>
          <w:b w:val="0"/>
          <w:i w:val="0"/>
          <w:sz w:val="24"/>
        </w:rPr>
        <w:t>La evidencia sobre el oro como hedge es sólida en el largo plazo. Baur y McDermott (2010) confirman que el oro es un hedge para los mercados de acciones europeos y estadounidenses en el periodo 1979-2009. Sin embargo, la correlación no es estable en el tiempo: en periodos de stress financiero extremo, las correlaciones entre clases de activos tienden a converger hacia 1 por el efecto de las ventas forzadas (</w:t>
      </w:r>
      <w:r>
        <w:rPr>
          <w:rFonts w:ascii="Times New Roman" w:hAnsi="Times New Roman" w:cs="Times New Roman"/>
          <w:rFonts w:ascii="Times New Roman" w:hAnsi="Times New Roman"/>
          <w:b w:val="0"/>
          <w:i/>
          <w:sz w:val="24"/>
        </w:rPr>
        <w:t>fire sales</w:t>
      </w:r>
      <w:r>
        <w:rPr>
          <w:rFonts w:ascii="Times New Roman" w:hAnsi="Times New Roman" w:cs="Times New Roman"/>
          <w:rFonts w:ascii="Times New Roman" w:hAnsi="Times New Roman"/>
          <w:b w:val="0"/>
          <w:i w:val="0"/>
          <w:sz w:val="24"/>
        </w:rPr>
        <w:t>), lo que puede destruir temporalmente la propiedad de hedge del oro.</w:t>
      </w:r>
    </w:p>
    <w:p>
      <w:pPr>
        <w:pStyle w:val="Heading3"/>
      </w:pPr>
      <w:r>
        <w:t>2.2.2 El oro como *safe haven*</w:t>
      </w:r>
    </w:p>
    <w:p>
      <w:pPr/>
      <w:r>
        <w:rPr>
          <w:rFonts w:ascii="Times New Roman" w:hAnsi="Times New Roman" w:cs="Times New Roman"/>
          <w:rFonts w:ascii="Times New Roman" w:hAnsi="Times New Roman"/>
          <w:b w:val="0"/>
          <w:i w:val="0"/>
          <w:sz w:val="24"/>
        </w:rPr>
        <w:t xml:space="preserve">Un </w:t>
      </w:r>
      <w:r>
        <w:rPr>
          <w:rFonts w:ascii="Times New Roman" w:hAnsi="Times New Roman" w:cs="Times New Roman"/>
          <w:rFonts w:ascii="Times New Roman" w:hAnsi="Times New Roman"/>
          <w:b/>
          <w:i w:val="0"/>
          <w:sz w:val="24"/>
        </w:rPr>
        <w:t>safe haven</w:t>
      </w:r>
      <w:r>
        <w:rPr>
          <w:rFonts w:ascii="Times New Roman" w:hAnsi="Times New Roman" w:cs="Times New Roman"/>
          <w:rFonts w:ascii="Times New Roman" w:hAnsi="Times New Roman"/>
          <w:b w:val="0"/>
          <w:i w:val="0"/>
          <w:sz w:val="24"/>
        </w:rPr>
        <w:t xml:space="preserve"> es un activo cuya correlación con el activo de referencia (generalmente renta variable) es nula o negativa específicamente durante periodos de turbulencia extrema. La distinción clave respecto al hedge es temporal: el safe haven no requiere correlación negativa en medias —puede comportarse igual que las acciones en mercados tranquilos— pero sí debe preservar o aumentar su valor cuando los mercados colapsan.</w:t>
      </w:r>
    </w:p>
    <w:p>
      <w:pPr/>
      <w:r>
        <w:rPr>
          <w:rFonts w:ascii="Times New Roman" w:hAnsi="Times New Roman" w:cs="Times New Roman"/>
          <w:rFonts w:ascii="Times New Roman" w:hAnsi="Times New Roman"/>
          <w:b w:val="0"/>
          <w:i w:val="0"/>
          <w:sz w:val="24"/>
        </w:rPr>
        <w:t xml:space="preserve">Baur y McDermott (2010) formalizan esta distinción en términos econométricos. Estiman la correlación condicional del oro con las acciones en función de los percentiles inferiores de los retornos bursátiles: si el coeficiente es cero en los percentiles 5% y 10%, el oro es un </w:t>
      </w:r>
      <w:r>
        <w:rPr>
          <w:rFonts w:ascii="Times New Roman" w:hAnsi="Times New Roman" w:cs="Times New Roman"/>
          <w:rFonts w:ascii="Times New Roman" w:hAnsi="Times New Roman"/>
          <w:b/>
          <w:i w:val="0"/>
          <w:sz w:val="24"/>
        </w:rPr>
        <w:t>safe haven débil</w:t>
      </w:r>
      <w:r>
        <w:rPr>
          <w:rFonts w:ascii="Times New Roman" w:hAnsi="Times New Roman" w:cs="Times New Roman"/>
          <w:rFonts w:ascii="Times New Roman" w:hAnsi="Times New Roman"/>
          <w:b w:val="0"/>
          <w:i w:val="0"/>
          <w:sz w:val="24"/>
        </w:rPr>
        <w:t xml:space="preserve">; si es negativo, es un </w:t>
      </w:r>
      <w:r>
        <w:rPr>
          <w:rFonts w:ascii="Times New Roman" w:hAnsi="Times New Roman" w:cs="Times New Roman"/>
          <w:rFonts w:ascii="Times New Roman" w:hAnsi="Times New Roman"/>
          <w:b/>
          <w:i w:val="0"/>
          <w:sz w:val="24"/>
        </w:rPr>
        <w:t>safe haven fuerte</w:t>
      </w:r>
      <w:r>
        <w:rPr>
          <w:rFonts w:ascii="Times New Roman" w:hAnsi="Times New Roman" w:cs="Times New Roman"/>
          <w:rFonts w:ascii="Times New Roman" w:hAnsi="Times New Roman"/>
          <w:b w:val="0"/>
          <w:i w:val="0"/>
          <w:sz w:val="24"/>
        </w:rPr>
        <w:t>. Sus resultados muestran que el oro fue un safe haven fuerte para la mayoría de los mercados desarrollados durante el pico de la crisis financiera de 2008, aunque este comportamiento no fue universal: para Australia, Canadá, Japón y los países BRIC, el oro no cumplió esa función.</w:t>
      </w:r>
    </w:p>
    <w:p>
      <w:pPr/>
      <w:r>
        <w:rPr>
          <w:rFonts w:ascii="Times New Roman" w:hAnsi="Times New Roman" w:cs="Times New Roman"/>
          <w:rFonts w:ascii="Times New Roman" w:hAnsi="Times New Roman"/>
          <w:b w:val="0"/>
          <w:i w:val="0"/>
          <w:sz w:val="24"/>
        </w:rPr>
        <w:t>Este resultado tiene una implicación económica profunda: el safe haven del oro es geográficamente heterogéneo. Para los inversores anglosajones y europeos, el oro ha funcionado históricamente como protección en los peores momentos. Para los inversores en mercados emergentes, esa protección es más cuestionable —posiblemente porque en esos contextos la demanda de dólares como activo de refugio compite con la demanda de oro.</w:t>
      </w:r>
    </w:p>
    <w:p>
      <w:pPr>
        <w:pStyle w:val="Heading3"/>
      </w:pPr>
      <w:r>
        <w:t>2.2.3 El oro como activo especulativo</w:t>
      </w:r>
    </w:p>
    <w:p>
      <w:pPr/>
      <w:r>
        <w:rPr>
          <w:rFonts w:ascii="Times New Roman" w:hAnsi="Times New Roman" w:cs="Times New Roman"/>
          <w:rFonts w:ascii="Times New Roman" w:hAnsi="Times New Roman"/>
          <w:b w:val="0"/>
          <w:i w:val="0"/>
          <w:sz w:val="24"/>
        </w:rPr>
        <w:t>La tercera identidad del oro es la más incómoda académicamente: el oro como objeto de especulación, cuyo precio refleja expectativas sobre su propio precio futuro más que fundamentos económicos subyacentes. Esta dimensión es difícil de separar empíricamente de las dos anteriores, pero su existencia queda evidenciada en la volatilidad episódica del metal —el máximo de 1980, la burbuja de 2011, la corrección de 2013— y en la correlación documentada entre el precio del oro y medidas de sentimiento inversor como Google Trends o los flujos hacia ETFs de oro.</w:t>
      </w:r>
    </w:p>
    <w:p>
      <w:pPr/>
      <w:r>
        <w:rPr>
          <w:rFonts w:ascii="Times New Roman" w:hAnsi="Times New Roman" w:cs="Times New Roman"/>
          <w:rFonts w:ascii="Times New Roman" w:hAnsi="Times New Roman"/>
          <w:b w:val="0"/>
          <w:i w:val="0"/>
          <w:sz w:val="24"/>
        </w:rPr>
        <w:t>La cuestión de si el precio del oro está determinado principalmente por fundamentos macroeconómicos identificables o por dinámica especulativa es, en última instancia, una de las preguntas que este trabajo intentará responder con datos.</w:t>
      </w:r>
    </w:p>
    <w:p>
      <w:pPr>
        <w:pStyle w:val="Heading2"/>
      </w:pPr>
      <w:r>
        <w:t>2.3 ¿Es el oro un buen protector contra la inflación? El dilema de Erb y Harvey</w:t>
      </w:r>
    </w:p>
    <w:p>
      <w:pPr/>
      <w:r>
        <w:rPr>
          <w:rFonts w:ascii="Times New Roman" w:hAnsi="Times New Roman" w:cs="Times New Roman"/>
          <w:rFonts w:ascii="Times New Roman" w:hAnsi="Times New Roman"/>
          <w:b w:val="0"/>
          <w:i w:val="0"/>
          <w:sz w:val="24"/>
        </w:rPr>
        <w:t>Uno de los mitos más arraigados en la cultura financiera popular es que el oro protege de la inflación. La intuición es seductora: si el dinero fiduciario pierde valor, el oro —escaso, indestructible, universalmente reconocido— debería mantenerlo. Bancos, gestores de patrimonio y columnistas financieros repiten esta idea con la seguridad de quien cita un axioma.</w:t>
      </w:r>
    </w:p>
    <w:p>
      <w:pPr/>
      <w:r>
        <w:rPr>
          <w:rFonts w:ascii="Times New Roman" w:hAnsi="Times New Roman" w:cs="Times New Roman"/>
          <w:rFonts w:ascii="Times New Roman" w:hAnsi="Times New Roman"/>
          <w:b w:val="0"/>
          <w:i w:val="0"/>
          <w:sz w:val="24"/>
        </w:rPr>
        <w:t xml:space="preserve">Erb y Harvey (2013) la desafían con evidencia empírica sistemática. Su argumento central es que el oro puede ser un hedge contra la inflación a horizontes </w:t>
      </w:r>
      <w:r>
        <w:rPr>
          <w:rFonts w:ascii="Times New Roman" w:hAnsi="Times New Roman" w:cs="Times New Roman"/>
          <w:rFonts w:ascii="Times New Roman" w:hAnsi="Times New Roman"/>
          <w:b w:val="0"/>
          <w:i/>
          <w:sz w:val="24"/>
        </w:rPr>
        <w:t>de siglos</w:t>
      </w:r>
      <w:r>
        <w:rPr>
          <w:rFonts w:ascii="Times New Roman" w:hAnsi="Times New Roman" w:cs="Times New Roman"/>
          <w:rFonts w:ascii="Times New Roman" w:hAnsi="Times New Roman"/>
          <w:b w:val="0"/>
          <w:i w:val="0"/>
          <w:sz w:val="24"/>
        </w:rPr>
        <w:t xml:space="preserve">, pero es un </w:t>
      </w:r>
      <w:r>
        <w:rPr>
          <w:rFonts w:ascii="Times New Roman" w:hAnsi="Times New Roman" w:cs="Times New Roman"/>
          <w:rFonts w:ascii="Times New Roman" w:hAnsi="Times New Roman"/>
          <w:b/>
          <w:i w:val="0"/>
          <w:sz w:val="24"/>
        </w:rPr>
        <w:t>protector poco fiable a horizontes prácticos</w:t>
      </w:r>
      <w:r>
        <w:rPr>
          <w:rFonts w:ascii="Times New Roman" w:hAnsi="Times New Roman" w:cs="Times New Roman"/>
          <w:rFonts w:ascii="Times New Roman" w:hAnsi="Times New Roman"/>
          <w:b w:val="0"/>
          <w:i w:val="0"/>
          <w:sz w:val="24"/>
        </w:rPr>
        <w:t xml:space="preserve"> (de uno a veinte años). Para demostrarlo, construyen el concepto de "precio real del oro" (gold real price, GRP): el ratio entre el precio nominal del oro y el nivel de precios de la economía. Si el oro fuera un perfecto hedge contra la inflación, su precio real debería ser estable en el tiempo.</w:t>
      </w:r>
    </w:p>
    <w:p>
      <w:pPr/>
      <w:r>
        <w:rPr>
          <w:rFonts w:ascii="Times New Roman" w:hAnsi="Times New Roman" w:cs="Times New Roman"/>
          <w:rFonts w:ascii="Times New Roman" w:hAnsi="Times New Roman"/>
          <w:b w:val="0"/>
          <w:i w:val="0"/>
          <w:sz w:val="24"/>
        </w:rPr>
        <w:t>Los datos muestran que el precio real del oro es extraordinariamente volátil. En 1980, en plena crisis inflacionaria, el GRP era más del doble de su media histórica. En 2000, tras dos décadas de mercado bajista, estaba por debajo de esa media. En 2012, cuando Erb y Harvey escribían su trabajo, el GRP estaba de nuevo en máximos históricos, lo que les llevó a advertir sobre el riesgo de reversión a la media. De hecho, entre 2011 y 2015, el oro perdió casi el 40% de su valor en dólares —un descenso que no puede explicarse por ninguna dinámica inflacionaria.</w:t>
      </w:r>
    </w:p>
    <w:p>
      <w:pPr/>
      <w:r>
        <w:rPr>
          <w:rFonts w:ascii="Times New Roman" w:hAnsi="Times New Roman" w:cs="Times New Roman"/>
          <w:rFonts w:ascii="Times New Roman" w:hAnsi="Times New Roman"/>
          <w:b w:val="0"/>
          <w:i w:val="0"/>
          <w:sz w:val="24"/>
        </w:rPr>
        <w:t>Erb y Harvey también documentan que incluso en episodios de hiperinflación, el oro no ha sido necesariamente una protección eficaz. Examinando los casos de Weimar Alemania en los años veinte y otros episodios históricos extremos, encuentran que la relación entre inflación y precio del oro es débil e inestable. Su conclusión es provocadora: el oro es mejor entendido como un activo con su propia dinámica especulativa, parcialmente correlacionado con la inflación pero no determinado por ella.</w:t>
      </w:r>
    </w:p>
    <w:p>
      <w:pPr/>
      <w:r>
        <w:rPr>
          <w:rFonts w:ascii="Times New Roman" w:hAnsi="Times New Roman" w:cs="Times New Roman"/>
          <w:rFonts w:ascii="Times New Roman" w:hAnsi="Times New Roman"/>
          <w:b w:val="0"/>
          <w:i w:val="0"/>
          <w:sz w:val="24"/>
        </w:rPr>
        <w:t>Esto no significa que el oro no deba tener hueco en una cartera diversificada. Significa que las razones para tenerlo son más complejas —y más interesantes— que la simple narrativa inflacionaria.</w:t>
      </w:r>
    </w:p>
    <w:p>
      <w:pPr/>
      <w:r>
        <w:rPr>
          <w:rFonts w:ascii="Times New Roman" w:hAnsi="Times New Roman" w:cs="Times New Roman"/>
          <w:rFonts w:ascii="Times New Roman" w:hAnsi="Times New Roman"/>
          <w:b w:val="0"/>
          <w:i w:val="0"/>
          <w:sz w:val="24"/>
        </w:rPr>
        <w:t>Un hallazgo complementario del mismo trabajo es que el precio real del oro es similar en términos globales: cuando el oro está caro en Estados Unidos, también lo está en Europa, India o Brasil. Esto sugiere que existe un mercado global del oro con un único precio real de equilibrio, lo que tiene implicaciones para la estrategia de los bancos centrales cuando evalúan sus reservas en oro.</w:t>
      </w:r>
    </w:p>
    <w:p>
      <w:pPr>
        <w:pStyle w:val="Heading2"/>
      </w:pPr>
      <w:r>
        <w:t>2.4 La economía financiera del oro: síntesis de O'Connor et al. (2015)</w:t>
      </w:r>
    </w:p>
    <w:p>
      <w:pPr/>
      <w:r>
        <w:rPr>
          <w:rFonts w:ascii="Times New Roman" w:hAnsi="Times New Roman" w:cs="Times New Roman"/>
          <w:rFonts w:ascii="Times New Roman" w:hAnsi="Times New Roman"/>
          <w:b w:val="0"/>
          <w:i w:val="0"/>
          <w:sz w:val="24"/>
        </w:rPr>
        <w:t xml:space="preserve">O'Connor, Lucey, Batten y Baur (2015) realizan el survey más comprehensivo publicado hasta la fecha sobre la economía financiera del oro. Publicado en el </w:t>
      </w:r>
      <w:r>
        <w:rPr>
          <w:rFonts w:ascii="Times New Roman" w:hAnsi="Times New Roman" w:cs="Times New Roman"/>
          <w:rFonts w:ascii="Times New Roman" w:hAnsi="Times New Roman"/>
          <w:b w:val="0"/>
          <w:i/>
          <w:sz w:val="24"/>
        </w:rPr>
        <w:t>International Review of Financial Analysis</w:t>
      </w:r>
      <w:r>
        <w:rPr>
          <w:rFonts w:ascii="Times New Roman" w:hAnsi="Times New Roman" w:cs="Times New Roman"/>
          <w:rFonts w:ascii="Times New Roman" w:hAnsi="Times New Roman"/>
          <w:b w:val="0"/>
          <w:i w:val="0"/>
          <w:sz w:val="24"/>
        </w:rPr>
        <w:t>, el trabajo sistematiza décadas de investigación y proporciona el mapa completo del conocimiento acumulado sobre el metal.</w:t>
      </w:r>
    </w:p>
    <w:p>
      <w:pPr/>
      <w:r>
        <w:rPr>
          <w:rFonts w:ascii="Times New Roman" w:hAnsi="Times New Roman" w:cs="Times New Roman"/>
          <w:rFonts w:ascii="Times New Roman" w:hAnsi="Times New Roman"/>
          <w:b w:val="0"/>
          <w:i w:val="0"/>
          <w:sz w:val="24"/>
        </w:rPr>
        <w:t>Varias conclusiones del survey son especialmente relevantes para este trabajo: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Sobre la eficiencia de mercado:</w:t>
      </w:r>
      <w:r>
        <w:rPr>
          <w:rFonts w:ascii="Times New Roman" w:hAnsi="Times New Roman" w:cs="Times New Roman"/>
          <w:rFonts w:ascii="Times New Roman" w:hAnsi="Times New Roman"/>
          <w:b w:val="0"/>
          <w:i w:val="0"/>
          <w:sz w:val="24"/>
        </w:rPr>
        <w:t xml:space="preserve"> Los mercados del oro son, en general, débilmente eficientes en el sentido de la hipótesis de mercados eficientes. Esto significa que la información pública disponible (precios pasados, datos macroeconómicos publicados) está en principio incorporada en el precio del oro, lo que hace que la predicción sistemática sea difícil pero no imposible —especialmente si se utilizan variables macroeconómicas con mayor poder explicativo que los precios pasados en solitario.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Sobre la oferta y la demanda físicas:</w:t>
      </w:r>
      <w:r>
        <w:rPr>
          <w:rFonts w:ascii="Times New Roman" w:hAnsi="Times New Roman" w:cs="Times New Roman"/>
          <w:rFonts w:ascii="Times New Roman" w:hAnsi="Times New Roman"/>
          <w:b w:val="0"/>
          <w:i w:val="0"/>
          <w:sz w:val="24"/>
        </w:rPr>
        <w:t xml:space="preserve"> El precio del oro no está determinado únicamente por variables financieras. La oferta minera, los costes de extracción, la demanda de joyería (que representa históricamente el 50% de la demanda mundial) y la demanda tecnológica (electrónica, industria) forman el sustrato físico del mercado. Este sustrato es relevante a largo plazo pero menos útil para explicar las fluctuaciones de corto y medio plazo que son el objeto de este trabajo.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Sobre el mercado de arrendamiento:</w:t>
      </w:r>
      <w:r>
        <w:rPr>
          <w:rFonts w:ascii="Times New Roman" w:hAnsi="Times New Roman" w:cs="Times New Roman"/>
          <w:rFonts w:ascii="Times New Roman" w:hAnsi="Times New Roman"/>
          <w:b w:val="0"/>
          <w:i w:val="0"/>
          <w:sz w:val="24"/>
        </w:rPr>
        <w:t xml:space="preserve"> Existe un sofisticado mercado donde los bancos centrales prestan oro a los bancos de inversión a cambio de un tipo de interés (el </w:t>
      </w:r>
      <w:r>
        <w:rPr>
          <w:rFonts w:ascii="Times New Roman" w:hAnsi="Times New Roman" w:cs="Times New Roman"/>
          <w:rFonts w:ascii="Times New Roman" w:hAnsi="Times New Roman"/>
          <w:b w:val="0"/>
          <w:i/>
          <w:sz w:val="24"/>
        </w:rPr>
        <w:t>gold lease rate</w:t>
      </w:r>
      <w:r>
        <w:rPr>
          <w:rFonts w:ascii="Times New Roman" w:hAnsi="Times New Roman" w:cs="Times New Roman"/>
          <w:rFonts w:ascii="Times New Roman" w:hAnsi="Times New Roman"/>
          <w:b w:val="0"/>
          <w:i w:val="0"/>
          <w:sz w:val="24"/>
        </w:rPr>
        <w:t>). Este mercado conecta el oro con los tipos de interés y la política monetaria de una forma que rara vez aparece en los análisis superficiales.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Sobre los determinantes macroeconómicos:</w:t>
      </w:r>
      <w:r>
        <w:rPr>
          <w:rFonts w:ascii="Times New Roman" w:hAnsi="Times New Roman" w:cs="Times New Roman"/>
          <w:rFonts w:ascii="Times New Roman" w:hAnsi="Times New Roman"/>
          <w:b w:val="0"/>
          <w:i w:val="0"/>
          <w:sz w:val="24"/>
        </w:rPr>
        <w:t xml:space="preserve"> El survey confirma que las variables con mayor poder explicativo sobre el precio del oro son el tipo de cambio del dólar, los tipos de interés reales, la inflación y, en menor medida, el precio del petróleo. Estas son precisamente las variables que constituyen el núcleo del modelo que se desarrollará en los capítulos siguientes.</w:t>
      </w:r>
    </w:p>
    <w:p>
      <w:pPr>
        <w:pStyle w:val="Heading2"/>
      </w:pPr>
      <w:r>
        <w:t>2.5 El oro en el siglo XXI: cinco episodios que lo definen</w:t>
      </w:r>
    </w:p>
    <w:p>
      <w:pPr/>
      <w:r>
        <w:rPr>
          <w:rFonts w:ascii="Times New Roman" w:hAnsi="Times New Roman" w:cs="Times New Roman"/>
          <w:rFonts w:ascii="Times New Roman" w:hAnsi="Times New Roman"/>
          <w:b w:val="0"/>
          <w:i w:val="0"/>
          <w:sz w:val="24"/>
        </w:rPr>
        <w:t>La narrativa del oro en el periodo 2000-2025 es, en esencia, la historia de cinco episodios de mercado que pusieron a prueba las diferentes identidades del metal.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gran alcista (2000-2011):</w:t>
      </w:r>
      <w:r>
        <w:rPr>
          <w:rFonts w:ascii="Times New Roman" w:hAnsi="Times New Roman" w:cs="Times New Roman"/>
          <w:rFonts w:ascii="Times New Roman" w:hAnsi="Times New Roman"/>
          <w:b w:val="0"/>
          <w:i w:val="0"/>
          <w:sz w:val="24"/>
        </w:rPr>
        <w:t xml:space="preserve"> El derrumbe de las punto-com en 2000-2002, la respuesta monetaria de la Fed con tipos históricamente bajos, la invasión de Irak, el primer ciclo de debilitamiento del dólar y el comienzo de la compra masiva de oro por parte de los bancos centrales de países emergentes (China, India, Rusia) impulsaron al metal desde los 270 dólares de 2000 hasta los máximos históricos nominales de septiembre de 2011, cuando alcanzó los 1.921 dólares por onza. En términos reales, este máximo superó incluso al de 1980. Durante la fase más aguda de la crisis de 2008, el oro actuó como safe haven fuerte: mientras el S&amp;P 500 perdía más del 50% entre octubre de 2007 y marzo de 2009, el oro subió un 25% en el mismo periodo.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colapso post-QE (2011-2015):</w:t>
      </w:r>
      <w:r>
        <w:rPr>
          <w:rFonts w:ascii="Times New Roman" w:hAnsi="Times New Roman" w:cs="Times New Roman"/>
          <w:rFonts w:ascii="Times New Roman" w:hAnsi="Times New Roman"/>
          <w:b w:val="0"/>
          <w:i w:val="0"/>
          <w:sz w:val="24"/>
        </w:rPr>
        <w:t xml:space="preserve"> A partir de septiembre de 2011, el oro inició una corrección que resultaría ser la más severa desde la desmaterialización del patrón oro. En abril de 2013, una caída del 13% en dos jornadas —la mayor en treinta años— redujo el precio a 1.321 dólares. Para finales de 2015, el oro cotizaba a 1.050 dólares, un 45% por debajo del máximo. La explicación más convincente apunta a la expectativa de normalización monetaria: con la economía estadounidense recuperándose y la Fed preparando la salida del QE, el coste de oportunidad de mantener oro —que no rinde intereses— se volvió prohibitivo. La narrativa de Erb y Harvey sobre el precio real del oro demasiado alto encajó perfectamente con este episodio.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COVID-19 y el nuevo máximo histórico (2020):</w:t>
      </w:r>
      <w:r>
        <w:rPr>
          <w:rFonts w:ascii="Times New Roman" w:hAnsi="Times New Roman" w:cs="Times New Roman"/>
          <w:rFonts w:ascii="Times New Roman" w:hAnsi="Times New Roman"/>
          <w:b w:val="0"/>
          <w:i w:val="0"/>
          <w:sz w:val="24"/>
        </w:rPr>
        <w:t xml:space="preserve"> La pandemia de marzo de 2020 generó el crash más rápido de la historia bursátil, con el S&amp;P 500 perdiendo el 34% en cinco semanas. En un primer momento, el oro también cayó —una señal de ventas forzadas generalizadas— pero se recuperó con extraordinaria velocidad y en agosto de 2020 estableció un nuevo máximo histórico de 2.075 dólares por onza. La respuesta sin precedentes de los bancos centrales —la Fed inyectó más de 3 billones de dólares en menos de tres meses— redujo los tipos reales a mínimos históricos, eliminando por completo el coste de oportunidad del oro y generando el mayor estímulo para el metal en décadas.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ciclo de tipos y la paradoja geopolítica (2022-2024):</w:t>
      </w:r>
      <w:r>
        <w:rPr>
          <w:rFonts w:ascii="Times New Roman" w:hAnsi="Times New Roman" w:cs="Times New Roman"/>
          <w:rFonts w:ascii="Times New Roman" w:hAnsi="Times New Roman"/>
          <w:b w:val="0"/>
          <w:i w:val="0"/>
          <w:sz w:val="24"/>
        </w:rPr>
        <w:t xml:space="preserve"> Este episodio es el más paradójico de los cuatro primeros y, por tanto, el más interesante para el análisis econométrico. Desde la teoría estándar, la subida más agresiva de tipos de la Fed desde los años ochenta —de cero a más del 5% entre 2022 y 2023— debería haber hundido el precio del oro. Los tipos reales se dispararon hacia territorio positivo, eliminando teóricamente el argumento de mantener el metal. Y sin embargo, el oro no solo resistió: superó los 2.400 dólares en 2024. La explicación más plausible apunta a un factor estructural que la econometría pre-2022 no capturaba adecuadamente: la demanda de los bancos centrales de economías emergentes, que compraron más de 1.000 toneladas netas anuales en 2022 y 2023, en el contexto de un proceso de de-dolarización acelerado por la congelación de las reservas rusas tras la invasión de Ucrania. Este episodio ilustra cómo los determinantes del oro pueden cambiar cualitativamente a lo largo del tiempo, justificando el análisis de estabilidad estructural que se realizará en el Capítulo 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gran salto de 2025: aranceles, de-dolarización y nuevo paradigma:</w:t>
      </w:r>
      <w:r>
        <w:rPr>
          <w:rFonts w:ascii="Times New Roman" w:hAnsi="Times New Roman" w:cs="Times New Roman"/>
          <w:rFonts w:ascii="Times New Roman" w:hAnsi="Times New Roman"/>
          <w:b w:val="0"/>
          <w:i w:val="0"/>
          <w:sz w:val="24"/>
        </w:rPr>
        <w:t xml:space="preserve"> Si el episodio 2022-2024 era ya sorprendente, 2025 resultó ser directamente histórico. El oro cerró el año con una subida del 65%, la mayor en décadas, estableciendo 53 nuevos máximos históricos y alcanzando los 4.549 dólares por onza en diciembre, con una media anual de 3.431 dólares. Los motores de esta subida son múltiples y su combinación no tiene precedente moderno.</w:t>
      </w:r>
    </w:p>
    <w:p>
      <w:pPr/>
      <w:r>
        <w:rPr>
          <w:rFonts w:ascii="Times New Roman" w:hAnsi="Times New Roman" w:cs="Times New Roman"/>
          <w:rFonts w:ascii="Times New Roman" w:hAnsi="Times New Roman"/>
          <w:b w:val="0"/>
          <w:i w:val="0"/>
          <w:sz w:val="24"/>
        </w:rPr>
        <w:t>El detonante inmediato fue la política arancelaria de la administración Trump, que anunció aranceles generalizados sobre importaciones de decenas de países, desencadenando una incertidumbre económica global que disparó la demanda de refugio. Pero debajo de esa capa de corto plazo operaba una fuerza estructural más profunda: el 73% de los bancos centrales del mundo declaró en 2025 su intención de reducir sus reservas en dólares en los próximos años, según el World Gold Council (2025). La congelación de las reservas soberanas rusas en 2022 había puesto de manifiesto el riesgo geopolítico de mantener activos denominados en la divisa de un adversario potencial, y las economías emergentes —con China, India y Turquía a la cabeza— aceleraron sus compras de oro como alternativa soberana al dólar.</w:t>
      </w:r>
    </w:p>
    <w:p>
      <w:pPr/>
      <w:r>
        <w:rPr>
          <w:rFonts w:ascii="Times New Roman" w:hAnsi="Times New Roman" w:cs="Times New Roman"/>
          <w:rFonts w:ascii="Times New Roman" w:hAnsi="Times New Roman"/>
          <w:b w:val="0"/>
          <w:i w:val="0"/>
          <w:sz w:val="24"/>
        </w:rPr>
        <w:t>A este contexto se sumó la reanudación de los recortes de tipos por parte de los principales bancos centrales —el BCE redujo tipos al 2,25%, su nivel más bajo desde 2022— que volvió a eliminar el coste de oportunidad del oro y amplificó el atractivo del metal. El resultado fue una confluencia perfecta de los tres tipos de fuerzas identificados en el marco conceptual de este capítulo: safe haven de corto plazo (incertidumbre arancelaria), fuerzas estructurales financieras favorables (tipos reales bajando) y demanda física estructural de bancos centrales (de-dolarización). Cuando las tres fuerzas empujan en la misma dirección, el oro produce movimientos de la magnitud que se observó en 2025.</w:t>
      </w:r>
    </w:p>
    <w:p>
      <w:pPr/>
      <w:r>
        <w:rPr>
          <w:rFonts w:ascii="Times New Roman" w:hAnsi="Times New Roman" w:cs="Times New Roman"/>
          <w:rFonts w:ascii="Times New Roman" w:hAnsi="Times New Roman"/>
          <w:b w:val="0"/>
          <w:i w:val="0"/>
          <w:sz w:val="24"/>
        </w:rPr>
        <w:t>Este episodio es especialmente valioso para el presente trabajo porque ofrece una muestra fuera de muestra (</w:t>
      </w:r>
      <w:r>
        <w:rPr>
          <w:rFonts w:ascii="Times New Roman" w:hAnsi="Times New Roman" w:cs="Times New Roman"/>
          <w:rFonts w:ascii="Times New Roman" w:hAnsi="Times New Roman"/>
          <w:b w:val="0"/>
          <w:i/>
          <w:sz w:val="24"/>
        </w:rPr>
        <w:t>out-of-sample</w:t>
      </w:r>
      <w:r>
        <w:rPr>
          <w:rFonts w:ascii="Times New Roman" w:hAnsi="Times New Roman" w:cs="Times New Roman"/>
          <w:rFonts w:ascii="Times New Roman" w:hAnsi="Times New Roman"/>
          <w:b w:val="0"/>
          <w:i w:val="0"/>
          <w:sz w:val="24"/>
        </w:rPr>
        <w:t>) de excepcional riqueza: los modelos estimados con datos 2000-2024 serán evaluados precisamente contra el periodo más extremo de toda la serie histórica.</w:t>
      </w:r>
    </w:p>
    <w:p>
      <w:pPr>
        <w:pStyle w:val="Heading2"/>
      </w:pPr>
      <w:r>
        <w:t>2.6 El oro frente a otros activos de refugio: posición en el debate contemporáneo</w:t>
      </w:r>
    </w:p>
    <w:p>
      <w:pPr/>
      <w:r>
        <w:rPr>
          <w:rFonts w:ascii="Times New Roman" w:hAnsi="Times New Roman" w:cs="Times New Roman"/>
          <w:rFonts w:ascii="Times New Roman" w:hAnsi="Times New Roman"/>
          <w:b w:val="0"/>
          <w:i w:val="0"/>
          <w:sz w:val="24"/>
        </w:rPr>
        <w:t>La aparición de nuevos activos que reclaman la función de safe haven —en particular el Bitcoin y, más recientemente, otras criptomonedas— ha reabierto el debate sobre la singularidad del oro como reserva de valor. Algunos autores argumentan que las propiedades de escasez programada de Bitcoin lo convierten en el equivalente digital del oro, o incluso en un sustituto superior.</w:t>
      </w:r>
    </w:p>
    <w:p>
      <w:pPr/>
      <w:r>
        <w:rPr>
          <w:rFonts w:ascii="Times New Roman" w:hAnsi="Times New Roman" w:cs="Times New Roman"/>
          <w:rFonts w:ascii="Times New Roman" w:hAnsi="Times New Roman"/>
          <w:b w:val="0"/>
          <w:i w:val="0"/>
          <w:sz w:val="24"/>
        </w:rPr>
        <w:t>La evidencia empírica disponible no apoya esta tesis, al menos en los episodios de stress del periodo analizado. Durante el crash de marzo de 2020, el Bitcoin perdió el 50% de su valor en pocas horas, muy por encima de la caída del oro. Durante el crash cripto de 2022, el Bitcoin perdió más del 70% mientras el oro perdía apenas el 5% en el año. La correlación del Bitcoin con los activos de riesgo —especialmente con el Nasdaq— ha resultado ser mucho mayor que la del oro, cuestionando su función como safe haven genuino.</w:t>
      </w:r>
    </w:p>
    <w:p>
      <w:pPr/>
      <w:r>
        <w:rPr>
          <w:rFonts w:ascii="Times New Roman" w:hAnsi="Times New Roman" w:cs="Times New Roman"/>
          <w:rFonts w:ascii="Times New Roman" w:hAnsi="Times New Roman"/>
          <w:b w:val="0"/>
          <w:i w:val="0"/>
          <w:sz w:val="24"/>
        </w:rPr>
        <w:t>Más relevante para este trabajo es la posición del oro respecto al dólar y a los bonos del Tesoro estadounidense como activos de refugio. Los bonos del Tesoro a largo plazo son históricamente el refugio preferido por los inversores anglosajones en periodos de stress: su rendimiento cae (precio sube) cuando la economía se deteriora. Sin embargo, en 2022, los bonos del Tesoro sufrieron su peor año desde 1788 (una caída del 26% en el índice de duración larga) precisamente cuando la inflación hacía que el oro fuera, paradójicamente, más atractivo como alternativa. Este episodio ilustra un cambio de régimen potencial en el que el oro podría estar ganando terreno como reserva de valor frente a los bonos del Tesoro, especialmente entre bancos centrales que desconfían de la deuda denominada en dólares.</w:t>
      </w:r>
    </w:p>
    <w:p>
      <w:pPr>
        <w:pStyle w:val="Heading2"/>
      </w:pPr>
      <w:r>
        <w:t>2.7 Síntesis y marco conceptual del trabajo</w:t>
      </w:r>
    </w:p>
    <w:p>
      <w:pPr/>
      <w:r>
        <w:rPr>
          <w:rFonts w:ascii="Times New Roman" w:hAnsi="Times New Roman" w:cs="Times New Roman"/>
          <w:rFonts w:ascii="Times New Roman" w:hAnsi="Times New Roman"/>
          <w:b w:val="0"/>
          <w:i w:val="0"/>
          <w:sz w:val="24"/>
        </w:rPr>
        <w:t>De la revisión de literatura anterior emerge un marco conceptual claro para el análisis empírico:</w:t>
      </w:r>
    </w:p>
    <w:p>
      <w:pPr/>
      <w:r>
        <w:rPr>
          <w:rFonts w:ascii="Times New Roman" w:hAnsi="Times New Roman" w:cs="Times New Roman"/>
          <w:rFonts w:ascii="Times New Roman" w:hAnsi="Times New Roman"/>
          <w:b w:val="0"/>
          <w:i w:val="0"/>
          <w:sz w:val="24"/>
        </w:rPr>
        <w:t>El precio del oro en el mercado libre es el resultado de la interacción de tres fuerzas: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Fuerzas estructurales de largo plazo:</w:t>
      </w:r>
      <w:r>
        <w:rPr>
          <w:rFonts w:ascii="Times New Roman" w:hAnsi="Times New Roman" w:cs="Times New Roman"/>
          <w:rFonts w:ascii="Times New Roman" w:hAnsi="Times New Roman"/>
          <w:b w:val="0"/>
          <w:i w:val="0"/>
          <w:sz w:val="24"/>
        </w:rPr>
        <w:t xml:space="preserve"> Los tipos de interés reales, el dólar y la inflación establecen el coste de oportunidad y el valor relativo del oro como reserva de valor. Estas fuerzas determinan el "precio real de equilibrio" del oro al que se refieren Erb y Harvey. Son objeto del análisis de cointegración del Capítulo 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Fuerzas de demanda de refugio:</w:t>
      </w:r>
      <w:r>
        <w:rPr>
          <w:rFonts w:ascii="Times New Roman" w:hAnsi="Times New Roman" w:cs="Times New Roman"/>
          <w:rFonts w:ascii="Times New Roman" w:hAnsi="Times New Roman"/>
          <w:b w:val="0"/>
          <w:i w:val="0"/>
          <w:sz w:val="24"/>
        </w:rPr>
        <w:t xml:space="preserve"> En episodios de stress financiero o geopolítico extremo, la demanda del oro como safe haven genera movimientos de precio que se superponen —y a veces contradicen— las señales de las fuerzas estructurales. Son objeto del análisis VAR con regímenes del Capítulo 5 y del análisis GARCH de volatilidad condicional.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Fuerzas estructurales de la demanda física:</w:t>
      </w:r>
      <w:r>
        <w:rPr>
          <w:rFonts w:ascii="Times New Roman" w:hAnsi="Times New Roman" w:cs="Times New Roman"/>
          <w:rFonts w:ascii="Times New Roman" w:hAnsi="Times New Roman"/>
          <w:b w:val="0"/>
          <w:i w:val="0"/>
          <w:sz w:val="24"/>
        </w:rPr>
        <w:t xml:space="preserve"> La compra de bancos centrales, la demanda de joyería de India y China, y la demanda tecnológica generan flujos de largo plazo que pueden persistir independientemente de los fundamentos financieros durante periodos prolongados. Son el factor que mejor explica la "paradoja de 2022-2025" y el elemento más novedoso en la dinámica del oro de la última década.</w:t>
      </w:r>
    </w:p>
    <w:p>
      <w:pPr/>
      <w:r>
        <w:rPr>
          <w:rFonts w:ascii="Times New Roman" w:hAnsi="Times New Roman" w:cs="Times New Roman"/>
          <w:rFonts w:ascii="Times New Roman" w:hAnsi="Times New Roman"/>
          <w:b w:val="0"/>
          <w:i w:val="0"/>
          <w:sz w:val="24"/>
        </w:rPr>
        <w:t>La interacción entre estas tres fuerzas —y la variabilidad de su peso relativo a lo largo del tiempo y entre regímenes de mercado— es lo que hace que el oro sea un activo difícil de modelar con una única ecuación y fácil de malinterpretar con narrativas simplificadas.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Una nota sobre la estrategia econométrica.</w:t>
      </w:r>
      <w:r>
        <w:rPr>
          <w:rFonts w:ascii="Times New Roman" w:hAnsi="Times New Roman" w:cs="Times New Roman"/>
          <w:rFonts w:ascii="Times New Roman" w:hAnsi="Times New Roman"/>
          <w:b w:val="0"/>
          <w:i w:val="0"/>
          <w:sz w:val="24"/>
        </w:rPr>
        <w:t xml:space="preserve"> La complejidad de estas interacciones tiene una consecuencia metodológica directa: la estimación por mínimos cuadrados ordinarios (MCO) ecuación por ecuación sería inadecuada, porque las variables explicativas del oro —el dólar, los tipos de interés reales, el VIX, el S&amp;P 500— no son genuinamente exógenas. El precio del oro también las afecta a ellas, al menos en parte. Estamos, en rigor, ante un sistema de ecuaciones simultáneas en el que la dirección de causalidad fluye en múltiples sentidos. Los Modelos de Ecuaciones Simultáneas (MES) de la econometría clásica formalizan precisamente este problema, y los modelos VAR (</w:t>
      </w:r>
      <w:r>
        <w:rPr>
          <w:rFonts w:ascii="Times New Roman" w:hAnsi="Times New Roman" w:cs="Times New Roman"/>
          <w:rFonts w:ascii="Times New Roman" w:hAnsi="Times New Roman"/>
          <w:b w:val="0"/>
          <w:i/>
          <w:sz w:val="24"/>
        </w:rPr>
        <w:t>Vector Autoregression</w:t>
      </w:r>
      <w:r>
        <w:rPr>
          <w:rFonts w:ascii="Times New Roman" w:hAnsi="Times New Roman" w:cs="Times New Roman"/>
          <w:rFonts w:ascii="Times New Roman" w:hAnsi="Times New Roman"/>
          <w:b w:val="0"/>
          <w:i w:val="0"/>
          <w:sz w:val="24"/>
        </w:rPr>
        <w:t>) constituyen su solución más extendida en la práctica: al no imponer restricciones de identificación a priori y tratar todas las variables simétricamente como endógenas, el VAR evita los sesgos de simultaneidad que contaminarían a MCO. El Capítulo 5 desarrolla esta motivación en detalle.</w:t>
      </w:r>
    </w:p>
    <w:p>
      <w:pPr/>
      <w:r>
        <w:rPr>
          <w:rFonts w:ascii="Times New Roman" w:hAnsi="Times New Roman" w:cs="Times New Roman"/>
          <w:rFonts w:ascii="Times New Roman" w:hAnsi="Times New Roman"/>
          <w:b w:val="0"/>
          <w:i w:val="0"/>
          <w:sz w:val="24"/>
        </w:rPr>
        <w:t>Los capítulos siguientes operacionalizan este marco: el Capítulo 3 justifica la selección de las variables que representan cada una de estas fuerzas; el Capítulo 4 construye el dataset; los Capítulos 5, 6 y 7 estiman los modelos con distintas aproximaciones metodológicas; y el Capítulo 8 responde a las preguntas de investigación a la luz de la evidencia obtenida.</w:t>
      </w:r>
    </w:p>
    <w:p>
      <w:r>
        <w:br w:type="page"/>
      </w:r>
    </w:p>
    <w:p>
      <w:pPr>
        <w:pStyle w:val="Heading1"/>
      </w:pPr>
      <w:r>
        <w:t>Capítulo 3: Catalizadores del precio del oro: identificación y justificación teórica</w:t>
      </w:r>
    </w:p>
    <w:p>
      <w:pPr>
        <w:pStyle w:val="Heading2"/>
      </w:pPr>
      <w:r>
        <w:t>3.1 El problema de la selección de variables</w:t>
      </w:r>
    </w:p>
    <w:p>
      <w:pPr/>
      <w:r>
        <w:rPr>
          <w:rFonts w:ascii="Times New Roman" w:hAnsi="Times New Roman" w:cs="Times New Roman"/>
          <w:rFonts w:ascii="Times New Roman" w:hAnsi="Times New Roman"/>
          <w:b w:val="0"/>
          <w:i w:val="0"/>
          <w:sz w:val="24"/>
        </w:rPr>
        <w:t>Cualquier modelo econométrico o de machine learning que intente explicar el precio del oro enfrenta de inmediato un problema de selección: ¿qué variables incluir y cuáles dejar fuera? La tentación es incluir todo lo que tenga correlación estadística con el oro —y la lista sería interminable—, pero un modelo con demasiadas variables pierde parsimonia, gana ruido y se vuelve difícil de interpretar y de defender.</w:t>
      </w:r>
    </w:p>
    <w:p>
      <w:pPr/>
      <w:r>
        <w:rPr>
          <w:rFonts w:ascii="Times New Roman" w:hAnsi="Times New Roman" w:cs="Times New Roman"/>
          <w:rFonts w:ascii="Times New Roman" w:hAnsi="Times New Roman"/>
          <w:b w:val="0"/>
          <w:i w:val="0"/>
          <w:sz w:val="24"/>
        </w:rPr>
        <w:t xml:space="preserve">Este capítulo establece el conjunto de catalizadores del modelo siguiendo un principio doble: cada variable incluida debe tener (1) una </w:t>
      </w:r>
      <w:r>
        <w:rPr>
          <w:rFonts w:ascii="Times New Roman" w:hAnsi="Times New Roman" w:cs="Times New Roman"/>
          <w:rFonts w:ascii="Times New Roman" w:hAnsi="Times New Roman"/>
          <w:b/>
          <w:i w:val="0"/>
          <w:sz w:val="24"/>
        </w:rPr>
        <w:t>justificación teórica sólida</w:t>
      </w:r>
      <w:r>
        <w:rPr>
          <w:rFonts w:ascii="Times New Roman" w:hAnsi="Times New Roman" w:cs="Times New Roman"/>
          <w:rFonts w:ascii="Times New Roman" w:hAnsi="Times New Roman"/>
          <w:b w:val="0"/>
          <w:i w:val="0"/>
          <w:sz w:val="24"/>
        </w:rPr>
        <w:t xml:space="preserve"> que preceda al análisis de los datos —es decir, hay una razón económica </w:t>
      </w:r>
      <w:r>
        <w:rPr>
          <w:rFonts w:ascii="Times New Roman" w:hAnsi="Times New Roman" w:cs="Times New Roman"/>
          <w:rFonts w:ascii="Times New Roman" w:hAnsi="Times New Roman"/>
          <w:b w:val="0"/>
          <w:i/>
          <w:sz w:val="24"/>
        </w:rPr>
        <w:t>a priori</w:t>
      </w:r>
      <w:r>
        <w:rPr>
          <w:rFonts w:ascii="Times New Roman" w:hAnsi="Times New Roman" w:cs="Times New Roman"/>
          <w:rFonts w:ascii="Times New Roman" w:hAnsi="Times New Roman"/>
          <w:b w:val="0"/>
          <w:i w:val="0"/>
          <w:sz w:val="24"/>
        </w:rPr>
        <w:t xml:space="preserve"> por la que esa variable debería afectar al precio del oro— y (2) </w:t>
      </w:r>
      <w:r>
        <w:rPr>
          <w:rFonts w:ascii="Times New Roman" w:hAnsi="Times New Roman" w:cs="Times New Roman"/>
          <w:rFonts w:ascii="Times New Roman" w:hAnsi="Times New Roman"/>
          <w:b/>
          <w:i w:val="0"/>
          <w:sz w:val="24"/>
        </w:rPr>
        <w:t>disponibilidad empírica</w:t>
      </w:r>
      <w:r>
        <w:rPr>
          <w:rFonts w:ascii="Times New Roman" w:hAnsi="Times New Roman" w:cs="Times New Roman"/>
          <w:rFonts w:ascii="Times New Roman" w:hAnsi="Times New Roman"/>
          <w:b w:val="0"/>
          <w:i w:val="0"/>
          <w:sz w:val="24"/>
        </w:rPr>
        <w:t xml:space="preserve"> en series temporales mensuales para el periodo 2000-2025 a través de fuentes gratuitas y reproducibles. Las variables que solo satisfacen uno de los dos criterios no se incluyen en el modelo principal, aunque pueden aparecer como alternativas en el análisis de robustez.</w:t>
      </w:r>
    </w:p>
    <w:p>
      <w:pPr/>
      <w:r>
        <w:rPr>
          <w:rFonts w:ascii="Times New Roman" w:hAnsi="Times New Roman" w:cs="Times New Roman"/>
          <w:rFonts w:ascii="Times New Roman" w:hAnsi="Times New Roman"/>
          <w:b w:val="0"/>
          <w:i w:val="0"/>
          <w:sz w:val="24"/>
        </w:rPr>
        <w:t xml:space="preserve">El resultado es un conjunto de </w:t>
      </w:r>
      <w:r>
        <w:rPr>
          <w:rFonts w:ascii="Times New Roman" w:hAnsi="Times New Roman" w:cs="Times New Roman"/>
          <w:rFonts w:ascii="Times New Roman" w:hAnsi="Times New Roman"/>
          <w:b/>
          <w:i w:val="0"/>
          <w:sz w:val="24"/>
        </w:rPr>
        <w:t>ocho catalizadores</w:t>
      </w:r>
      <w:r>
        <w:rPr>
          <w:rFonts w:ascii="Times New Roman" w:hAnsi="Times New Roman" w:cs="Times New Roman"/>
          <w:rFonts w:ascii="Times New Roman" w:hAnsi="Times New Roman"/>
          <w:b w:val="0"/>
          <w:i w:val="0"/>
          <w:sz w:val="24"/>
        </w:rPr>
        <w:t xml:space="preserve"> organizados en tres bloques funcionales: variables financieras y monetarias (las que determinan el coste de oportunidad del oro), variables de mercado y riesgo (las que capturan la demanda de refugio), y variables de demanda estructural y sentimiento (las que reflejan flujos físicos y de inversión). Al final del capítulo se presenta la especificación formal del modelo que será estimado en los Capítulos 5 y 6.</w:t>
      </w:r>
    </w:p>
    <w:p>
      <w:pPr>
        <w:pStyle w:val="Heading2"/>
      </w:pPr>
      <w:r>
        <w:t>3.2 Bloque I — Variables financieras y monetarias</w:t>
      </w:r>
    </w:p>
    <w:p>
      <w:pPr>
        <w:pStyle w:val="Heading3"/>
      </w:pPr>
      <w:r>
        <w:t>3.2.1 Índice del dólar estadounidense (DXY)</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El oro se cotiza universalmente en dólares estadounidenses. Esta convención, heredada del sistema de Bretton Woods, genera una relación de doble causalidad entre la divisa americana y el metal: cuando el dólar se deprecia, el poder adquisitivo de los inversores no estadounidenses aumenta automáticamente en términos de su divisa local, lo que reduce el precio efectivo del oro para ellos y estimula la demanda. Simultáneamente, un dólar débil suele reflejar condiciones monetarias laxas en Estados Unidos —tipos bajos, expansión cuantitativa— que reducen el coste de oportunidad de mantener oro. Ambos canales operan en la misma dirección, reforzando la correlación inversa estructural.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Evidencia empírica.</w:t>
      </w:r>
      <w:r>
        <w:rPr>
          <w:rFonts w:ascii="Times New Roman" w:hAnsi="Times New Roman" w:cs="Times New Roman"/>
          <w:rFonts w:ascii="Times New Roman" w:hAnsi="Times New Roman"/>
          <w:b w:val="0"/>
          <w:i w:val="0"/>
          <w:sz w:val="24"/>
        </w:rPr>
        <w:t xml:space="preserve"> Beckers y Soenen (1984) fueron los primeros en documentar sistemáticamente la relación inversa entre el dólar y el oro. Investigación más reciente, utilizando datos mensuales del periodo 1976-2017, estima que un aumento del 1% en el valor del dólar deprime el precio del oro en un 3,09% en el régimen típico de mercado (IMI Working Paper, 2020). A lo largo de la última década, el coeficiente de correlación entre el oro y el DXY se ha situado en torno a -0,7, lo que lo convierte en uno de los predictores lineales más potentes del conjunto (CME Group, 2025).</w:t>
      </w:r>
    </w:p>
    <w:p>
      <w:pPr/>
      <w:r>
        <w:rPr>
          <w:rFonts w:ascii="Times New Roman" w:hAnsi="Times New Roman" w:cs="Times New Roman"/>
          <w:rFonts w:ascii="Times New Roman" w:hAnsi="Times New Roman"/>
          <w:b w:val="0"/>
          <w:i w:val="0"/>
          <w:sz w:val="24"/>
        </w:rPr>
        <w:t>Sin embargo, la relación no es estrictamente lineal ni siempre estable. Durante episodios de stress extremo —como el crash de marzo de 2020— ambos activos suben simultáneamente porque la demanda de liquidez en dólares y la demanda de refugio en oro operan a la vez. Este comportamiento no lineal justifica la utilización de modelos VAR con regímenes y de machine learning que pueden capturar estas discontinuidades.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Se utilizará el </w:t>
      </w:r>
      <w:r>
        <w:rPr>
          <w:rFonts w:ascii="Times New Roman" w:hAnsi="Times New Roman" w:cs="Times New Roman"/>
          <w:rFonts w:ascii="Times New Roman" w:hAnsi="Times New Roman"/>
          <w:b w:val="0"/>
          <w:i/>
          <w:sz w:val="24"/>
        </w:rPr>
        <w:t>US Dollar Index</w:t>
      </w:r>
      <w:r>
        <w:rPr>
          <w:rFonts w:ascii="Times New Roman" w:hAnsi="Times New Roman" w:cs="Times New Roman"/>
          <w:rFonts w:ascii="Times New Roman" w:hAnsi="Times New Roman"/>
          <w:b w:val="0"/>
          <w:i w:val="0"/>
          <w:sz w:val="24"/>
        </w:rPr>
        <w:t xml:space="preserve"> (DXY), publicado por el ICE (Intercontinental Exchange), disponible en FRED (código `DTWEXBGS`, tipo de cambio efectivo nominal amplio) con frecuencia mensual desde 1973. La variable entra en el modelo en niveles logarítmicos, con signo esperado negativo: $\beta_{DXY} &lt; 0$.</w:t>
      </w:r>
    </w:p>
    <w:p>
      <w:pPr>
        <w:pStyle w:val="Heading3"/>
      </w:pPr>
      <w:r>
        <w:t>3.2.2 Tipos de interés reales (TIPS yield a 10 años)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Esta es, junto con el dólar, la variable más importante del modelo. El oro es un activo que no genera rendimientos: no paga intereses, dividendos ni cupones. Por tanto, mantener oro tiene un </w:t>
      </w:r>
      <w:r>
        <w:rPr>
          <w:rFonts w:ascii="Times New Roman" w:hAnsi="Times New Roman" w:cs="Times New Roman"/>
          <w:rFonts w:ascii="Times New Roman" w:hAnsi="Times New Roman"/>
          <w:b/>
          <w:i w:val="0"/>
          <w:sz w:val="24"/>
        </w:rPr>
        <w:t>coste de oportunidad</w:t>
      </w:r>
      <w:r>
        <w:rPr>
          <w:rFonts w:ascii="Times New Roman" w:hAnsi="Times New Roman" w:cs="Times New Roman"/>
          <w:rFonts w:ascii="Times New Roman" w:hAnsi="Times New Roman"/>
          <w:b w:val="0"/>
          <w:i w:val="0"/>
          <w:sz w:val="24"/>
        </w:rPr>
        <w:t xml:space="preserve"> que es precisamente el rendimiento real que se podría obtener invirtiendo en activos alternativos seguros —en la práctica, los bonos del Tesoro estadounidense indexados a la inflación (TIPS). Cuando los tipos reales suben, el coste de oportunidad de tener oro aumenta, lo que debería presionar el precio a la baja. Cuando los tipos reales caen —o se vuelven negativos, como ocurrió en 2020-2021— ese coste desaparece y el oro se vuelve relativamente más atractivo.</w:t>
      </w:r>
    </w:p>
    <w:p>
      <w:pPr/>
      <w:r>
        <w:rPr>
          <w:rFonts w:ascii="Times New Roman" w:hAnsi="Times New Roman" w:cs="Times New Roman"/>
          <w:rFonts w:ascii="Times New Roman" w:hAnsi="Times New Roman"/>
          <w:b w:val="0"/>
          <w:i w:val="0"/>
          <w:sz w:val="24"/>
        </w:rPr>
        <w:t>Este mecanismo está respaldado por la teoría del valor presente: el oro puede modelarse como un activo de "duración infinita" que produce un único flujo de caja implícito —su valor de liquidación futuro— descontado a la tasa real libre de riesgo. Un descenso en esa tasa aumenta el valor presente del activo, exactamente igual que con cualquier bono de larga duración.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Evidencia empírica.</w:t>
      </w:r>
      <w:r>
        <w:rPr>
          <w:rFonts w:ascii="Times New Roman" w:hAnsi="Times New Roman" w:cs="Times New Roman"/>
          <w:rFonts w:ascii="Times New Roman" w:hAnsi="Times New Roman"/>
          <w:b w:val="0"/>
          <w:i w:val="0"/>
          <w:sz w:val="24"/>
        </w:rPr>
        <w:t xml:space="preserve"> Erb y Harvey (2013) documentan una correlación de </w:t>
      </w:r>
      <w:r>
        <w:rPr>
          <w:rFonts w:ascii="Times New Roman" w:hAnsi="Times New Roman" w:cs="Times New Roman"/>
          <w:rFonts w:ascii="Times New Roman" w:hAnsi="Times New Roman"/>
          <w:b/>
          <w:i w:val="0"/>
          <w:sz w:val="24"/>
        </w:rPr>
        <w:t>-0,82</w:t>
      </w:r>
      <w:r>
        <w:rPr>
          <w:rFonts w:ascii="Times New Roman" w:hAnsi="Times New Roman" w:cs="Times New Roman"/>
          <w:rFonts w:ascii="Times New Roman" w:hAnsi="Times New Roman"/>
          <w:b w:val="0"/>
          <w:i w:val="0"/>
          <w:sz w:val="24"/>
        </w:rPr>
        <w:t xml:space="preserve"> entre los tipos reales a 10 años y el precio real del oro para el periodo 1997-2012, la más alta de todas las variables candidatas. El Chicago Fed (2021) confirma que esta relación inversa se sostiene en los tres horizontes temporales analizados: niveles anuales, innovaciones trimestrales y diferencias diarias. El dato más ilustrativo: entre 2001 y 2012, una caída de 400 puntos básicos en el tipo real a 10 años se acompañó de una multiplicación por cinco del precio real del oro.</w:t>
      </w:r>
    </w:p>
    <w:p>
      <w:pPr/>
      <w:r>
        <w:rPr>
          <w:rFonts w:ascii="Times New Roman" w:hAnsi="Times New Roman" w:cs="Times New Roman"/>
          <w:rFonts w:ascii="Times New Roman" w:hAnsi="Times New Roman"/>
          <w:b w:val="0"/>
          <w:i w:val="0"/>
          <w:sz w:val="24"/>
        </w:rPr>
        <w:t>El episodio de 2022-2023 matiza esta relación sin invalidarla: los tipos reales pasaron de -1% a +2,5% en menos de dieciocho meses, pero el oro no colapsó como habría predicho el modelo. Esto no refuta el mecanismo —el coste de oportunidad sí ejerció presión bajista— sino que ilustra que otras variables (demanda de bancos centrales, tensión geopolítica) operaron en sentido contrario con suficiente fuerza como para compensarlo. Este tipo de dinámica compensatoria es precisamente lo que el modelo multivariante y el análisis SHAP del Capítulo 6 están diseñados para descomponer.</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Se utilizará el rendimiento del TIPS a 10 años (código FRED: `DFII10`), disponible mensualmente desde enero de 2003. Para el periodo 2000-2002, se imputará el tipo real construido como la diferencia entre el bono nominal a 10 años (`DGS10`) y el breakeven de inflación (`T10YIE`), siguiendo la metodología estándar de la literatura. El signo esperado es negativo: $\beta_{TIPS} &lt; 0$.</w:t>
      </w:r>
    </w:p>
    <w:p>
      <w:pPr>
        <w:pStyle w:val="Heading3"/>
      </w:pPr>
      <w:r>
        <w:t>3.2.3 Inflación: IPC y *breakeven* de inflación a 10 años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La inflación afecta al oro por dos canales distintos que conviene separar conceptualmente. El primero es el </w:t>
      </w:r>
      <w:r>
        <w:rPr>
          <w:rFonts w:ascii="Times New Roman" w:hAnsi="Times New Roman" w:cs="Times New Roman"/>
          <w:rFonts w:ascii="Times New Roman" w:hAnsi="Times New Roman"/>
          <w:b/>
          <w:i w:val="0"/>
          <w:sz w:val="24"/>
        </w:rPr>
        <w:t>canal de reserva de valor</w:t>
      </w:r>
      <w:r>
        <w:rPr>
          <w:rFonts w:ascii="Times New Roman" w:hAnsi="Times New Roman" w:cs="Times New Roman"/>
          <w:rFonts w:ascii="Times New Roman" w:hAnsi="Times New Roman"/>
          <w:b w:val="0"/>
          <w:i w:val="0"/>
          <w:sz w:val="24"/>
        </w:rPr>
        <w:t xml:space="preserve">: si los inversores anticipan que el poder adquisitivo del dinero va a deteriorarse, demandan activos que no puedan ser inflados por los bancos centrales, y el oro —cuya oferta crece apenas un 1,5% anual por la minería— es el candidato histórico por excelencia. El segundo canal es el </w:t>
      </w:r>
      <w:r>
        <w:rPr>
          <w:rFonts w:ascii="Times New Roman" w:hAnsi="Times New Roman" w:cs="Times New Roman"/>
          <w:rFonts w:ascii="Times New Roman" w:hAnsi="Times New Roman"/>
          <w:b/>
          <w:i w:val="0"/>
          <w:sz w:val="24"/>
        </w:rPr>
        <w:t>canal de tipos reales</w:t>
      </w:r>
      <w:r>
        <w:rPr>
          <w:rFonts w:ascii="Times New Roman" w:hAnsi="Times New Roman" w:cs="Times New Roman"/>
          <w:rFonts w:ascii="Times New Roman" w:hAnsi="Times New Roman"/>
          <w:b w:val="0"/>
          <w:i w:val="0"/>
          <w:sz w:val="24"/>
        </w:rPr>
        <w:t>: la inflación, al reducir el rendimiento real de los bonos nominales, baja el coste de oportunidad del oro de forma indirecta. Ambos canales predicen una relación positiva entre inflación y precio del oro.</w:t>
      </w:r>
    </w:p>
    <w:p>
      <w:pPr/>
      <w:r>
        <w:rPr>
          <w:rFonts w:ascii="Times New Roman" w:hAnsi="Times New Roman" w:cs="Times New Roman"/>
          <w:rFonts w:ascii="Times New Roman" w:hAnsi="Times New Roman"/>
          <w:b w:val="0"/>
          <w:i w:val="0"/>
          <w:sz w:val="24"/>
        </w:rPr>
        <w:t xml:space="preserve">Sin embargo, como documentan Erb y Harvey (2013), esta relación es mucho más débil e inestable en la práctica de lo que sugiere la narrativa popular. La razón es que los mercados son prospectivos: lo que importa no es la inflación observada hoy, sino la inflación </w:t>
      </w:r>
      <w:r>
        <w:rPr>
          <w:rFonts w:ascii="Times New Roman" w:hAnsi="Times New Roman" w:cs="Times New Roman"/>
          <w:rFonts w:ascii="Times New Roman" w:hAnsi="Times New Roman"/>
          <w:b w:val="0"/>
          <w:i/>
          <w:sz w:val="24"/>
        </w:rPr>
        <w:t>esperada</w:t>
      </w:r>
      <w:r>
        <w:rPr>
          <w:rFonts w:ascii="Times New Roman" w:hAnsi="Times New Roman" w:cs="Times New Roman"/>
          <w:rFonts w:ascii="Times New Roman" w:hAnsi="Times New Roman"/>
          <w:b w:val="0"/>
          <w:i w:val="0"/>
          <w:sz w:val="24"/>
        </w:rPr>
        <w:t xml:space="preserve"> para el futuro. El IPC mide la inflación pasada; los </w:t>
      </w:r>
      <w:r>
        <w:rPr>
          <w:rFonts w:ascii="Times New Roman" w:hAnsi="Times New Roman" w:cs="Times New Roman"/>
          <w:rFonts w:ascii="Times New Roman" w:hAnsi="Times New Roman"/>
          <w:b w:val="0"/>
          <w:i/>
          <w:sz w:val="24"/>
        </w:rPr>
        <w:t>breakevens</w:t>
      </w:r>
      <w:r>
        <w:rPr>
          <w:rFonts w:ascii="Times New Roman" w:hAnsi="Times New Roman" w:cs="Times New Roman"/>
          <w:rFonts w:ascii="Times New Roman" w:hAnsi="Times New Roman"/>
          <w:b w:val="0"/>
          <w:i w:val="0"/>
          <w:sz w:val="24"/>
        </w:rPr>
        <w:t xml:space="preserve"> de inflación —el diferencial de rendimiento entre bonos nominales y TIPS— miden la inflación que el mercado espera en el futuro. Para un modelo predictivo, los </w:t>
      </w:r>
      <w:r>
        <w:rPr>
          <w:rFonts w:ascii="Times New Roman" w:hAnsi="Times New Roman" w:cs="Times New Roman"/>
          <w:rFonts w:ascii="Times New Roman" w:hAnsi="Times New Roman"/>
          <w:b w:val="0"/>
          <w:i/>
          <w:sz w:val="24"/>
        </w:rPr>
        <w:t>breakevens</w:t>
      </w:r>
      <w:r>
        <w:rPr>
          <w:rFonts w:ascii="Times New Roman" w:hAnsi="Times New Roman" w:cs="Times New Roman"/>
          <w:rFonts w:ascii="Times New Roman" w:hAnsi="Times New Roman"/>
          <w:b w:val="0"/>
          <w:i w:val="0"/>
          <w:sz w:val="24"/>
        </w:rPr>
        <w:t xml:space="preserve"> son informativamente superiores al IPC.</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Variables en el modelo.</w:t>
      </w:r>
      <w:r>
        <w:rPr>
          <w:rFonts w:ascii="Times New Roman" w:hAnsi="Times New Roman" w:cs="Times New Roman"/>
          <w:rFonts w:ascii="Times New Roman" w:hAnsi="Times New Roman"/>
          <w:b w:val="0"/>
          <w:i w:val="0"/>
          <w:sz w:val="24"/>
        </w:rPr>
        <w:t xml:space="preserve"> Se incluirán </w:t>
      </w:r>
      <w:r>
        <w:rPr>
          <w:rFonts w:ascii="Times New Roman" w:hAnsi="Times New Roman" w:cs="Times New Roman"/>
          <w:rFonts w:ascii="Times New Roman" w:hAnsi="Times New Roman"/>
          <w:b/>
          <w:i w:val="0"/>
          <w:sz w:val="24"/>
        </w:rPr>
        <w:t>dos proxies de inflación</w:t>
      </w:r>
      <w:r>
        <w:rPr>
          <w:rFonts w:ascii="Times New Roman" w:hAnsi="Times New Roman" w:cs="Times New Roman"/>
          <w:rFonts w:ascii="Times New Roman" w:hAnsi="Times New Roman"/>
          <w:b w:val="0"/>
          <w:i w:val="0"/>
          <w:sz w:val="24"/>
        </w:rPr>
        <w:t>:</w:t>
      </w:r>
    </w:p>
    <w:p>
      <w:pP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i w:val="0"/>
          <w:sz w:val="24"/>
        </w:rPr>
        <w:t>IPC general de EE.UU.</w:t>
      </w:r>
      <w:r>
        <w:rPr>
          <w:rFonts w:ascii="Times New Roman" w:hAnsi="Times New Roman" w:cs="Times New Roman"/>
          <w:rFonts w:ascii="Times New Roman" w:hAnsi="Times New Roman"/>
          <w:b w:val="0"/>
          <w:i w:val="0"/>
          <w:sz w:val="24"/>
        </w:rPr>
        <w:t xml:space="preserve"> (código FRED: `CPIAUCSL`), transformado en tasa de variación anual para obtener estacionariedad. Captura la inflación realizada y su efecto sobre los tipos reales ex-post.</w:t>
      </w:r>
    </w:p>
    <w:p>
      <w:pPr/>
      <w:r>
        <w:rPr>
          <w:rFonts w:ascii="Times New Roman" w:hAnsi="Times New Roman" w:cs="Times New Roman"/>
          <w:rFonts w:ascii="Times New Roman" w:hAnsi="Times New Roman"/>
          <w:b w:val="0"/>
          <w:i w:val="0"/>
          <w:sz w:val="24"/>
        </w:rPr>
        <w:t>- **</w:t>
      </w:r>
      <w:r>
        <w:rPr>
          <w:rFonts w:ascii="Times New Roman" w:hAnsi="Times New Roman" w:cs="Times New Roman"/>
          <w:rFonts w:ascii="Times New Roman" w:hAnsi="Times New Roman"/>
          <w:b w:val="0"/>
          <w:i/>
          <w:sz w:val="24"/>
        </w:rPr>
        <w:t>Breakeven</w:t>
      </w:r>
      <w:r>
        <w:rPr>
          <w:rFonts w:ascii="Times New Roman" w:hAnsi="Times New Roman" w:cs="Times New Roman"/>
          <w:rFonts w:ascii="Times New Roman" w:hAnsi="Times New Roman"/>
          <w:b w:val="0"/>
          <w:i w:val="0"/>
          <w:sz w:val="24"/>
        </w:rPr>
        <w:t xml:space="preserve"> de inflación a 10 años** (código FRED: `T10YIE`), que mide la inflación esperada por el mercado y es la variable más relevante para la demanda de cobertura prospectiva. Disponible mensualmente desde enero de 2003.</w:t>
      </w:r>
    </w:p>
    <w:p>
      <w:pPr/>
      <w:r>
        <w:rPr>
          <w:rFonts w:ascii="Times New Roman" w:hAnsi="Times New Roman" w:cs="Times New Roman"/>
          <w:rFonts w:ascii="Times New Roman" w:hAnsi="Times New Roman"/>
          <w:b w:val="0"/>
          <w:i w:val="0"/>
          <w:sz w:val="24"/>
        </w:rPr>
        <w:t xml:space="preserve">Ambas variables entran con signo esperado positivo: $\beta_{CPI} &gt; 0$, $\beta_{BE} &gt; 0$. En caso de multicolinealidad severa entre ambas —esperada, dado que miden fenómenos relacionados— se optará por incluir únicamente el </w:t>
      </w:r>
      <w:r>
        <w:rPr>
          <w:rFonts w:ascii="Times New Roman" w:hAnsi="Times New Roman" w:cs="Times New Roman"/>
          <w:rFonts w:ascii="Times New Roman" w:hAnsi="Times New Roman"/>
          <w:b w:val="0"/>
          <w:i/>
          <w:sz w:val="24"/>
        </w:rPr>
        <w:t>breakeven</w:t>
      </w:r>
      <w:r>
        <w:rPr>
          <w:rFonts w:ascii="Times New Roman" w:hAnsi="Times New Roman" w:cs="Times New Roman"/>
          <w:rFonts w:ascii="Times New Roman" w:hAnsi="Times New Roman"/>
          <w:b w:val="0"/>
          <w:i w:val="0"/>
          <w:sz w:val="24"/>
        </w:rPr>
        <w:t xml:space="preserve"> en el modelo principal y el IPC como variable de robustez.</w:t>
      </w:r>
    </w:p>
    <w:p>
      <w:pPr>
        <w:pStyle w:val="Heading2"/>
      </w:pPr>
      <w:r>
        <w:t>3.3 Bloque II — Variables de mercado y riesgo</w:t>
      </w:r>
    </w:p>
    <w:p>
      <w:pPr>
        <w:pStyle w:val="Heading3"/>
      </w:pPr>
      <w:r>
        <w:t>3.3.1 Índice de volatilidad implícita del mercado (VIX)</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El VIX, publicado por el CBOE (</w:t>
      </w:r>
      <w:r>
        <w:rPr>
          <w:rFonts w:ascii="Times New Roman" w:hAnsi="Times New Roman" w:cs="Times New Roman"/>
          <w:rFonts w:ascii="Times New Roman" w:hAnsi="Times New Roman"/>
          <w:b w:val="0"/>
          <w:i/>
          <w:sz w:val="24"/>
        </w:rPr>
        <w:t>Chicago Board Options Exchange</w:t>
      </w:r>
      <w:r>
        <w:rPr>
          <w:rFonts w:ascii="Times New Roman" w:hAnsi="Times New Roman" w:cs="Times New Roman"/>
          <w:rFonts w:ascii="Times New Roman" w:hAnsi="Times New Roman"/>
          <w:b w:val="0"/>
          <w:i w:val="0"/>
          <w:sz w:val="24"/>
        </w:rPr>
        <w:t>), mide la volatilidad implícita del S&amp;P 500 a 30 días derivada de los precios de las opciones. Es el indicador más utilizado en la literatura financiera como proxy del miedo o la incertidumbre del mercado, y coloquialmente se le conoce como el "índice del miedo". Su relevancia para el precio del oro tiene dos canales:</w:t>
      </w:r>
    </w:p>
    <w:p>
      <w:pPr/>
      <w:r>
        <w:rPr>
          <w:rFonts w:ascii="Times New Roman" w:hAnsi="Times New Roman" w:cs="Times New Roman"/>
          <w:rFonts w:ascii="Times New Roman" w:hAnsi="Times New Roman"/>
          <w:b w:val="0"/>
          <w:i w:val="0"/>
          <w:sz w:val="24"/>
        </w:rPr>
        <w:t xml:space="preserve">El primero es el </w:t>
      </w:r>
      <w:r>
        <w:rPr>
          <w:rFonts w:ascii="Times New Roman" w:hAnsi="Times New Roman" w:cs="Times New Roman"/>
          <w:rFonts w:ascii="Times New Roman" w:hAnsi="Times New Roman"/>
          <w:b/>
          <w:i w:val="0"/>
          <w:sz w:val="24"/>
        </w:rPr>
        <w:t>canal de demanda de refugio</w:t>
      </w:r>
      <w:r>
        <w:rPr>
          <w:rFonts w:ascii="Times New Roman" w:hAnsi="Times New Roman" w:cs="Times New Roman"/>
          <w:rFonts w:ascii="Times New Roman" w:hAnsi="Times New Roman"/>
          <w:b w:val="0"/>
          <w:i w:val="0"/>
          <w:sz w:val="24"/>
        </w:rPr>
        <w:t xml:space="preserve">: cuando la volatilidad financiera se dispara, los inversores buscan activos que preserven valor independientemente de lo que ocurra en los mercados de renta variable. El oro, como documentan Baur y McDermott (2010), actúa como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en estos episodios, lo que genera una correlación positiva entre VIX y precio del oro en periodos de stress.</w:t>
      </w:r>
    </w:p>
    <w:p>
      <w:pPr/>
      <w:r>
        <w:rPr>
          <w:rFonts w:ascii="Times New Roman" w:hAnsi="Times New Roman" w:cs="Times New Roman"/>
          <w:rFonts w:ascii="Times New Roman" w:hAnsi="Times New Roman"/>
          <w:b w:val="0"/>
          <w:i w:val="0"/>
          <w:sz w:val="24"/>
        </w:rPr>
        <w:t xml:space="preserve">El segundo es el </w:t>
      </w:r>
      <w:r>
        <w:rPr>
          <w:rFonts w:ascii="Times New Roman" w:hAnsi="Times New Roman" w:cs="Times New Roman"/>
          <w:rFonts w:ascii="Times New Roman" w:hAnsi="Times New Roman"/>
          <w:b/>
          <w:i w:val="0"/>
          <w:sz w:val="24"/>
        </w:rPr>
        <w:t>canal de apetito de riesgo</w:t>
      </w:r>
      <w:r>
        <w:rPr>
          <w:rFonts w:ascii="Times New Roman" w:hAnsi="Times New Roman" w:cs="Times New Roman"/>
          <w:rFonts w:ascii="Times New Roman" w:hAnsi="Times New Roman"/>
          <w:b w:val="0"/>
          <w:i w:val="0"/>
          <w:sz w:val="24"/>
        </w:rPr>
        <w:t>: en condiciones de calma —VIX bajo— los inversores prefieren activos de mayor rentabilidad y reducen su exposición a oro. En condiciones de pánico —VIX alto— la demanda de refugio eleva el precio del metal independientemente de sus fundamentales económicos.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Evidencia empírica.</w:t>
      </w:r>
      <w:r>
        <w:rPr>
          <w:rFonts w:ascii="Times New Roman" w:hAnsi="Times New Roman" w:cs="Times New Roman"/>
          <w:rFonts w:ascii="Times New Roman" w:hAnsi="Times New Roman"/>
          <w:b w:val="0"/>
          <w:i w:val="0"/>
          <w:sz w:val="24"/>
        </w:rPr>
        <w:t xml:space="preserve"> La investigación académica confirma que el VIX impacta positivamente en el precio del oro en el corto plazo, y que esta relación es más pronunciada en los percentiles extremos de la distribución del VIX —exactamente el tipo de relación no lineal que los modelos de machine learning capturan mejor que la econometría lineal clásica. Un estudio de Claremont College (Firth, 2019) documenta que durante los episodios de VIX superior a 30 (crisis aguda), la correlación semanal entre VIX y precio del oro se vuelve positiva y estadísticamente significativa, mientras que en entornos de VIX bajo la correlación es prácticamente nula.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Se utilizará el VIX en niveles (código FRED: `VIXCLS`), con frecuencia mensual calculada como media de los valores diarios del mes. El signo esperado es positivo: $\beta_{VIX} &gt; 0$, con la advertencia de que este efecto puede ser no lineal y dependiente del régimen de mercado.</w:t>
      </w:r>
    </w:p>
    <w:p>
      <w:pPr>
        <w:pStyle w:val="Heading3"/>
      </w:pPr>
      <w:r>
        <w:t>3.3.2 Índice bursátil S&amp;P 500</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La renta variable estadounidense —representada por el S&amp;P 500— entra en el modelo como proxy del ciclo de apetito de riesgo global. La teoría predice una relación negativa entre el S&amp;P 500 y el oro en el largo plazo: cuando los mercados de acciones prosperan, los inversores reducen su exposición defensiva al oro en favor de activos con mayor potencial de retorno. Cuando las bolsas caen severamente, ocurre el proceso inverso.</w:t>
      </w:r>
    </w:p>
    <w:p>
      <w:pPr/>
      <w:r>
        <w:rPr>
          <w:rFonts w:ascii="Times New Roman" w:hAnsi="Times New Roman" w:cs="Times New Roman"/>
          <w:rFonts w:ascii="Times New Roman" w:hAnsi="Times New Roman"/>
          <w:b w:val="0"/>
          <w:i w:val="0"/>
          <w:sz w:val="24"/>
        </w:rPr>
        <w:t xml:space="preserve">Sin embargo, esta relación es mucho más compleja que una simple correlación negativa. En periodos de expansión económica moderada, el S&amp;P 500 y el oro pueden subir simultáneamente, porque el crecimiento genera tanto beneficios empresariales como expectativas inflacionarias. La correlación negativa se materializa principalmente en los episodios de crisis, cuando el oro actúa como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y los inversores rotan desde renta variable hacia activos de refugio.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Se utilizará el S&amp;P 500 en logaritmos (descargado de Yahoo Finance, código `^GSPC`), transformado en retorno mensual para la especificación dinámica. El signo esperado es negativo —una subida bursátil reduce la demanda de oro— aunque con la precaución de que esta relación es especialmente inestable en el tiempo: $\beta_{SP500} &lt; 0$.</w:t>
      </w:r>
    </w:p>
    <w:p>
      <w:pPr>
        <w:pStyle w:val="Heading3"/>
      </w:pPr>
      <w:r>
        <w:t>3.3.3 Precio del petróleo (WTI)</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La relación entre el oro y el petróleo opera a través de tres canales distintos, lo que hace del WTI una variable especialmente rica para el análisis: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Canal de costes de extracción</w:t>
      </w:r>
      <w:r>
        <w:rPr>
          <w:rFonts w:ascii="Times New Roman" w:hAnsi="Times New Roman" w:cs="Times New Roman"/>
          <w:rFonts w:ascii="Times New Roman" w:hAnsi="Times New Roman"/>
          <w:b w:val="0"/>
          <w:i w:val="0"/>
          <w:sz w:val="24"/>
        </w:rPr>
        <w:t>: El petróleo es un insumo fundamental en la minería del oro —para alimentar la maquinaria, el transporte y el procesado del mineral—. Un incremento sostenido en el precio del petróleo eleva los costes de producción de las minas de oro, reduciendo la oferta e impulsando el precio al alza. Este canal opera lentamente y es más visible a horizontes de varios trimestres.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Canal de tensión geopolítica</w:t>
      </w:r>
      <w:r>
        <w:rPr>
          <w:rFonts w:ascii="Times New Roman" w:hAnsi="Times New Roman" w:cs="Times New Roman"/>
          <w:rFonts w:ascii="Times New Roman" w:hAnsi="Times New Roman"/>
          <w:b w:val="0"/>
          <w:i w:val="0"/>
          <w:sz w:val="24"/>
        </w:rPr>
        <w:t>: El petróleo y el oro reaccionan simultáneamente a los episodios de inestabilidad geopolítica. Las guerras, las sanciones y los conflictos en regiones productoras de crudo (Oriente Medio, Rusia) elevan el precio del petróleo y, a la vez, disparan la demanda de oro como refugio. En este sentido, el WTI actúa como proxy de la tensión geopolítica global, capturando información que los índices de riesgo geopolítico explícitos (como el GPR de Caldara y Iacoviello) también recogen pero que es más difícil de obtener en series largas y homogéneas.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Canal macroeconómico</w:t>
      </w:r>
      <w:r>
        <w:rPr>
          <w:rFonts w:ascii="Times New Roman" w:hAnsi="Times New Roman" w:cs="Times New Roman"/>
          <w:rFonts w:ascii="Times New Roman" w:hAnsi="Times New Roman"/>
          <w:b w:val="0"/>
          <w:i w:val="0"/>
          <w:sz w:val="24"/>
        </w:rPr>
        <w:t>: El petróleo caro genera inflación, y la inflación —como se ha visto— es positiva para el oro. Este tercer canal introduce cierta multicolinealidad entre WTI e IPC que deberá gestionarse en la especificación econométrica.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Evidencia empírica.</w:t>
      </w:r>
      <w:r>
        <w:rPr>
          <w:rFonts w:ascii="Times New Roman" w:hAnsi="Times New Roman" w:cs="Times New Roman"/>
          <w:rFonts w:ascii="Times New Roman" w:hAnsi="Times New Roman"/>
          <w:b w:val="0"/>
          <w:i w:val="0"/>
          <w:sz w:val="24"/>
        </w:rPr>
        <w:t xml:space="preserve"> El ratio oro/petróleo ha sido objeto de investigación académica como indicador de tensión geopolítica: ratios superiores a 25 onzas de oro por barril de WTI han coincidido históricamente con episodios de crisis severos (Cogent Research, vía la literatura sobre cointegración oro-petróleo). El signo esperado de la relación es positivo: $\beta_{WTI} &gt; 0$.</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Se utilizará el precio del crudo WTI (código FRED: `DCOILWTICO`), en logaritmos, con frecuencia mensual.</w:t>
      </w:r>
    </w:p>
    <w:p>
      <w:pPr>
        <w:pStyle w:val="Heading2"/>
      </w:pPr>
      <w:r>
        <w:t>3.4 Bloque III — Demanda estructural y sentimiento</w:t>
      </w:r>
    </w:p>
    <w:p>
      <w:pPr>
        <w:pStyle w:val="Heading3"/>
      </w:pPr>
      <w:r>
        <w:t>3.4.1 Compras netas de bancos centrales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Los bancos centrales son el mayor tenedor institucional de oro del mundo, con reservas totales superiores a las 36.000 toneladas. Su comportamiento como compradores o vendedores netos tiene efectos directos sobre el precio del metal, independientemente de los fundamentos financieros descritos en los dos bloques anteriores. Cuando los bancos centrales compran oro masivamente —como ha ocurrido desde 2022— generan un exceso de demanda estructural que puede sostener el precio incluso en entornos desfavorables para el oro (tipos reales altos, dólar fuerte).</w:t>
      </w:r>
    </w:p>
    <w:p>
      <w:pPr/>
      <w:r>
        <w:rPr>
          <w:rFonts w:ascii="Times New Roman" w:hAnsi="Times New Roman" w:cs="Times New Roman"/>
          <w:rFonts w:ascii="Times New Roman" w:hAnsi="Times New Roman"/>
          <w:b w:val="0"/>
          <w:i w:val="0"/>
          <w:sz w:val="24"/>
        </w:rPr>
        <w:t>La aceleración de las compras a partir de 2022 no es un fenómeno coyuntural: responde a un proceso de recomposición estratégica de reservas vinculado a la de-dolarización. La congelación de los activos del Banco Central de Rusia por parte de Occidente tras la invasión de Ucrania en febrero de 2022 demostró que las reservas en monedas extranjeras —incluido el dólar— son vulnerables a sanciones. Esta realización aceleró la demanda de oro soberano como activo sin riesgo de contraparte, cuyo valor no puede ser congelado por ningún gobierno extranjero. Según el World Gold Council (2025), el 73% de los bancos centrales tiene previsto reducir sus reservas en dólares en los próximos años, lo que anticipa una demanda estructural sostenida de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Limitaciones metodológicas y alternativa.</w:t>
      </w:r>
      <w:r>
        <w:rPr>
          <w:rFonts w:ascii="Times New Roman" w:hAnsi="Times New Roman" w:cs="Times New Roman"/>
          <w:rFonts w:ascii="Times New Roman" w:hAnsi="Times New Roman"/>
          <w:b w:val="0"/>
          <w:i w:val="0"/>
          <w:sz w:val="24"/>
        </w:rPr>
        <w:t xml:space="preserve"> La inclusión de las reservas de bancos centrales como variable cuantitativa en el modelo econométrico presenta dos problemas prácticos relevantes:</w:t>
      </w:r>
    </w:p>
    <w:p>
      <w:pPr/>
      <w:r>
        <w:rPr>
          <w:rFonts w:ascii="Times New Roman" w:hAnsi="Times New Roman" w:cs="Times New Roman"/>
          <w:rFonts w:ascii="Times New Roman" w:hAnsi="Times New Roman"/>
          <w:b w:val="0"/>
          <w:i w:val="0"/>
          <w:sz w:val="24"/>
        </w:rPr>
        <w:t xml:space="preserve">Primero, los datos de compras netas mensuales se publican con un </w:t>
      </w:r>
      <w:r>
        <w:rPr>
          <w:rFonts w:ascii="Times New Roman" w:hAnsi="Times New Roman" w:cs="Times New Roman"/>
          <w:rFonts w:ascii="Times New Roman" w:hAnsi="Times New Roman"/>
          <w:b/>
          <w:i w:val="0"/>
          <w:sz w:val="24"/>
        </w:rPr>
        <w:t>retardo de uno a dos meses</w:t>
      </w:r>
      <w:r>
        <w:rPr>
          <w:rFonts w:ascii="Times New Roman" w:hAnsi="Times New Roman" w:cs="Times New Roman"/>
          <w:rFonts w:ascii="Times New Roman" w:hAnsi="Times New Roman"/>
          <w:b w:val="0"/>
          <w:i w:val="0"/>
          <w:sz w:val="24"/>
        </w:rPr>
        <w:t xml:space="preserve"> por el World Gold Council, lo que introduce un sesgo de sincroneidad si no se gestiona correctamente. En el modelo, se utilizará la variable con un retardo de dos meses para respetar la secuencia temporal de publicación.</w:t>
      </w:r>
    </w:p>
    <w:p>
      <w:pPr/>
      <w:r>
        <w:rPr>
          <w:rFonts w:ascii="Times New Roman" w:hAnsi="Times New Roman" w:cs="Times New Roman"/>
          <w:rFonts w:ascii="Times New Roman" w:hAnsi="Times New Roman"/>
          <w:b w:val="0"/>
          <w:i w:val="0"/>
          <w:sz w:val="24"/>
        </w:rPr>
        <w:t xml:space="preserve">Segundo, la variable es inherentemente una </w:t>
      </w:r>
      <w:r>
        <w:rPr>
          <w:rFonts w:ascii="Times New Roman" w:hAnsi="Times New Roman" w:cs="Times New Roman"/>
          <w:rFonts w:ascii="Times New Roman" w:hAnsi="Times New Roman"/>
          <w:b/>
          <w:i w:val="0"/>
          <w:sz w:val="24"/>
        </w:rPr>
        <w:t>variable de stock</w:t>
      </w:r>
      <w:r>
        <w:rPr>
          <w:rFonts w:ascii="Times New Roman" w:hAnsi="Times New Roman" w:cs="Times New Roman"/>
          <w:rFonts w:ascii="Times New Roman" w:hAnsi="Times New Roman"/>
          <w:b w:val="0"/>
          <w:i w:val="0"/>
          <w:sz w:val="24"/>
        </w:rPr>
        <w:t xml:space="preserve"> (toneladas totales de reservas) cuya primera diferencia (variación mensual) tiene escasa variabilidad en periodos de compras moderadas, lo que reduce su poder estadístico. Para el periodo 2000-2009, cuando los bancos centrales eran vendedores netos (Acuerdos del Oro del Banco Central), la señal es de signo opuesto.</w:t>
      </w:r>
    </w:p>
    <w:p>
      <w:pPr/>
      <w:r>
        <w:rPr>
          <w:rFonts w:ascii="Times New Roman" w:hAnsi="Times New Roman" w:cs="Times New Roman"/>
          <w:rFonts w:ascii="Times New Roman" w:hAnsi="Times New Roman"/>
          <w:b w:val="0"/>
          <w:i w:val="0"/>
          <w:sz w:val="24"/>
        </w:rPr>
        <w:t xml:space="preserve">Como </w:t>
      </w:r>
      <w:r>
        <w:rPr>
          <w:rFonts w:ascii="Times New Roman" w:hAnsi="Times New Roman" w:cs="Times New Roman"/>
          <w:rFonts w:ascii="Times New Roman" w:hAnsi="Times New Roman"/>
          <w:b/>
          <w:i w:val="0"/>
          <w:sz w:val="24"/>
        </w:rPr>
        <w:t>alternativa de robustez</w:t>
      </w:r>
      <w:r>
        <w:rPr>
          <w:rFonts w:ascii="Times New Roman" w:hAnsi="Times New Roman" w:cs="Times New Roman"/>
          <w:rFonts w:ascii="Times New Roman" w:hAnsi="Times New Roman"/>
          <w:b w:val="0"/>
          <w:i w:val="0"/>
          <w:sz w:val="24"/>
        </w:rPr>
        <w:t xml:space="preserve">, se propone sustituir las reservas de bancos centrales por un proxy de la demanda física de los dos mayores consumidores de oro del mundo: </w:t>
      </w:r>
      <w:r>
        <w:rPr>
          <w:rFonts w:ascii="Times New Roman" w:hAnsi="Times New Roman" w:cs="Times New Roman"/>
          <w:rFonts w:ascii="Times New Roman" w:hAnsi="Times New Roman"/>
          <w:b/>
          <w:i w:val="0"/>
          <w:sz w:val="24"/>
        </w:rPr>
        <w:t>India y China</w:t>
      </w:r>
      <w:r>
        <w:rPr>
          <w:rFonts w:ascii="Times New Roman" w:hAnsi="Times New Roman" w:cs="Times New Roman"/>
          <w:rFonts w:ascii="Times New Roman" w:hAnsi="Times New Roman"/>
          <w:b w:val="0"/>
          <w:i w:val="0"/>
          <w:sz w:val="24"/>
        </w:rPr>
        <w:t>. Esta demanda puede aproximarse mediante los retornos del índice bursátil de la India (Nifty 50) y del índice Shanghai Composite como proxies del ciclo económico doméstico, o mediante el tipo de cambio USD/INR y USD/CNY, que afectan al precio efectivo del oro en esas economías. Ambas especificaciones alternativas se estimarán en el análisis de robustez del Capítulo 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 principal.</w:t>
      </w:r>
      <w:r>
        <w:rPr>
          <w:rFonts w:ascii="Times New Roman" w:hAnsi="Times New Roman" w:cs="Times New Roman"/>
          <w:rFonts w:ascii="Times New Roman" w:hAnsi="Times New Roman"/>
          <w:b w:val="0"/>
          <w:i w:val="0"/>
          <w:sz w:val="24"/>
        </w:rPr>
        <w:t xml:space="preserve"> Variación mensual de las reservas de oro de bancos centrales (en toneladas), publicadas por el World Gold Council con retardo de dos meses. Signo esperado positivo: $\beta_{CBR} &gt; 0$.</w:t>
      </w:r>
    </w:p>
    <w:p>
      <w:pPr>
        <w:pStyle w:val="Heading3"/>
      </w:pPr>
      <w:r>
        <w:t>3.4.2 Sentimiento de mercado: Google Trends y flujos de ETFs de oro</w:t>
      </w:r>
    </w:p>
    <w:p>
      <w:pPr/>
      <w:r>
        <w:rPr>
          <w:rFonts w:ascii="Times New Roman" w:hAnsi="Times New Roman" w:cs="Times New Roman"/>
          <w:rFonts w:ascii="Times New Roman" w:hAnsi="Times New Roman"/>
          <w:b w:val="0"/>
          <w:i w:val="0"/>
          <w:sz w:val="24"/>
        </w:rPr>
        <w:t>El sentimiento del inversor —la disposición subjetiva hacia el riesgo y hacia activos específicos— es un factor que la teoría financiera convencional tiende a minimizar, pero que la evidencia empírica señala como relevante incluso en mercados relativamente eficientes. Para el oro, el sentimiento tiene especial importancia porque una fracción significativa de la demanda de inversión —a diferencia de la demanda industrial o joyera— es de naturaleza especulativa o de protección psicológica, y responde a narrativas de mercado más que a cálculos de valoración fundamentales.</w:t>
      </w:r>
    </w:p>
    <w:p>
      <w:pPr/>
      <w:r>
        <w:rPr>
          <w:rFonts w:ascii="Times New Roman" w:hAnsi="Times New Roman" w:cs="Times New Roman"/>
          <w:rFonts w:ascii="Times New Roman" w:hAnsi="Times New Roman"/>
          <w:b w:val="0"/>
          <w:i w:val="0"/>
          <w:sz w:val="24"/>
        </w:rPr>
        <w:t>Se incluyen dos proxies de sentimiento que capturan dimensiones distintas:</w:t>
      </w:r>
    </w:p>
    <w:p>
      <w:pPr/>
      <w:r>
        <w:rPr>
          <w:rFonts w:ascii="Times New Roman" w:hAnsi="Times New Roman" w:cs="Times New Roman"/>
          <w:rFonts w:ascii="Times New Roman" w:hAnsi="Times New Roman"/>
          <w:b w:val="0"/>
          <w:i w:val="0"/>
          <w:sz w:val="24"/>
        </w:rPr>
        <w:t>#### 3.4.2.a Google Trends — búsquedas del término "gold"</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El volumen de búsquedas del término "gold" en Google es un indicador de la </w:t>
      </w:r>
      <w:r>
        <w:rPr>
          <w:rFonts w:ascii="Times New Roman" w:hAnsi="Times New Roman" w:cs="Times New Roman"/>
          <w:rFonts w:ascii="Times New Roman" w:hAnsi="Times New Roman"/>
          <w:b/>
          <w:i w:val="0"/>
          <w:sz w:val="24"/>
        </w:rPr>
        <w:t>atención del inversor minorista</w:t>
      </w:r>
      <w:r>
        <w:rPr>
          <w:rFonts w:ascii="Times New Roman" w:hAnsi="Times New Roman" w:cs="Times New Roman"/>
          <w:rFonts w:ascii="Times New Roman" w:hAnsi="Times New Roman"/>
          <w:b w:val="0"/>
          <w:i w:val="0"/>
          <w:sz w:val="24"/>
        </w:rPr>
        <w:t xml:space="preserve"> hacia el metal. Da Gao y Jagannathan (2011) introdujeron este enfoque para mercados de renta variable, y Dergiades et al. (2022) lo extendieron a los mercados de materias primas. Para el oro específicamente, Pierdzioch et al. (2015) documentan que el índice de búsquedas de Google impacta de forma positiva y significativa sobre los retornos del metal, y que su inclusión mejora la capacidad predictiva de los modelos respecto al paseo aleatorio.</w:t>
      </w:r>
    </w:p>
    <w:p>
      <w:pPr/>
      <w:r>
        <w:rPr>
          <w:rFonts w:ascii="Times New Roman" w:hAnsi="Times New Roman" w:cs="Times New Roman"/>
          <w:rFonts w:ascii="Times New Roman" w:hAnsi="Times New Roman"/>
          <w:b w:val="0"/>
          <w:i w:val="0"/>
          <w:sz w:val="24"/>
        </w:rPr>
        <w:t>La intuición económica es directa: cuando los inversores minoristas buscan masivamente información sobre el oro —normalmente en momentos de crisis o de narrativas mediáticas sobre inflación o guerra— parte de esa atención se materializa en demanda real a través de ETFs, monedas de inversión o lingotes. La búsqueda precede a la compra.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Limitaciones.</w:t>
      </w:r>
      <w:r>
        <w:rPr>
          <w:rFonts w:ascii="Times New Roman" w:hAnsi="Times New Roman" w:cs="Times New Roman"/>
          <w:rFonts w:ascii="Times New Roman" w:hAnsi="Times New Roman"/>
          <w:b w:val="0"/>
          <w:i w:val="0"/>
          <w:sz w:val="24"/>
        </w:rPr>
        <w:t xml:space="preserve"> Los datos de Google Trends están disponibles desde enero de 2004, lo que deja un hueco en el periodo 2000-2003. Para esos años se imputará cero (ausencia de señal diferencial) o se excluirá la variable del modelo estimado sobre el periodo completo, optando por una especificación alternativa sobre el subperiodo 2004-2025 donde Google Trends sí está disponible.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Índice mensual de búsquedas del término "gold" en Google Trends para la región mundial, normalizado en la escala 0-100 propia de la plataforma. Signo esperado positivo: $\beta_{GT} &gt; 0$.</w:t>
      </w:r>
    </w:p>
    <w:p>
      <w:pPr/>
      <w:r>
        <w:rPr>
          <w:rFonts w:ascii="Times New Roman" w:hAnsi="Times New Roman" w:cs="Times New Roman"/>
          <w:rFonts w:ascii="Times New Roman" w:hAnsi="Times New Roman"/>
          <w:b w:val="0"/>
          <w:i w:val="0"/>
          <w:sz w:val="24"/>
        </w:rPr>
        <w:t>#### 3.4.2.b Flujos netos hacia ETFs de oro (GLD/IAU)</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Justificación teórica.</w:t>
      </w:r>
      <w:r>
        <w:rPr>
          <w:rFonts w:ascii="Times New Roman" w:hAnsi="Times New Roman" w:cs="Times New Roman"/>
          <w:rFonts w:ascii="Times New Roman" w:hAnsi="Times New Roman"/>
          <w:b w:val="0"/>
          <w:i w:val="0"/>
          <w:sz w:val="24"/>
        </w:rPr>
        <w:t xml:space="preserve"> Los ETFs de oro físico —encabezados por el SPDR Gold Shares (GLD), lanzado en noviembre de 2004— democratizaron el acceso a la inversión en oro y se convirtieron rápidamente en el mayor vehículo de inversión en el metal a escala global. Sus flujos netos mensuales son un indicador de la </w:t>
      </w:r>
      <w:r>
        <w:rPr>
          <w:rFonts w:ascii="Times New Roman" w:hAnsi="Times New Roman" w:cs="Times New Roman"/>
          <w:rFonts w:ascii="Times New Roman" w:hAnsi="Times New Roman"/>
          <w:b/>
          <w:i w:val="0"/>
          <w:sz w:val="24"/>
        </w:rPr>
        <w:t>demanda de inversión institucional y minorista sofisticada</w:t>
      </w:r>
      <w:r>
        <w:rPr>
          <w:rFonts w:ascii="Times New Roman" w:hAnsi="Times New Roman" w:cs="Times New Roman"/>
          <w:rFonts w:ascii="Times New Roman" w:hAnsi="Times New Roman"/>
          <w:b w:val="0"/>
          <w:i w:val="0"/>
          <w:sz w:val="24"/>
        </w:rPr>
        <w:t>, cualitativamente distinta de las búsquedas de Google y más directamente vinculada a transacciones reales de mercado.</w:t>
      </w:r>
    </w:p>
    <w:p>
      <w:pPr/>
      <w:r>
        <w:rPr>
          <w:rFonts w:ascii="Times New Roman" w:hAnsi="Times New Roman" w:cs="Times New Roman"/>
          <w:rFonts w:ascii="Times New Roman" w:hAnsi="Times New Roman"/>
          <w:b w:val="0"/>
          <w:i w:val="0"/>
          <w:sz w:val="24"/>
        </w:rPr>
        <w:t>El mecanismo es mecánico: cuando los flujos hacia los ETFs son positivos (entradas netas), el gestor del ETF debe comprar oro físico en el mercado para respaldar las nuevas participaciones emitidas, lo que ejerce presión directa sobre el precio. La magnitud de este efecto ha crecido con el tiempo: en el tercer trimestre de 2025, los ETFs de oro registraron entradas récord de 26.000 millones de dólares en un solo trimestre (World Gold Council, 2025), lo que ilustra la capacidad de este factor para mover el mercado.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Evidencia empírica.</w:t>
      </w:r>
      <w:r>
        <w:rPr>
          <w:rFonts w:ascii="Times New Roman" w:hAnsi="Times New Roman" w:cs="Times New Roman"/>
          <w:rFonts w:ascii="Times New Roman" w:hAnsi="Times New Roman"/>
          <w:b w:val="0"/>
          <w:i w:val="0"/>
          <w:sz w:val="24"/>
        </w:rPr>
        <w:t xml:space="preserve"> La evidencia académica sobre la causalidad es mixta: Kittsley (SPDR, 2009) encontró que los flujos de GLD no predicen el precio del oro en regresiones de corto plazo, sugiriendo que tanto el flujo como el precio responden a los mismos factores subyacentes. Sin embargo, investigaciones más recientes apuntan a una causalidad bidireccional: los flujos de ETF sí tienen poder predictivo marginal sobre el precio cuando se controla por las variables macroeconómicas. Este matiz hace especialmente interesante su inclusión en un modelo multivariante.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en el modelo.</w:t>
      </w:r>
      <w:r>
        <w:rPr>
          <w:rFonts w:ascii="Times New Roman" w:hAnsi="Times New Roman" w:cs="Times New Roman"/>
          <w:rFonts w:ascii="Times New Roman" w:hAnsi="Times New Roman"/>
          <w:b w:val="0"/>
          <w:i w:val="0"/>
          <w:sz w:val="24"/>
        </w:rPr>
        <w:t xml:space="preserve"> Flujo neto mensual hacia ETFs de oro globales (en toneladas), publicado mensualmente por el World Gold Council. Disponible desde 2004. Signo esperado positivo: $\beta_{ETF} &gt; 0$.</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Nota sobre la colinealidad entre las dos variables de sentimiento.</w:t>
      </w:r>
      <w:r>
        <w:rPr>
          <w:rFonts w:ascii="Times New Roman" w:hAnsi="Times New Roman" w:cs="Times New Roman"/>
          <w:rFonts w:ascii="Times New Roman" w:hAnsi="Times New Roman"/>
          <w:b w:val="0"/>
          <w:i w:val="0"/>
          <w:sz w:val="24"/>
        </w:rPr>
        <w:t xml:space="preserve"> Google Trends y los flujos de ETF miden fenómenos relacionados pero no idénticos: el primero captura atención difusa del público general; el segundo, decisiones de compra de inversores activos. Es esperable cierta correlación entre ambas, especialmente en picos de pánico o euforia, pero también divergencias: en episodios como el COVID-19 de 2020, las búsquedas de "gold" dispararon antes que los flujos de ETF, que reaccionaron con retardo. En la estimación econométrica se comprobará la correlación entre ambas y, si supera el umbral de 0,8, se optará por incluir una sola de las dos en el modelo principal, reservando la otra para el análisis de robustez.</w:t>
      </w:r>
    </w:p>
    <w:p>
      <w:pPr>
        <w:pStyle w:val="Heading2"/>
      </w:pPr>
      <w:r>
        <w:t>3.5 Resumen del conjunto de variables</w:t>
      </w:r>
    </w:p>
    <w:p>
      <w:pPr/>
      <w:r>
        <w:rPr>
          <w:rFonts w:ascii="Times New Roman" w:hAnsi="Times New Roman" w:cs="Times New Roman"/>
          <w:rFonts w:ascii="Times New Roman" w:hAnsi="Times New Roman"/>
          <w:b w:val="0"/>
          <w:i w:val="0"/>
          <w:sz w:val="24"/>
        </w:rPr>
        <w:t>La tabla siguiente sintetiza los ocho catalizadores seleccionados, su fuente, disponibilidad temporal y el signo teórico esperado de su coeficiente en la relación con el precio del oro:</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Descripción</w:t>
            </w:r>
          </w:p>
        </w:tc>
        <w:tc>
          <w:tcPr>
            <w:tcW w:type="dxa" w:w="1701"/>
          </w:tcPr>
          <w:p>
            <w:pPr>
              <w:spacing w:line="240" w:lineRule="auto"/>
              <w:jc w:val="center"/>
            </w:pPr>
            <w:r/>
            <w:r>
              <w:rPr>
                <w:rFonts w:ascii="Times New Roman" w:hAnsi="Times New Roman" w:cs="Times New Roman"/>
                <w:rFonts w:ascii="Times New Roman" w:hAnsi="Times New Roman"/>
                <w:b/>
                <w:i w:val="0"/>
                <w:sz w:val="20"/>
              </w:rPr>
              <w:t>Fuente</w:t>
            </w:r>
          </w:p>
        </w:tc>
        <w:tc>
          <w:tcPr>
            <w:tcW w:type="dxa" w:w="1701"/>
          </w:tcPr>
          <w:p>
            <w:pPr>
              <w:spacing w:line="240" w:lineRule="auto"/>
              <w:jc w:val="center"/>
            </w:pPr>
            <w:r/>
            <w:r>
              <w:rPr>
                <w:rFonts w:ascii="Times New Roman" w:hAnsi="Times New Roman" w:cs="Times New Roman"/>
                <w:rFonts w:ascii="Times New Roman" w:hAnsi="Times New Roman"/>
                <w:b/>
                <w:i w:val="0"/>
                <w:sz w:val="20"/>
              </w:rPr>
              <w:t>Disponible desde</w:t>
            </w:r>
          </w:p>
        </w:tc>
        <w:tc>
          <w:tcPr>
            <w:tcW w:type="dxa" w:w="1701"/>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701"/>
          </w:tcPr>
          <w:p>
            <w:pPr>
              <w:spacing w:line="240" w:lineRule="auto"/>
            </w:pPr>
            <w:r/>
            <w:r>
              <w:rPr>
                <w:rFonts w:ascii="Times New Roman" w:hAnsi="Times New Roman" w:cs="Times New Roman"/>
                <w:rFonts w:ascii="Times New Roman" w:hAnsi="Times New Roman"/>
                <w:b w:val="0"/>
                <w:i w:val="0"/>
                <w:sz w:val="20"/>
              </w:rPr>
              <w:t>**DXY**</w:t>
            </w:r>
          </w:p>
        </w:tc>
        <w:tc>
          <w:tcPr>
            <w:tcW w:type="dxa" w:w="1701"/>
          </w:tcPr>
          <w:p>
            <w:pPr>
              <w:spacing w:line="240" w:lineRule="auto"/>
            </w:pPr>
            <w:r/>
            <w:r>
              <w:rPr>
                <w:rFonts w:ascii="Times New Roman" w:hAnsi="Times New Roman" w:cs="Times New Roman"/>
                <w:rFonts w:ascii="Times New Roman" w:hAnsi="Times New Roman"/>
                <w:b w:val="0"/>
                <w:i w:val="0"/>
                <w:sz w:val="20"/>
              </w:rPr>
              <w:t>Índice del dólar (tipo cambio efectivo nominal)</w:t>
            </w:r>
          </w:p>
        </w:tc>
        <w:tc>
          <w:tcPr>
            <w:tcW w:type="dxa" w:w="1701"/>
          </w:tcPr>
          <w:p>
            <w:pPr>
              <w:spacing w:line="240" w:lineRule="auto"/>
            </w:pPr>
            <w:r/>
            <w:r>
              <w:rPr>
                <w:rFonts w:ascii="Times New Roman" w:hAnsi="Times New Roman" w:cs="Times New Roman"/>
                <w:rFonts w:ascii="Times New Roman" w:hAnsi="Times New Roman"/>
                <w:b w:val="0"/>
                <w:i w:val="0"/>
                <w:sz w:val="20"/>
              </w:rPr>
              <w:t>FRED (`DTWEXBGS`)</w:t>
            </w:r>
          </w:p>
        </w:tc>
        <w:tc>
          <w:tcPr>
            <w:tcW w:type="dxa" w:w="1701"/>
          </w:tcPr>
          <w:p>
            <w:pPr>
              <w:spacing w:line="240" w:lineRule="auto"/>
            </w:pPr>
            <w:r/>
            <w:r>
              <w:rPr>
                <w:rFonts w:ascii="Times New Roman" w:hAnsi="Times New Roman" w:cs="Times New Roman"/>
                <w:rFonts w:ascii="Times New Roman" w:hAnsi="Times New Roman"/>
                <w:b w:val="0"/>
                <w:i w:val="0"/>
                <w:sz w:val="20"/>
              </w:rPr>
              <w:t>1973</w:t>
            </w:r>
          </w:p>
        </w:tc>
        <w:tc>
          <w:tcPr>
            <w:tcW w:type="dxa" w:w="1701"/>
          </w:tcPr>
          <w:p>
            <w:pPr>
              <w:spacing w:line="240" w:lineRule="auto"/>
            </w:pPr>
            <w:r/>
            <w:r>
              <w:rPr>
                <w:rFonts w:ascii="Times New Roman" w:hAnsi="Times New Roman" w:cs="Times New Roman"/>
                <w:rFonts w:ascii="Times New Roman" w:hAnsi="Times New Roman"/>
                <w:b w:val="0"/>
                <w:i w:val="0"/>
                <w:sz w:val="20"/>
              </w:rPr>
              <w:t>Negativo</w:t>
            </w:r>
          </w:p>
        </w:tc>
      </w:tr>
      <w:tr>
        <w:tc>
          <w:tcPr>
            <w:tcW w:type="dxa" w:w="1701"/>
          </w:tcPr>
          <w:p>
            <w:pPr>
              <w:spacing w:line="240" w:lineRule="auto"/>
            </w:pPr>
            <w:r/>
            <w:r>
              <w:rPr>
                <w:rFonts w:ascii="Times New Roman" w:hAnsi="Times New Roman" w:cs="Times New Roman"/>
                <w:rFonts w:ascii="Times New Roman" w:hAnsi="Times New Roman"/>
                <w:b w:val="0"/>
                <w:i w:val="0"/>
                <w:sz w:val="20"/>
              </w:rPr>
              <w:t>**TIPS**</w:t>
            </w:r>
          </w:p>
        </w:tc>
        <w:tc>
          <w:tcPr>
            <w:tcW w:type="dxa" w:w="1701"/>
          </w:tcPr>
          <w:p>
            <w:pPr>
              <w:spacing w:line="240" w:lineRule="auto"/>
            </w:pPr>
            <w:r/>
            <w:r>
              <w:rPr>
                <w:rFonts w:ascii="Times New Roman" w:hAnsi="Times New Roman" w:cs="Times New Roman"/>
                <w:rFonts w:ascii="Times New Roman" w:hAnsi="Times New Roman"/>
                <w:b w:val="0"/>
                <w:i w:val="0"/>
                <w:sz w:val="20"/>
              </w:rPr>
              <w:t>Tipo de interés real a 10 años (TIPS yield)</w:t>
            </w:r>
          </w:p>
        </w:tc>
        <w:tc>
          <w:tcPr>
            <w:tcW w:type="dxa" w:w="1701"/>
          </w:tcPr>
          <w:p>
            <w:pPr>
              <w:spacing w:line="240" w:lineRule="auto"/>
            </w:pPr>
            <w:r/>
            <w:r>
              <w:rPr>
                <w:rFonts w:ascii="Times New Roman" w:hAnsi="Times New Roman" w:cs="Times New Roman"/>
                <w:rFonts w:ascii="Times New Roman" w:hAnsi="Times New Roman"/>
                <w:b w:val="0"/>
                <w:i w:val="0"/>
                <w:sz w:val="20"/>
              </w:rPr>
              <w:t>FRED (`DFII10`)</w:t>
            </w:r>
          </w:p>
        </w:tc>
        <w:tc>
          <w:tcPr>
            <w:tcW w:type="dxa" w:w="1701"/>
          </w:tcPr>
          <w:p>
            <w:pPr>
              <w:spacing w:line="240" w:lineRule="auto"/>
            </w:pPr>
            <w:r/>
            <w:r>
              <w:rPr>
                <w:rFonts w:ascii="Times New Roman" w:hAnsi="Times New Roman" w:cs="Times New Roman"/>
                <w:rFonts w:ascii="Times New Roman" w:hAnsi="Times New Roman"/>
                <w:b w:val="0"/>
                <w:i w:val="0"/>
                <w:sz w:val="20"/>
              </w:rPr>
              <w:t>2003 (imputado 2000-02)</w:t>
            </w:r>
          </w:p>
        </w:tc>
        <w:tc>
          <w:tcPr>
            <w:tcW w:type="dxa" w:w="1701"/>
          </w:tcPr>
          <w:p>
            <w:pPr>
              <w:spacing w:line="240" w:lineRule="auto"/>
            </w:pPr>
            <w:r/>
            <w:r>
              <w:rPr>
                <w:rFonts w:ascii="Times New Roman" w:hAnsi="Times New Roman" w:cs="Times New Roman"/>
                <w:rFonts w:ascii="Times New Roman" w:hAnsi="Times New Roman"/>
                <w:b w:val="0"/>
                <w:i w:val="0"/>
                <w:sz w:val="20"/>
              </w:rPr>
              <w:t>Negativo</w:t>
            </w:r>
          </w:p>
        </w:tc>
      </w:tr>
      <w:tr>
        <w:tc>
          <w:tcPr>
            <w:tcW w:type="dxa" w:w="1701"/>
          </w:tcPr>
          <w:p>
            <w:pPr>
              <w:spacing w:line="240" w:lineRule="auto"/>
            </w:pPr>
            <w:r/>
            <w:r>
              <w:rPr>
                <w:rFonts w:ascii="Times New Roman" w:hAnsi="Times New Roman" w:cs="Times New Roman"/>
                <w:rFonts w:ascii="Times New Roman" w:hAnsi="Times New Roman"/>
                <w:b w:val="0"/>
                <w:i w:val="0"/>
                <w:sz w:val="20"/>
              </w:rPr>
              <w:t>**CPI**</w:t>
            </w:r>
          </w:p>
        </w:tc>
        <w:tc>
          <w:tcPr>
            <w:tcW w:type="dxa" w:w="1701"/>
          </w:tcPr>
          <w:p>
            <w:pPr>
              <w:spacing w:line="240" w:lineRule="auto"/>
            </w:pPr>
            <w:r/>
            <w:r>
              <w:rPr>
                <w:rFonts w:ascii="Times New Roman" w:hAnsi="Times New Roman" w:cs="Times New Roman"/>
                <w:rFonts w:ascii="Times New Roman" w:hAnsi="Times New Roman"/>
                <w:b w:val="0"/>
                <w:i w:val="0"/>
                <w:sz w:val="20"/>
              </w:rPr>
              <w:t>Tasa de inflación anual EE.UU.</w:t>
            </w:r>
          </w:p>
        </w:tc>
        <w:tc>
          <w:tcPr>
            <w:tcW w:type="dxa" w:w="1701"/>
          </w:tcPr>
          <w:p>
            <w:pPr>
              <w:spacing w:line="240" w:lineRule="auto"/>
            </w:pPr>
            <w:r/>
            <w:r>
              <w:rPr>
                <w:rFonts w:ascii="Times New Roman" w:hAnsi="Times New Roman" w:cs="Times New Roman"/>
                <w:rFonts w:ascii="Times New Roman" w:hAnsi="Times New Roman"/>
                <w:b w:val="0"/>
                <w:i w:val="0"/>
                <w:sz w:val="20"/>
              </w:rPr>
              <w:t>FRED (`CPIAUCSL`)</w:t>
            </w:r>
          </w:p>
        </w:tc>
        <w:tc>
          <w:tcPr>
            <w:tcW w:type="dxa" w:w="1701"/>
          </w:tcPr>
          <w:p>
            <w:pPr>
              <w:spacing w:line="240" w:lineRule="auto"/>
            </w:pPr>
            <w:r/>
            <w:r>
              <w:rPr>
                <w:rFonts w:ascii="Times New Roman" w:hAnsi="Times New Roman" w:cs="Times New Roman"/>
                <w:rFonts w:ascii="Times New Roman" w:hAnsi="Times New Roman"/>
                <w:b w:val="0"/>
                <w:i w:val="0"/>
                <w:sz w:val="20"/>
              </w:rPr>
              <w:t>1947</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**BE**</w:t>
            </w:r>
          </w:p>
        </w:tc>
        <w:tc>
          <w:tcPr>
            <w:tcW w:type="dxa" w:w="1701"/>
          </w:tcPr>
          <w:p>
            <w:pPr>
              <w:spacing w:line="240" w:lineRule="auto"/>
            </w:pPr>
            <w:r/>
            <w:r>
              <w:rPr>
                <w:rFonts w:ascii="Times New Roman" w:hAnsi="Times New Roman" w:cs="Times New Roman"/>
                <w:rFonts w:ascii="Times New Roman" w:hAnsi="Times New Roman"/>
                <w:b w:val="0"/>
                <w:i w:val="0"/>
                <w:sz w:val="20"/>
              </w:rPr>
              <w:t>*Breakeven* de inflación a 10 años</w:t>
            </w:r>
          </w:p>
        </w:tc>
        <w:tc>
          <w:tcPr>
            <w:tcW w:type="dxa" w:w="1701"/>
          </w:tcPr>
          <w:p>
            <w:pPr>
              <w:spacing w:line="240" w:lineRule="auto"/>
            </w:pPr>
            <w:r/>
            <w:r>
              <w:rPr>
                <w:rFonts w:ascii="Times New Roman" w:hAnsi="Times New Roman" w:cs="Times New Roman"/>
                <w:rFonts w:ascii="Times New Roman" w:hAnsi="Times New Roman"/>
                <w:b w:val="0"/>
                <w:i w:val="0"/>
                <w:sz w:val="20"/>
              </w:rPr>
              <w:t>FRED (`T10YIE`)</w:t>
            </w:r>
          </w:p>
        </w:tc>
        <w:tc>
          <w:tcPr>
            <w:tcW w:type="dxa" w:w="1701"/>
          </w:tcPr>
          <w:p>
            <w:pPr>
              <w:spacing w:line="240" w:lineRule="auto"/>
            </w:pPr>
            <w:r/>
            <w:r>
              <w:rPr>
                <w:rFonts w:ascii="Times New Roman" w:hAnsi="Times New Roman" w:cs="Times New Roman"/>
                <w:rFonts w:ascii="Times New Roman" w:hAnsi="Times New Roman"/>
                <w:b w:val="0"/>
                <w:i w:val="0"/>
                <w:sz w:val="20"/>
              </w:rPr>
              <w:t>2003</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Índice de volatilidad implícita (CBOE)</w:t>
            </w:r>
          </w:p>
        </w:tc>
        <w:tc>
          <w:tcPr>
            <w:tcW w:type="dxa" w:w="1701"/>
          </w:tcPr>
          <w:p>
            <w:pPr>
              <w:spacing w:line="240" w:lineRule="auto"/>
            </w:pPr>
            <w:r/>
            <w:r>
              <w:rPr>
                <w:rFonts w:ascii="Times New Roman" w:hAnsi="Times New Roman" w:cs="Times New Roman"/>
                <w:rFonts w:ascii="Times New Roman" w:hAnsi="Times New Roman"/>
                <w:b w:val="0"/>
                <w:i w:val="0"/>
                <w:sz w:val="20"/>
              </w:rPr>
              <w:t>FRED (`VIXCLS`)</w:t>
            </w:r>
          </w:p>
        </w:tc>
        <w:tc>
          <w:tcPr>
            <w:tcW w:type="dxa" w:w="1701"/>
          </w:tcPr>
          <w:p>
            <w:pPr>
              <w:spacing w:line="240" w:lineRule="auto"/>
            </w:pPr>
            <w:r/>
            <w:r>
              <w:rPr>
                <w:rFonts w:ascii="Times New Roman" w:hAnsi="Times New Roman" w:cs="Times New Roman"/>
                <w:rFonts w:ascii="Times New Roman" w:hAnsi="Times New Roman"/>
                <w:b w:val="0"/>
                <w:i w:val="0"/>
                <w:sz w:val="20"/>
              </w:rPr>
              <w:t>1990</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**SP500**</w:t>
            </w:r>
          </w:p>
        </w:tc>
        <w:tc>
          <w:tcPr>
            <w:tcW w:type="dxa" w:w="1701"/>
          </w:tcPr>
          <w:p>
            <w:pPr>
              <w:spacing w:line="240" w:lineRule="auto"/>
            </w:pPr>
            <w:r/>
            <w:r>
              <w:rPr>
                <w:rFonts w:ascii="Times New Roman" w:hAnsi="Times New Roman" w:cs="Times New Roman"/>
                <w:rFonts w:ascii="Times New Roman" w:hAnsi="Times New Roman"/>
                <w:b w:val="0"/>
                <w:i w:val="0"/>
                <w:sz w:val="20"/>
              </w:rPr>
              <w:t>Retorno mensual del S&amp;P 500</w:t>
            </w:r>
          </w:p>
        </w:tc>
        <w:tc>
          <w:tcPr>
            <w:tcW w:type="dxa" w:w="1701"/>
          </w:tcPr>
          <w:p>
            <w:pPr>
              <w:spacing w:line="240" w:lineRule="auto"/>
            </w:pPr>
            <w:r/>
            <w:r>
              <w:rPr>
                <w:rFonts w:ascii="Times New Roman" w:hAnsi="Times New Roman" w:cs="Times New Roman"/>
                <w:rFonts w:ascii="Times New Roman" w:hAnsi="Times New Roman"/>
                <w:b w:val="0"/>
                <w:i w:val="0"/>
                <w:sz w:val="20"/>
              </w:rPr>
              <w:t>Yahoo Finance (`^GSPC`)</w:t>
            </w:r>
          </w:p>
        </w:tc>
        <w:tc>
          <w:tcPr>
            <w:tcW w:type="dxa" w:w="1701"/>
          </w:tcPr>
          <w:p>
            <w:pPr>
              <w:spacing w:line="240" w:lineRule="auto"/>
            </w:pPr>
            <w:r/>
            <w:r>
              <w:rPr>
                <w:rFonts w:ascii="Times New Roman" w:hAnsi="Times New Roman" w:cs="Times New Roman"/>
                <w:rFonts w:ascii="Times New Roman" w:hAnsi="Times New Roman"/>
                <w:b w:val="0"/>
                <w:i w:val="0"/>
                <w:sz w:val="20"/>
              </w:rPr>
              <w:t>1928</w:t>
            </w:r>
          </w:p>
        </w:tc>
        <w:tc>
          <w:tcPr>
            <w:tcW w:type="dxa" w:w="1701"/>
          </w:tcPr>
          <w:p>
            <w:pPr>
              <w:spacing w:line="240" w:lineRule="auto"/>
            </w:pPr>
            <w:r/>
            <w:r>
              <w:rPr>
                <w:rFonts w:ascii="Times New Roman" w:hAnsi="Times New Roman" w:cs="Times New Roman"/>
                <w:rFonts w:ascii="Times New Roman" w:hAnsi="Times New Roman"/>
                <w:b w:val="0"/>
                <w:i w:val="0"/>
                <w:sz w:val="20"/>
              </w:rPr>
              <w:t>Negativo</w:t>
            </w:r>
          </w:p>
        </w:tc>
      </w:tr>
      <w:tr>
        <w:tc>
          <w:tcPr>
            <w:tcW w:type="dxa" w:w="1701"/>
          </w:tcPr>
          <w:p>
            <w:pPr>
              <w:spacing w:line="240" w:lineRule="auto"/>
            </w:pPr>
            <w:r/>
            <w:r>
              <w:rPr>
                <w:rFonts w:ascii="Times New Roman" w:hAnsi="Times New Roman" w:cs="Times New Roman"/>
                <w:rFonts w:ascii="Times New Roman" w:hAnsi="Times New Roman"/>
                <w:b w:val="0"/>
                <w:i w:val="0"/>
                <w:sz w:val="20"/>
              </w:rPr>
              <w:t>**WTI**</w:t>
            </w:r>
          </w:p>
        </w:tc>
        <w:tc>
          <w:tcPr>
            <w:tcW w:type="dxa" w:w="1701"/>
          </w:tcPr>
          <w:p>
            <w:pPr>
              <w:spacing w:line="240" w:lineRule="auto"/>
            </w:pPr>
            <w:r/>
            <w:r>
              <w:rPr>
                <w:rFonts w:ascii="Times New Roman" w:hAnsi="Times New Roman" w:cs="Times New Roman"/>
                <w:rFonts w:ascii="Times New Roman" w:hAnsi="Times New Roman"/>
                <w:b w:val="0"/>
                <w:i w:val="0"/>
                <w:sz w:val="20"/>
              </w:rPr>
              <w:t>Precio del crudo West Texas Intermediate</w:t>
            </w:r>
          </w:p>
        </w:tc>
        <w:tc>
          <w:tcPr>
            <w:tcW w:type="dxa" w:w="1701"/>
          </w:tcPr>
          <w:p>
            <w:pPr>
              <w:spacing w:line="240" w:lineRule="auto"/>
            </w:pPr>
            <w:r/>
            <w:r>
              <w:rPr>
                <w:rFonts w:ascii="Times New Roman" w:hAnsi="Times New Roman" w:cs="Times New Roman"/>
                <w:rFonts w:ascii="Times New Roman" w:hAnsi="Times New Roman"/>
                <w:b w:val="0"/>
                <w:i w:val="0"/>
                <w:sz w:val="20"/>
              </w:rPr>
              <w:t>FRED (`DCOILWTICO`)</w:t>
            </w:r>
          </w:p>
        </w:tc>
        <w:tc>
          <w:tcPr>
            <w:tcW w:type="dxa" w:w="1701"/>
          </w:tcPr>
          <w:p>
            <w:pPr>
              <w:spacing w:line="240" w:lineRule="auto"/>
            </w:pPr>
            <w:r/>
            <w:r>
              <w:rPr>
                <w:rFonts w:ascii="Times New Roman" w:hAnsi="Times New Roman" w:cs="Times New Roman"/>
                <w:rFonts w:ascii="Times New Roman" w:hAnsi="Times New Roman"/>
                <w:b w:val="0"/>
                <w:i w:val="0"/>
                <w:sz w:val="20"/>
              </w:rPr>
              <w:t>1986</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**CBR**</w:t>
            </w:r>
          </w:p>
        </w:tc>
        <w:tc>
          <w:tcPr>
            <w:tcW w:type="dxa" w:w="1701"/>
          </w:tcPr>
          <w:p>
            <w:pPr>
              <w:spacing w:line="240" w:lineRule="auto"/>
            </w:pPr>
            <w:r/>
            <w:r>
              <w:rPr>
                <w:rFonts w:ascii="Times New Roman" w:hAnsi="Times New Roman" w:cs="Times New Roman"/>
                <w:rFonts w:ascii="Times New Roman" w:hAnsi="Times New Roman"/>
                <w:b w:val="0"/>
                <w:i w:val="0"/>
                <w:sz w:val="20"/>
              </w:rPr>
              <w:t>Compras netas de bancos centrales (con retardo 2m)</w:t>
            </w:r>
          </w:p>
        </w:tc>
        <w:tc>
          <w:tcPr>
            <w:tcW w:type="dxa" w:w="1701"/>
          </w:tcPr>
          <w:p>
            <w:pPr>
              <w:spacing w:line="240" w:lineRule="auto"/>
            </w:pPr>
            <w:r/>
            <w:r>
              <w:rPr>
                <w:rFonts w:ascii="Times New Roman" w:hAnsi="Times New Roman" w:cs="Times New Roman"/>
                <w:rFonts w:ascii="Times New Roman" w:hAnsi="Times New Roman"/>
                <w:b w:val="0"/>
                <w:i w:val="0"/>
                <w:sz w:val="20"/>
              </w:rPr>
              <w:t>World Gold Council</w:t>
            </w:r>
          </w:p>
        </w:tc>
        <w:tc>
          <w:tcPr>
            <w:tcW w:type="dxa" w:w="1701"/>
          </w:tcPr>
          <w:p>
            <w:pPr>
              <w:spacing w:line="240" w:lineRule="auto"/>
            </w:pPr>
            <w:r/>
            <w:r>
              <w:rPr>
                <w:rFonts w:ascii="Times New Roman" w:hAnsi="Times New Roman" w:cs="Times New Roman"/>
                <w:rFonts w:ascii="Times New Roman" w:hAnsi="Times New Roman"/>
                <w:b w:val="0"/>
                <w:i w:val="0"/>
                <w:sz w:val="20"/>
              </w:rPr>
              <w:t>2000</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**GT**</w:t>
            </w:r>
          </w:p>
        </w:tc>
        <w:tc>
          <w:tcPr>
            <w:tcW w:type="dxa" w:w="1701"/>
          </w:tcPr>
          <w:p>
            <w:pPr>
              <w:spacing w:line="240" w:lineRule="auto"/>
            </w:pPr>
            <w:r/>
            <w:r>
              <w:rPr>
                <w:rFonts w:ascii="Times New Roman" w:hAnsi="Times New Roman" w:cs="Times New Roman"/>
                <w:rFonts w:ascii="Times New Roman" w:hAnsi="Times New Roman"/>
                <w:b w:val="0"/>
                <w:i w:val="0"/>
                <w:sz w:val="20"/>
              </w:rPr>
              <w:t>Google Trends "gold" (índice 0-100)</w:t>
            </w:r>
          </w:p>
        </w:tc>
        <w:tc>
          <w:tcPr>
            <w:tcW w:type="dxa" w:w="1701"/>
          </w:tcPr>
          <w:p>
            <w:pPr>
              <w:spacing w:line="240" w:lineRule="auto"/>
            </w:pPr>
            <w:r/>
            <w:r>
              <w:rPr>
                <w:rFonts w:ascii="Times New Roman" w:hAnsi="Times New Roman" w:cs="Times New Roman"/>
                <w:rFonts w:ascii="Times New Roman" w:hAnsi="Times New Roman"/>
                <w:b w:val="0"/>
                <w:i w:val="0"/>
                <w:sz w:val="20"/>
              </w:rPr>
              <w:t>Google Trends</w:t>
            </w:r>
          </w:p>
        </w:tc>
        <w:tc>
          <w:tcPr>
            <w:tcW w:type="dxa" w:w="1701"/>
          </w:tcPr>
          <w:p>
            <w:pPr>
              <w:spacing w:line="240" w:lineRule="auto"/>
            </w:pPr>
            <w:r/>
            <w:r>
              <w:rPr>
                <w:rFonts w:ascii="Times New Roman" w:hAnsi="Times New Roman" w:cs="Times New Roman"/>
                <w:rFonts w:ascii="Times New Roman" w:hAnsi="Times New Roman"/>
                <w:b w:val="0"/>
                <w:i w:val="0"/>
                <w:sz w:val="20"/>
              </w:rPr>
              <w:t>2004</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r>
        <w:tc>
          <w:tcPr>
            <w:tcW w:type="dxa" w:w="1701"/>
          </w:tcPr>
          <w:p>
            <w:pPr>
              <w:spacing w:line="240" w:lineRule="auto"/>
            </w:pPr>
            <w:r/>
            <w:r>
              <w:rPr>
                <w:rFonts w:ascii="Times New Roman" w:hAnsi="Times New Roman" w:cs="Times New Roman"/>
                <w:rFonts w:ascii="Times New Roman" w:hAnsi="Times New Roman"/>
                <w:b w:val="0"/>
                <w:i w:val="0"/>
                <w:sz w:val="20"/>
              </w:rPr>
              <w:t>**ETF**</w:t>
            </w:r>
          </w:p>
        </w:tc>
        <w:tc>
          <w:tcPr>
            <w:tcW w:type="dxa" w:w="1701"/>
          </w:tcPr>
          <w:p>
            <w:pPr>
              <w:spacing w:line="240" w:lineRule="auto"/>
            </w:pPr>
            <w:r/>
            <w:r>
              <w:rPr>
                <w:rFonts w:ascii="Times New Roman" w:hAnsi="Times New Roman" w:cs="Times New Roman"/>
                <w:rFonts w:ascii="Times New Roman" w:hAnsi="Times New Roman"/>
                <w:b w:val="0"/>
                <w:i w:val="0"/>
                <w:sz w:val="20"/>
              </w:rPr>
              <w:t>Flujos netos mensuales ETFs de oro (ton.)</w:t>
            </w:r>
          </w:p>
        </w:tc>
        <w:tc>
          <w:tcPr>
            <w:tcW w:type="dxa" w:w="1701"/>
          </w:tcPr>
          <w:p>
            <w:pPr>
              <w:spacing w:line="240" w:lineRule="auto"/>
            </w:pPr>
            <w:r/>
            <w:r>
              <w:rPr>
                <w:rFonts w:ascii="Times New Roman" w:hAnsi="Times New Roman" w:cs="Times New Roman"/>
                <w:rFonts w:ascii="Times New Roman" w:hAnsi="Times New Roman"/>
                <w:b w:val="0"/>
                <w:i w:val="0"/>
                <w:sz w:val="20"/>
              </w:rPr>
              <w:t>World Gold Council</w:t>
            </w:r>
          </w:p>
        </w:tc>
        <w:tc>
          <w:tcPr>
            <w:tcW w:type="dxa" w:w="1701"/>
          </w:tcPr>
          <w:p>
            <w:pPr>
              <w:spacing w:line="240" w:lineRule="auto"/>
            </w:pPr>
            <w:r/>
            <w:r>
              <w:rPr>
                <w:rFonts w:ascii="Times New Roman" w:hAnsi="Times New Roman" w:cs="Times New Roman"/>
                <w:rFonts w:ascii="Times New Roman" w:hAnsi="Times New Roman"/>
                <w:b w:val="0"/>
                <w:i w:val="0"/>
                <w:sz w:val="20"/>
              </w:rPr>
              <w:t>2004</w:t>
            </w:r>
          </w:p>
        </w:tc>
        <w:tc>
          <w:tcPr>
            <w:tcW w:type="dxa" w:w="1701"/>
          </w:tcPr>
          <w:p>
            <w:pPr>
              <w:spacing w:line="240" w:lineRule="auto"/>
            </w:pPr>
            <w:r/>
            <w:r>
              <w:rPr>
                <w:rFonts w:ascii="Times New Roman" w:hAnsi="Times New Roman" w:cs="Times New Roman"/>
                <w:rFonts w:ascii="Times New Roman" w:hAnsi="Times New Roman"/>
                <w:b w:val="0"/>
                <w:i w:val="0"/>
                <w:sz w:val="20"/>
              </w:rPr>
              <w:t>Positivo</w:t>
            </w:r>
          </w:p>
        </w:tc>
      </w:tr>
    </w:tbl>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CPI y BE son proxies alternativos de inflación; se incluirán ambos en la especificación inicial y se eliminará el menos informativo si la multicolinealidad es severa (VIF &gt; 10). GT y ETF son proxies alternativos de sentimiento; se tratará igualmente.</w:t>
      </w:r>
      <w:r>
        <w:rPr>
          <w:rFonts w:ascii="Times New Roman" w:hAnsi="Times New Roman" w:cs="Times New Roman"/>
          <w:rFonts w:ascii="Times New Roman" w:hAnsi="Times New Roman"/>
          <w:b w:val="0"/>
          <w:i w:val="0"/>
          <w:sz w:val="24"/>
        </w:rPr>
      </w:r>
    </w:p>
    <w:p>
      <w:pPr>
        <w:pStyle w:val="Heading2"/>
      </w:pPr>
      <w:r>
        <w:t>3.6 Especificación formal del modelo</w:t>
      </w:r>
    </w:p>
    <w:p>
      <w:pPr/>
      <w:r>
        <w:rPr>
          <w:rFonts w:ascii="Times New Roman" w:hAnsi="Times New Roman" w:cs="Times New Roman"/>
          <w:rFonts w:ascii="Times New Roman" w:hAnsi="Times New Roman"/>
          <w:b w:val="0"/>
          <w:i w:val="0"/>
          <w:sz w:val="24"/>
        </w:rPr>
        <w:t>Con las variables identificadas, el modelo que se estimará en los Capítulos 5 y 6 puede expresarse en su forma reducida general como:</w:t>
      </w:r>
    </w:p>
    <w:p>
      <w:pPr>
        <w:spacing w:before="80" w:after="80"/>
        <w:jc w:val="center"/>
      </w:pPr>
      <w:r>
        <w:rPr>
          <w:rFonts w:ascii="Times New Roman" w:hAnsi="Times New Roman" w:cs="Times New Roman"/>
          <w:rFonts w:ascii="Times New Roman" w:hAnsi="Times New Roman"/>
          <w:b w:val="0"/>
          <w:i/>
          <w:sz w:val="24"/>
        </w:rPr>
        <w:t>\ln(GOLD_t) = \alpha + \beta_1 \ln(DXY_t) + \beta_2 \cdot TIPS_t + \beta_3 \cdot CPI_t + \beta_4 \cdot BE_t + \beta_5 \cdot VIX_t + \beta_6 \ln(SP500_t) + \beta_7 \ln(WTI_t) + \beta_8 \cdot CBR_{t-2} + \beta_9 \cdot SENT_t + \varepsilon_t</w:t>
      </w:r>
    </w:p>
    <w:p>
      <w:pPr/>
      <w:r>
        <w:rPr>
          <w:rFonts w:ascii="Times New Roman" w:hAnsi="Times New Roman" w:cs="Times New Roman"/>
          <w:rFonts w:ascii="Times New Roman" w:hAnsi="Times New Roman"/>
          <w:b w:val="0"/>
          <w:i w:val="0"/>
          <w:sz w:val="24"/>
        </w:rPr>
        <w:t>donde:</w:t>
      </w:r>
    </w:p>
    <w:p>
      <w:pPr/>
      <w:r>
        <w:rPr>
          <w:rFonts w:ascii="Times New Roman" w:hAnsi="Times New Roman" w:cs="Times New Roman"/>
          <w:rFonts w:ascii="Times New Roman" w:hAnsi="Times New Roman"/>
          <w:b w:val="0"/>
          <w:i w:val="0"/>
          <w:sz w:val="24"/>
        </w:rPr>
        <w:t>- $GOLD_t$ es el precio de cierre mensual del oro (XAU/USD) en la LBMA - $\ln(\cdot)$ denota logaritmo natural, aplicado a las variables de precio para interpretar los coeficientes como elasticidades - $TIPS_t$ y $VIX_t$ entran en niveles (no en logaritmos) por su naturaleza de tipos o índices que pueden tomar valores negativos o cercanos a cero - $CBR_{t-2}$ denota la variación de reservas de bancos centrales retardada dos meses - $SENT_t$ representa la variable de sentimiento seleccionada (Google Trends o flujos de ETF, o ambas si la colinealidad lo permite) - $\varepsilon_t$ es el término de error, cuyas propiedades (estacionariedad, homocedasticidad, ausencia de autocorrelación) serán verificadas en el Capítulo 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Transformaciones para la estimación dinámica.</w:t>
      </w:r>
      <w:r>
        <w:rPr>
          <w:rFonts w:ascii="Times New Roman" w:hAnsi="Times New Roman" w:cs="Times New Roman"/>
          <w:rFonts w:ascii="Times New Roman" w:hAnsi="Times New Roman"/>
          <w:b w:val="0"/>
          <w:i w:val="0"/>
          <w:sz w:val="24"/>
        </w:rPr>
        <w:t xml:space="preserve"> La ecuación anterior es una representación estática de largo plazo. Para el análisis VAR del Capítulo 5, las variables no estacionarias (aquellas con raíz unitaria, que se identificarán mediante los tests ADF y KPSS del Capítulo 4) se transformarán en primeras diferencias, a menos que exista una relación de cointegración que permita estimar un modelo VEC (</w:t>
      </w:r>
      <w:r>
        <w:rPr>
          <w:rFonts w:ascii="Times New Roman" w:hAnsi="Times New Roman" w:cs="Times New Roman"/>
          <w:rFonts w:ascii="Times New Roman" w:hAnsi="Times New Roman"/>
          <w:b w:val="0"/>
          <w:i/>
          <w:sz w:val="24"/>
        </w:rPr>
        <w:t>Vector Error Correction</w:t>
      </w:r>
      <w:r>
        <w:rPr>
          <w:rFonts w:ascii="Times New Roman" w:hAnsi="Times New Roman" w:cs="Times New Roman"/>
          <w:rFonts w:ascii="Times New Roman" w:hAnsi="Times New Roman"/>
          <w:b w:val="0"/>
          <w:i w:val="0"/>
          <w:sz w:val="24"/>
        </w:rPr>
        <w:t>). Para los modelos de machine learning del Capítulo 6, las variables se transformarán en retornos mensuales y z-scores para garantizar la comparabilidad de escalas.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Hipótesis de signo.</w:t>
      </w:r>
      <w:r>
        <w:rPr>
          <w:rFonts w:ascii="Times New Roman" w:hAnsi="Times New Roman" w:cs="Times New Roman"/>
          <w:rFonts w:ascii="Times New Roman" w:hAnsi="Times New Roman"/>
          <w:b w:val="0"/>
          <w:i w:val="0"/>
          <w:sz w:val="24"/>
        </w:rPr>
        <w:t xml:space="preserve"> La hipótesis nula para cada variable es que su coeficiente es cero (no hay relación con el precio del oro). La hipótesis alternativa es el signo indicado en la tabla anterior, derivado de la justificación teórica de las secciones precedentes. Cualquier coeficiente con signo opuesto al teórico esperado requerirá una explicación económica en el Capítulo 7, ya que podría indicar la presencia de colinealidad, un régimen de mercado atípico o una relación estructuralmente inestable.</w:t>
      </w:r>
    </w:p>
    <w:p>
      <w:pPr>
        <w:pStyle w:val="Heading2"/>
      </w:pPr>
      <w:r>
        <w:t>3.7 Fundamentos econométricos de la especificación: parsimonia, multicolinealidad y condiciones del error</w:t>
      </w:r>
    </w:p>
    <w:p>
      <w:pPr>
        <w:pStyle w:val="Heading3"/>
      </w:pPr>
      <w:r>
        <w:t>3.7.1 Por qué ocho variables y no más: parsimonia y grados de libertad</w:t>
      </w:r>
    </w:p>
    <w:p>
      <w:pPr/>
      <w:r>
        <w:rPr>
          <w:rFonts w:ascii="Times New Roman" w:hAnsi="Times New Roman" w:cs="Times New Roman"/>
          <w:rFonts w:ascii="Times New Roman" w:hAnsi="Times New Roman"/>
          <w:b w:val="0"/>
          <w:i w:val="0"/>
          <w:sz w:val="24"/>
        </w:rPr>
        <w:t>La selección de un número reducido de variables explicativas no es una concesión a la simplicidad: es una exigencia de la teoría econométrica. Este apartado justifica formalmente por qué el modelo se limita a ocho catalizadores principales.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principio de parsimonia.</w:t>
      </w:r>
      <w:r>
        <w:rPr>
          <w:rFonts w:ascii="Times New Roman" w:hAnsi="Times New Roman" w:cs="Times New Roman"/>
          <w:rFonts w:ascii="Times New Roman" w:hAnsi="Times New Roman"/>
          <w:b w:val="0"/>
          <w:i w:val="0"/>
          <w:sz w:val="24"/>
        </w:rPr>
        <w:t xml:space="preserve"> En econometría, el principio de parsimonia —equivalente a la navaja de Occam en filosofía— establece que, ante dos modelos con igual capacidad explicativa, debe preferirse el más simple. Su fundamento estadístico es preciso: añadir variables a un modelo mejora mecánicamente el coeficiente de determinación $R^2$ aunque esas variables no tengan ninguna relación real con la variable dependiente. El coeficiente ajustado $\bar{R}^2$ corrige esta distorsión penalizando cada variable adicional:</w:t>
      </w:r>
    </w:p>
    <w:p>
      <w:pPr>
        <w:spacing w:before="80" w:after="80"/>
        <w:jc w:val="center"/>
      </w:pPr>
      <w:r>
        <w:rPr>
          <w:rFonts w:ascii="Times New Roman" w:hAnsi="Times New Roman" w:cs="Times New Roman"/>
          <w:rFonts w:ascii="Times New Roman" w:hAnsi="Times New Roman"/>
          <w:b w:val="0"/>
          <w:i/>
          <w:sz w:val="24"/>
        </w:rPr>
        <w:t>\bar{R}^2 = 1 - \frac{SS_{res}/(n-k-1)}{SS_{tot}/(n-1)}</w:t>
      </w:r>
    </w:p>
    <w:p>
      <w:pPr/>
      <w:r>
        <w:rPr>
          <w:rFonts w:ascii="Times New Roman" w:hAnsi="Times New Roman" w:cs="Times New Roman"/>
          <w:rFonts w:ascii="Times New Roman" w:hAnsi="Times New Roman"/>
          <w:b w:val="0"/>
          <w:i w:val="0"/>
          <w:sz w:val="24"/>
        </w:rPr>
        <w:t>donde $n$ es el número de observaciones y $k$ el número de regresores. Si una variable añadida no reduce $SS_{res}$ en proporción suficiente al grado de libertad consumido, $\bar{R}^2$ disminuye, señalando que el modelo empeoró su eficiencia a pesar de mejorar el ajuste bruto.</w:t>
      </w:r>
    </w:p>
    <w:p>
      <w:pPr/>
      <w:r>
        <w:rPr>
          <w:rFonts w:ascii="Times New Roman" w:hAnsi="Times New Roman" w:cs="Times New Roman"/>
          <w:rFonts w:ascii="Times New Roman" w:hAnsi="Times New Roman"/>
          <w:b w:val="0"/>
          <w:i w:val="0"/>
          <w:sz w:val="24"/>
        </w:rPr>
        <w:t>Los criterios de información de Akaike (AIC) y Bayesiano (BIC) formalizan esta penalización de forma más rigurosa:</w:t>
      </w:r>
    </w:p>
    <w:p>
      <w:pPr>
        <w:spacing w:before="80" w:after="80"/>
        <w:jc w:val="center"/>
      </w:pPr>
      <w:r>
        <w:rPr>
          <w:rFonts w:ascii="Times New Roman" w:hAnsi="Times New Roman" w:cs="Times New Roman"/>
          <w:rFonts w:ascii="Times New Roman" w:hAnsi="Times New Roman"/>
          <w:b w:val="0"/>
          <w:i/>
          <w:sz w:val="24"/>
        </w:rPr>
        <w:t>AIC = 2k - 2\ln(\hat{L}) \qquad BIC = k\ln(n) - 2\ln(\hat{L})</w:t>
      </w:r>
    </w:p>
    <w:p>
      <w:pPr/>
      <w:r>
        <w:rPr>
          <w:rFonts w:ascii="Times New Roman" w:hAnsi="Times New Roman" w:cs="Times New Roman"/>
          <w:rFonts w:ascii="Times New Roman" w:hAnsi="Times New Roman"/>
          <w:b w:val="0"/>
          <w:i w:val="0"/>
          <w:sz w:val="24"/>
        </w:rPr>
        <w:t>donde $\hat{L}$ es el valor máximo de la función de verosimilitud del modelo. El BIC penaliza la complejidad más agresivamente que el AIC —especialmente cuando $n$ es grande— y es el criterio más conservador de los dos. En la selección de modelos VAR del Capítulo 5, ambos criterios se calcularán sistemáticamente para comparar especificaciones alternativas.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Grados de libertad y ratio observaciones/variables.</w:t>
      </w:r>
      <w:r>
        <w:rPr>
          <w:rFonts w:ascii="Times New Roman" w:hAnsi="Times New Roman" w:cs="Times New Roman"/>
          <w:rFonts w:ascii="Times New Roman" w:hAnsi="Times New Roman"/>
          <w:b w:val="0"/>
          <w:i w:val="0"/>
          <w:sz w:val="24"/>
        </w:rPr>
        <w:t xml:space="preserve"> El periodo de análisis 2000-2025 con frecuencia mensual proporciona $n = 312$ observaciones. Con ocho regresores principales ($k = 8$), el ratio $n/k \approx 39$, muy por encima del umbral mínimo recomendado de 10-20 observaciones por regresor que establece la literatura econométrica (Greene, 2018). Este ratio asegura que los estimadores MCO son suficientemente precisos y que los tests de hipótesis tienen potencia estadística adecuada.</w:t>
      </w:r>
    </w:p>
    <w:p>
      <w:pPr/>
      <w:r>
        <w:rPr>
          <w:rFonts w:ascii="Times New Roman" w:hAnsi="Times New Roman" w:cs="Times New Roman"/>
          <w:rFonts w:ascii="Times New Roman" w:hAnsi="Times New Roman"/>
          <w:b w:val="0"/>
          <w:i w:val="0"/>
          <w:sz w:val="24"/>
        </w:rPr>
        <w:t>Si en lugar de ocho variables se incluyeran veinte —como podría ocurrir si se añadieran todos los catalizadores candidatos sin criterio de selección— el ratio caería a $n/k \approx 15$, próximo al límite inferior, y los errores estándar de los coeficientes se inflarían notablemente, reduciendo la capacidad del modelo para distinguir efectos reales de ruido muestral.</w:t>
      </w:r>
    </w:p>
    <w:p>
      <w:pPr/>
      <w:r>
        <w:rPr>
          <w:rFonts w:ascii="Times New Roman" w:hAnsi="Times New Roman" w:cs="Times New Roman"/>
          <w:rFonts w:ascii="Times New Roman" w:hAnsi="Times New Roman"/>
          <w:b w:val="0"/>
          <w:i w:val="0"/>
          <w:sz w:val="24"/>
        </w:rPr>
        <w:t>*</w:t>
      </w:r>
      <w:r>
        <w:rPr>
          <w:rFonts w:ascii="Times New Roman" w:hAnsi="Times New Roman" w:cs="Times New Roman"/>
          <w:rFonts w:ascii="Times New Roman" w:hAnsi="Times New Roman"/>
          <w:b w:val="0"/>
          <w:i/>
          <w:sz w:val="24"/>
        </w:rPr>
        <w:t>Sobreajuste (</w:t>
      </w:r>
      <w:r>
        <w:rPr>
          <w:rFonts w:ascii="Times New Roman" w:hAnsi="Times New Roman" w:cs="Times New Roman"/>
          <w:rFonts w:ascii="Times New Roman" w:hAnsi="Times New Roman"/>
          <w:b w:val="0"/>
          <w:i w:val="0"/>
          <w:sz w:val="24"/>
        </w:rPr>
        <w:t>overfitting</w:t>
      </w:r>
      <w:r>
        <w:rPr>
          <w:rFonts w:ascii="Times New Roman" w:hAnsi="Times New Roman" w:cs="Times New Roman"/>
          <w:rFonts w:ascii="Times New Roman" w:hAnsi="Times New Roman"/>
          <w:b w:val="0"/>
          <w:i/>
          <w:sz w:val="24"/>
        </w:rPr>
        <w:t>).</w:t>
      </w: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 xml:space="preserve"> El sobreajuste es la patología de los modelos con demasiadas variables: el modelo aprende el ruido de la muestra de entrenamiento y pierde capacidad predictiva en datos nuevos. En el contexto de este trabajo, el riesgo es especialmente relevante para los modelos de machine learning del Capítulo 6, donde la flexibilidad del modelo es mayor. La validación temporal </w:t>
      </w:r>
      <w:r>
        <w:rPr>
          <w:rFonts w:ascii="Times New Roman" w:hAnsi="Times New Roman" w:cs="Times New Roman"/>
          <w:rFonts w:ascii="Times New Roman" w:hAnsi="Times New Roman"/>
          <w:b w:val="0"/>
          <w:i w:val="0"/>
          <w:sz w:val="24"/>
        </w:rPr>
        <w:t>walk-forward* que se empleará en ese capítulo está precisamente diseñada para detectar y penalizar el sobreajuste fuera de muestra. Para los modelos econométricos del Capítulo 5, el riesgo es menor —la econometría lineal tiene menor capacidad de memorizar el ruido— pero el principio de parsimonia sigue siendo un criterio de calidad metodológica relevante.</w:t>
      </w:r>
    </w:p>
    <w:p>
      <w:pPr>
        <w:pStyle w:val="Heading3"/>
      </w:pPr>
      <w:r>
        <w:t>3.7.2 Multicolinealidad: definición, consecuencias y diagnóstico</w:t>
      </w:r>
    </w:p>
    <w:p>
      <w:pPr/>
      <w:r>
        <w:rPr>
          <w:rFonts w:ascii="Times New Roman" w:hAnsi="Times New Roman" w:cs="Times New Roman"/>
          <w:rFonts w:ascii="Times New Roman" w:hAnsi="Times New Roman"/>
          <w:b w:val="0"/>
          <w:i w:val="0"/>
          <w:sz w:val="24"/>
        </w:rPr>
        <w:t>La multicolinealidad es la situación en que dos o más variables explicativas están correlacionadas entre sí. Es un problema casi inevitable cuando se trabaja con variables macroeconómicas, porque muchas de ellas comparten determinantes comunes: el dólar, la inflación, los tipos de interés y el crecimiento económico están interrelacionados por definición.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Multicolinealidad perfecta e imperfecta.</w:t>
      </w:r>
      <w:r>
        <w:rPr>
          <w:rFonts w:ascii="Times New Roman" w:hAnsi="Times New Roman" w:cs="Times New Roman"/>
          <w:rFonts w:ascii="Times New Roman" w:hAnsi="Times New Roman"/>
          <w:b w:val="0"/>
          <w:i w:val="0"/>
          <w:sz w:val="24"/>
        </w:rPr>
        <w:t xml:space="preserve"> La multicolinealidad perfecta —una variable es combinación lineal exacta de otras— hace que la matriz $X'X$ sea singular y que los estimadores MCO no existan. En la práctica, esto no ocurre salvo por errores de especificación (incluir el mismo dato dos veces o una variable y su complemento). La multicolinealidad imperfecta, en cambio, es habitual: las variables están correlacionadas pero no son combinaciones lineales exactas. Sus consecuencias, aunque menos dramáticas, son econométricamente relevantes.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Consecuencias de la multicolinealidad imperfecta.</w:t>
      </w:r>
      <w:r>
        <w:rPr>
          <w:rFonts w:ascii="Times New Roman" w:hAnsi="Times New Roman" w:cs="Times New Roman"/>
          <w:rFonts w:ascii="Times New Roman" w:hAnsi="Times New Roman"/>
          <w:b w:val="0"/>
          <w:i w:val="0"/>
          <w:sz w:val="24"/>
        </w:rPr>
        <w:t xml:space="preserve"> Bajo multicolinealidad, los estimadores MCO siguen siendo insesgados y consistentes — el teorema de Gauss-Markov no se viola —, pero su varianza aumenta. En la forma matricial, la varianza del vector de estimadores es:</w:t>
      </w:r>
    </w:p>
    <w:p>
      <w:pPr>
        <w:spacing w:before="80" w:after="80"/>
        <w:jc w:val="center"/>
      </w:pPr>
      <w:r>
        <w:rPr>
          <w:rFonts w:ascii="Times New Roman" w:hAnsi="Times New Roman" w:cs="Times New Roman"/>
          <w:rFonts w:ascii="Times New Roman" w:hAnsi="Times New Roman"/>
          <w:b w:val="0"/>
          <w:i/>
          <w:sz w:val="24"/>
        </w:rPr>
        <w:t>\text{Var}(\hat{\boldsymbol{\beta}}) = \sigma^2 (X'X)^{-1}</w:t>
      </w:r>
    </w:p>
    <w:p>
      <w:pPr/>
      <w:r>
        <w:rPr>
          <w:rFonts w:ascii="Times New Roman" w:hAnsi="Times New Roman" w:cs="Times New Roman"/>
          <w:rFonts w:ascii="Times New Roman" w:hAnsi="Times New Roman"/>
          <w:b w:val="0"/>
          <w:i w:val="0"/>
          <w:sz w:val="24"/>
        </w:rPr>
        <w:t>Cuando las columnas de $X$ están altamente correlacionadas, la matriz $X'X$ se aproxima a la singularidad, su inversa tiene valores propios muy pequeños, y las varianzas de $\hat{\beta}_j$ se inflan. El resultado práctico es que los errores estándar aumentan, los estadísticos $t$ se reducen, y variables que en realidad son significativas pueden parecer insignificantes. En situaciones extremas, los coeficientes pueden incluso cambiar de signo respecto a lo esperado teóricamente.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Diagnóstico: tres herramientas.</w:t>
      </w:r>
      <w:r>
        <w:rPr>
          <w:rFonts w:ascii="Times New Roman" w:hAnsi="Times New Roman" w:cs="Times New Roman"/>
          <w:rFonts w:ascii="Times New Roman" w:hAnsi="Times New Roman"/>
          <w:b w:val="0"/>
          <w:i w:val="0"/>
          <w:sz w:val="24"/>
        </w:rPr>
        <w:t xml:space="preserve"> Se utilizarán tres herramientas complementarias para diagnosticar la multicolinealidad en el modelo: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(1) Matriz de correlaciones.</w:t>
      </w:r>
      <w:r>
        <w:rPr>
          <w:rFonts w:ascii="Times New Roman" w:hAnsi="Times New Roman" w:cs="Times New Roman"/>
          <w:rFonts w:ascii="Times New Roman" w:hAnsi="Times New Roman"/>
          <w:b w:val="0"/>
          <w:i w:val="0"/>
          <w:sz w:val="24"/>
        </w:rPr>
        <w:t xml:space="preserve"> La inspección de la matriz de correlaciones entre las variables explicativas es el diagnóstico más inmediato. Un coeficiente de correlación $|r_{ij}| &gt; 0{,}8$ entre dos variables $X_i$ y $X_j$ es señal de multicolinealidad potencialmente problemática y requiere atención. Se esperan correlaciones moderadas entre, por ejemplo, TIPS e IPC (ambos ligados a la política monetaria) y entre el DXY y el WTI (ambos ligados al ciclo global de materias primas).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(2) Factor de Inflación de la Varianza (VIF).</w:t>
      </w:r>
      <w:r>
        <w:rPr>
          <w:rFonts w:ascii="Times New Roman" w:hAnsi="Times New Roman" w:cs="Times New Roman"/>
          <w:rFonts w:ascii="Times New Roman" w:hAnsi="Times New Roman"/>
          <w:b w:val="0"/>
          <w:i w:val="0"/>
          <w:sz w:val="24"/>
        </w:rPr>
        <w:t xml:space="preserve"> El VIF para el regresor $j$ se define como:</w:t>
      </w:r>
    </w:p>
    <w:p>
      <w:pPr>
        <w:spacing w:before="80" w:after="80"/>
        <w:jc w:val="center"/>
      </w:pPr>
      <w:r>
        <w:rPr>
          <w:rFonts w:ascii="Times New Roman" w:hAnsi="Times New Roman" w:cs="Times New Roman"/>
          <w:rFonts w:ascii="Times New Roman" w:hAnsi="Times New Roman"/>
          <w:b w:val="0"/>
          <w:i/>
          <w:sz w:val="24"/>
        </w:rPr>
        <w:t>VIF_j = \frac{1}{1 - R_j^2}</w:t>
      </w:r>
    </w:p>
    <w:p>
      <w:pPr/>
      <w:r>
        <w:rPr>
          <w:rFonts w:ascii="Times New Roman" w:hAnsi="Times New Roman" w:cs="Times New Roman"/>
          <w:rFonts w:ascii="Times New Roman" w:hAnsi="Times New Roman"/>
          <w:b w:val="0"/>
          <w:i w:val="0"/>
          <w:sz w:val="24"/>
        </w:rPr>
        <w:t xml:space="preserve">donde $R_j^2$ es el coeficiente de determinación de la regresión auxiliar de $X_j$ sobre el resto de regresores. Intuitivamente, un $VIF_j$ elevado indica que $X_j$ está bien "explicada" por las demás variables —es decir, que aporta poca información marginal—. El umbral convencional es $VIF_j &gt; 10$, que corresponde a $R_j^2 &gt; 0{,}9$. Si alguna variable supera ese umbral, se estudiará su eliminación o su sustitución por la alternativa prevista en las secciones anteriores (por ejemplo, eliminar el IPC si el </w:t>
      </w:r>
      <w:r>
        <w:rPr>
          <w:rFonts w:ascii="Times New Roman" w:hAnsi="Times New Roman" w:cs="Times New Roman"/>
          <w:rFonts w:ascii="Times New Roman" w:hAnsi="Times New Roman"/>
          <w:b w:val="0"/>
          <w:i/>
          <w:sz w:val="24"/>
        </w:rPr>
        <w:t>breakeven</w:t>
      </w:r>
      <w:r>
        <w:rPr>
          <w:rFonts w:ascii="Times New Roman" w:hAnsi="Times New Roman" w:cs="Times New Roman"/>
          <w:rFonts w:ascii="Times New Roman" w:hAnsi="Times New Roman"/>
          <w:b w:val="0"/>
          <w:i w:val="0"/>
          <w:sz w:val="24"/>
        </w:rPr>
        <w:t xml:space="preserve"> recoge la misma información, o eliminar Google Trends si los flujos de ETF tienen VIF más 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(3) Número de condición de la matriz $X'X$.</w:t>
      </w:r>
      <w:r>
        <w:rPr>
          <w:rFonts w:ascii="Times New Roman" w:hAnsi="Times New Roman" w:cs="Times New Roman"/>
          <w:rFonts w:ascii="Times New Roman" w:hAnsi="Times New Roman"/>
          <w:b w:val="0"/>
          <w:i w:val="0"/>
          <w:sz w:val="24"/>
        </w:rPr>
        <w:t xml:space="preserve"> El número de condición $\kappa$ es el cociente entre el mayor y el menor valor propio de la matriz $X'X$ normalizada. Un $\kappa &lt; 30$ indica ausencia de multicolinealidad problemática; $30 &lt; \kappa &lt; 100$ sugiere multicolinealidad moderada; $\kappa &gt; 100$ indica multicolinealidad severa que requiere intervención (Belsley, Kuh y Welsch, 1980).</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Tratamiento.</w:t>
      </w:r>
      <w:r>
        <w:rPr>
          <w:rFonts w:ascii="Times New Roman" w:hAnsi="Times New Roman" w:cs="Times New Roman"/>
          <w:rFonts w:ascii="Times New Roman" w:hAnsi="Times New Roman"/>
          <w:b w:val="0"/>
          <w:i w:val="0"/>
          <w:sz w:val="24"/>
        </w:rPr>
        <w:t xml:space="preserve"> Si el diagnóstico detecta multicolinealidad severa, se seguirá el siguiente protocolo por orden de preferencia: (1) eliminar la variable con mayor VIF que tenga justificación teórica más débil; (2) sustituir las variables colineales por su diferencia o su ratio (por ejemplo, el </w:t>
      </w:r>
      <w:r>
        <w:rPr>
          <w:rFonts w:ascii="Times New Roman" w:hAnsi="Times New Roman" w:cs="Times New Roman"/>
          <w:rFonts w:ascii="Times New Roman" w:hAnsi="Times New Roman"/>
          <w:b w:val="0"/>
          <w:i/>
          <w:sz w:val="24"/>
        </w:rPr>
        <w:t>spread</w:t>
      </w:r>
      <w:r>
        <w:rPr>
          <w:rFonts w:ascii="Times New Roman" w:hAnsi="Times New Roman" w:cs="Times New Roman"/>
          <w:rFonts w:ascii="Times New Roman" w:hAnsi="Times New Roman"/>
          <w:b w:val="0"/>
          <w:i w:val="0"/>
          <w:sz w:val="24"/>
        </w:rPr>
        <w:t xml:space="preserve"> entre tipos nominales y reales en lugar de incluir ambos por separado); (3) en el contexto de los modelos de machine learning del Capítulo 6, aplicar regularización L2 (</w:t>
      </w:r>
      <w:r>
        <w:rPr>
          <w:rFonts w:ascii="Times New Roman" w:hAnsi="Times New Roman" w:cs="Times New Roman"/>
          <w:rFonts w:ascii="Times New Roman" w:hAnsi="Times New Roman"/>
          <w:b w:val="0"/>
          <w:i/>
          <w:sz w:val="24"/>
        </w:rPr>
        <w:t>Ridge</w:t>
      </w:r>
      <w:r>
        <w:rPr>
          <w:rFonts w:ascii="Times New Roman" w:hAnsi="Times New Roman" w:cs="Times New Roman"/>
          <w:rFonts w:ascii="Times New Roman" w:hAnsi="Times New Roman"/>
          <w:b w:val="0"/>
          <w:i w:val="0"/>
          <w:sz w:val="24"/>
        </w:rPr>
        <w:t>) o L1 (</w:t>
      </w:r>
      <w:r>
        <w:rPr>
          <w:rFonts w:ascii="Times New Roman" w:hAnsi="Times New Roman" w:cs="Times New Roman"/>
          <w:rFonts w:ascii="Times New Roman" w:hAnsi="Times New Roman"/>
          <w:b w:val="0"/>
          <w:i/>
          <w:sz w:val="24"/>
        </w:rPr>
        <w:t>LASSO</w:t>
      </w:r>
      <w:r>
        <w:rPr>
          <w:rFonts w:ascii="Times New Roman" w:hAnsi="Times New Roman" w:cs="Times New Roman"/>
          <w:rFonts w:ascii="Times New Roman" w:hAnsi="Times New Roman"/>
          <w:b w:val="0"/>
          <w:i w:val="0"/>
          <w:sz w:val="24"/>
        </w:rPr>
        <w:t>), que penalizan automáticamente la complejidad y gestionan la multicolinealidad sin eliminar variables.</w:t>
      </w:r>
    </w:p>
    <w:p>
      <w:pPr>
        <w:pStyle w:val="Heading3"/>
      </w:pPr>
      <w:r>
        <w:t>3.7.3 Condiciones del término de error: hipótesis clásicas y extensiones para series temporales</w:t>
      </w:r>
    </w:p>
    <w:p>
      <w:pPr/>
      <w:r>
        <w:rPr>
          <w:rFonts w:ascii="Times New Roman" w:hAnsi="Times New Roman" w:cs="Times New Roman"/>
          <w:rFonts w:ascii="Times New Roman" w:hAnsi="Times New Roman"/>
          <w:b w:val="0"/>
          <w:i w:val="0"/>
          <w:sz w:val="24"/>
        </w:rPr>
        <w:t>El modelo de regresión lineal múltiple produce estimadores con propiedades estadísticas deseables —insesgadez, eficiencia y consistencia— solo si el término de error $\varepsilon_t$ cumple un conjunto de condiciones. En el contexto de series temporales financieras, estas condiciones deben extenderse respecto a las del modelo de regresión clásico de corte transversal.</w:t>
      </w:r>
    </w:p>
    <w:p>
      <w:pPr/>
      <w:r>
        <w:rPr>
          <w:rFonts w:ascii="Times New Roman" w:hAnsi="Times New Roman" w:cs="Times New Roman"/>
          <w:rFonts w:ascii="Times New Roman" w:hAnsi="Times New Roman"/>
          <w:b w:val="0"/>
          <w:i w:val="0"/>
          <w:sz w:val="24"/>
        </w:rPr>
        <w:t>#### Condición 1: Media condicional cero — $E[\varepsilon_t \mid X_t] = 0$</w:t>
      </w:r>
    </w:p>
    <w:p>
      <w:pPr/>
      <w:r>
        <w:rPr>
          <w:rFonts w:ascii="Times New Roman" w:hAnsi="Times New Roman" w:cs="Times New Roman"/>
          <w:rFonts w:ascii="Times New Roman" w:hAnsi="Times New Roman"/>
          <w:b w:val="0"/>
          <w:i w:val="0"/>
          <w:sz w:val="24"/>
        </w:rPr>
        <w:t>Esta condición exige que los regresores sean exógenos: no deben estar correlacionados con el término de error. En un modelo de precios financieros, esto implica que ninguna de las variables explicativas incorpora información que el mercado ya ha usado para fijar el precio del oro en el mismo instante $t$.</w:t>
      </w:r>
    </w:p>
    <w:p>
      <w:pPr/>
      <w:r>
        <w:rPr>
          <w:rFonts w:ascii="Times New Roman" w:hAnsi="Times New Roman" w:cs="Times New Roman"/>
          <w:rFonts w:ascii="Times New Roman" w:hAnsi="Times New Roman"/>
          <w:b w:val="0"/>
          <w:i w:val="0"/>
          <w:sz w:val="24"/>
        </w:rPr>
        <w:t>Con datos mensuales, esta condición es más fácilmente satisfecha que con datos diarios: las variables macroeconómicas (IPC, TIPS, reservas de bancos centrales) son publicadas con retardo por las agencias estadísticas, de modo que en el momento en que se observan ya son información del pasado. La variable de reservas de bancos centrales, que entra retardada dos meses, satisface esta condición por construcción.</w:t>
      </w:r>
    </w:p>
    <w:p>
      <w:pPr/>
      <w:r>
        <w:rPr>
          <w:rFonts w:ascii="Times New Roman" w:hAnsi="Times New Roman" w:cs="Times New Roman"/>
          <w:rFonts w:ascii="Times New Roman" w:hAnsi="Times New Roman"/>
          <w:b w:val="0"/>
          <w:i w:val="0"/>
          <w:sz w:val="24"/>
        </w:rPr>
        <w:t>Para los activos financieros cotizados en tiempo real (DXY, VIX, S&amp;P 500), la endogeneidad potencial es más difícil de descartar: el precio del oro puede afectar al VIX o al DXY simultáneamente, creando el sesgo de simultaneidad que formalizan los Modelos de Ecuaciones Simultáneas (MES). En un MES, la ecuación del precio del oro sería una entre varias ecuaciones interrelacionadas, y estimar cada una por MCO por separado produciría estimadores sesgados e inconsistentes —el problema clásico de la endogeneidad de los regresores. El estimador de Variables Instrumentales (IV/MC2E) es la solución uniecuacional estándar cuando se puede identificar un instrumento válido, pero en la práctica encontrar instrumentos externos fuertes y exógenos para variables financieras de alta frecuencia es extremadamente difícil.</w:t>
      </w:r>
    </w:p>
    <w:p>
      <w:pPr/>
      <w:r>
        <w:rPr>
          <w:rFonts w:ascii="Times New Roman" w:hAnsi="Times New Roman" w:cs="Times New Roman"/>
          <w:rFonts w:ascii="Times New Roman" w:hAnsi="Times New Roman"/>
          <w:b w:val="0"/>
          <w:i w:val="0"/>
          <w:sz w:val="24"/>
        </w:rPr>
        <w:t xml:space="preserve">La alternativa —y la que se adoptará en el Capítulo 5— es el modelo </w:t>
      </w:r>
      <w:r>
        <w:rPr>
          <w:rFonts w:ascii="Times New Roman" w:hAnsi="Times New Roman" w:cs="Times New Roman"/>
          <w:rFonts w:ascii="Times New Roman" w:hAnsi="Times New Roman"/>
          <w:b/>
          <w:i w:val="0"/>
          <w:sz w:val="24"/>
        </w:rPr>
        <w:t>VAR</w:t>
      </w:r>
      <w:r>
        <w:rPr>
          <w:rFonts w:ascii="Times New Roman" w:hAnsi="Times New Roman" w:cs="Times New Roman"/>
          <w:rFonts w:ascii="Times New Roman" w:hAnsi="Times New Roman"/>
          <w:b w:val="0"/>
          <w:i w:val="0"/>
          <w:sz w:val="24"/>
        </w:rPr>
        <w:t>, que puede entenderse como el MES en su forma reducida: todas las variables se tratan simétricamente como endógenas, se modela cada una en función de sus propios retardos y de los retardos del resto, y se evita imponer restricciones de exogeneidad a priori que podrían ser incorrectas. Como señaló Sims (1980) al proponer el VAR precisamente como alternativa a los grandes modelos macroeconómicos de ecuaciones simultáneas, "si se sospecha que las restricciones de identificación no son válidas, el VAR proporciona un marco consistente sin necesidad de imponerlas". En nuestro caso, esta lógica se aplica directamente.</w:t>
      </w:r>
    </w:p>
    <w:p>
      <w:pPr/>
      <w:r>
        <w:rPr>
          <w:rFonts w:ascii="Times New Roman" w:hAnsi="Times New Roman" w:cs="Times New Roman"/>
          <w:rFonts w:ascii="Times New Roman" w:hAnsi="Times New Roman"/>
          <w:b w:val="0"/>
          <w:i w:val="0"/>
          <w:sz w:val="24"/>
        </w:rPr>
        <w:t>#### Condición 2: Homocedasticidad — $\text{Var}(\varepsilon_t \mid X_t) = \sigma^2$</w:t>
      </w:r>
    </w:p>
    <w:p>
      <w:pPr/>
      <w:r>
        <w:rPr>
          <w:rFonts w:ascii="Times New Roman" w:hAnsi="Times New Roman" w:cs="Times New Roman"/>
          <w:rFonts w:ascii="Times New Roman" w:hAnsi="Times New Roman"/>
          <w:b w:val="0"/>
          <w:i w:val="0"/>
          <w:sz w:val="24"/>
        </w:rPr>
        <w:t xml:space="preserve">Esta condición exige que la varianza del error sea constante en el tiempo. Es la condición más frecuentemente violada en series financieras: los mercados alternán periodos de calma y de turbulencia, generando </w:t>
      </w:r>
      <w:r>
        <w:rPr>
          <w:rFonts w:ascii="Times New Roman" w:hAnsi="Times New Roman" w:cs="Times New Roman"/>
          <w:rFonts w:ascii="Times New Roman" w:hAnsi="Times New Roman"/>
          <w:b/>
          <w:i w:val="0"/>
          <w:sz w:val="24"/>
        </w:rPr>
        <w:t>heterocedasticidad condicional</w:t>
      </w:r>
      <w:r>
        <w:rPr>
          <w:rFonts w:ascii="Times New Roman" w:hAnsi="Times New Roman" w:cs="Times New Roman"/>
          <w:rFonts w:ascii="Times New Roman" w:hAnsi="Times New Roman"/>
          <w:b w:val="0"/>
          <w:i w:val="0"/>
          <w:sz w:val="24"/>
        </w:rPr>
        <w:t xml:space="preserve"> — la varianza del error es alta en crisis y baja en periodos tranquilos —. En el caso del oro, esta heterocedasticidad es especialmente pronunciada en los cinco episodios de crisis descritos en el Capítulo 2.</w:t>
      </w:r>
    </w:p>
    <w:p>
      <w:pPr/>
      <w:r>
        <w:rPr>
          <w:rFonts w:ascii="Times New Roman" w:hAnsi="Times New Roman" w:cs="Times New Roman"/>
          <w:rFonts w:ascii="Times New Roman" w:hAnsi="Times New Roman"/>
          <w:b w:val="0"/>
          <w:i w:val="0"/>
          <w:sz w:val="24"/>
        </w:rPr>
        <w:t>Su violación no invalida los estimadores MCO —que siguen siendo insesgados y consistentes— pero los hace ineficientes: ya no son los de mínima varianza, y los errores estándar convencionales están sesgados, lo que hace que los tests $t$ y $F$ sean incorrectos.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Detección:</w:t>
      </w:r>
      <w:r>
        <w:rPr>
          <w:rFonts w:ascii="Times New Roman" w:hAnsi="Times New Roman" w:cs="Times New Roman"/>
          <w:rFonts w:ascii="Times New Roman" w:hAnsi="Times New Roman"/>
          <w:b w:val="0"/>
          <w:i w:val="0"/>
          <w:sz w:val="24"/>
        </w:rPr>
        <w:t xml:space="preserve"> Se aplicará el test de Breusch-Pagan (1979) y el test de White (1980), ambos basados en la regresión de los residuos al cuadrado sobre las variables explicativas y sus cuadrados e interacciones.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Corrección:</w:t>
      </w:r>
      <w:r>
        <w:rPr>
          <w:rFonts w:ascii="Times New Roman" w:hAnsi="Times New Roman" w:cs="Times New Roman"/>
          <w:rFonts w:ascii="Times New Roman" w:hAnsi="Times New Roman"/>
          <w:b w:val="0"/>
          <w:i w:val="0"/>
          <w:sz w:val="24"/>
        </w:rPr>
        <w:t xml:space="preserve"> Si se detecta heterocedasticidad, se utilizarán </w:t>
      </w:r>
      <w:r>
        <w:rPr>
          <w:rFonts w:ascii="Times New Roman" w:hAnsi="Times New Roman" w:cs="Times New Roman"/>
          <w:rFonts w:ascii="Times New Roman" w:hAnsi="Times New Roman"/>
          <w:b/>
          <w:i w:val="0"/>
          <w:sz w:val="24"/>
        </w:rPr>
        <w:t>errores estándar robustos de Newey-West</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Heteroscedasticity and Autocorrelation Consistent</w:t>
      </w:r>
      <w:r>
        <w:rPr>
          <w:rFonts w:ascii="Times New Roman" w:hAnsi="Times New Roman" w:cs="Times New Roman"/>
          <w:rFonts w:ascii="Times New Roman" w:hAnsi="Times New Roman"/>
          <w:b w:val="0"/>
          <w:i w:val="0"/>
          <w:sz w:val="24"/>
        </w:rPr>
        <w:t>, HAC), que son válidos bajo formas arbitrarias de heterocedasticidad y autocorrelación. Adicionalmente, el análisis de volatilidad del Capítulo 5 modelará la heterocedasticidad condicional explícitamente mediante un modelo GARCH, convirtiendo lo que en la regresión es un problema en el objeto de análisis en sí mismo.</w:t>
      </w:r>
    </w:p>
    <w:p>
      <w:pPr/>
      <w:r>
        <w:rPr>
          <w:rFonts w:ascii="Times New Roman" w:hAnsi="Times New Roman" w:cs="Times New Roman"/>
          <w:rFonts w:ascii="Times New Roman" w:hAnsi="Times New Roman"/>
          <w:b w:val="0"/>
          <w:i w:val="0"/>
          <w:sz w:val="24"/>
        </w:rPr>
        <w:t>#### Condición 3: Ausencia de autocorrelación — $\text{Cov}(\varepsilon_t, \varepsilon_s \mid X) = 0$ para $t \neq s$</w:t>
      </w:r>
    </w:p>
    <w:p>
      <w:pPr/>
      <w:r>
        <w:rPr>
          <w:rFonts w:ascii="Times New Roman" w:hAnsi="Times New Roman" w:cs="Times New Roman"/>
          <w:rFonts w:ascii="Times New Roman" w:hAnsi="Times New Roman"/>
          <w:b w:val="0"/>
          <w:i w:val="0"/>
          <w:sz w:val="24"/>
        </w:rPr>
        <w:t>Esta condición exige que los errores no estén correlacionados entre sí en el tiempo. En series temporales financieras mensuales, la autocorrelación de los residuos es casi universal: el precio del oro hoy depende parcialmente del precio del oro el mes pasado, y esa dependencia dinámica, si no está recogida por los regresores, queda en el término de error.</w:t>
      </w:r>
    </w:p>
    <w:p>
      <w:pPr/>
      <w:r>
        <w:rPr>
          <w:rFonts w:ascii="Times New Roman" w:hAnsi="Times New Roman" w:cs="Times New Roman"/>
          <w:rFonts w:ascii="Times New Roman" w:hAnsi="Times New Roman"/>
          <w:b w:val="0"/>
          <w:i w:val="0"/>
          <w:sz w:val="24"/>
        </w:rPr>
        <w:t>Al igual que la heterocedasticidad, la autocorrelación no sesga los estimadores MCO pero sí infla o deflacta los errores estándar, haciendo que los tests de significatividad sean incorrectos.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Detección:</w:t>
      </w:r>
      <w:r>
        <w:rPr>
          <w:rFonts w:ascii="Times New Roman" w:hAnsi="Times New Roman" w:cs="Times New Roman"/>
          <w:rFonts w:ascii="Times New Roman" w:hAnsi="Times New Roman"/>
          <w:b w:val="0"/>
          <w:i w:val="0"/>
          <w:sz w:val="24"/>
        </w:rPr>
        <w:t xml:space="preserve"> Se aplicará el test de Durbin-Watson (para autocorrelación de orden 1) y el test de Breusch-Godfrey (para autocorrelación de órdenes superiores, más apropiado cuando el modelo incluye variables retardadas).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Corrección:</w:t>
      </w:r>
      <w:r>
        <w:rPr>
          <w:rFonts w:ascii="Times New Roman" w:hAnsi="Times New Roman" w:cs="Times New Roman"/>
          <w:rFonts w:ascii="Times New Roman" w:hAnsi="Times New Roman"/>
          <w:b w:val="0"/>
          <w:i w:val="0"/>
          <w:sz w:val="24"/>
        </w:rPr>
        <w:t xml:space="preserve"> De nuevo, los errores estándar de Newey-West son la solución más directa. En el marco VAR del Capítulo 5, la autocorrelación se trata endógenamente incluyendo los retardos óptimos de cada variable (determinados mediante AIC y BIC), de modo que los residuos del VAR correctamente especificado deberían ser ruido blanco.</w:t>
      </w:r>
    </w:p>
    <w:p>
      <w:pPr/>
      <w:r>
        <w:rPr>
          <w:rFonts w:ascii="Times New Roman" w:hAnsi="Times New Roman" w:cs="Times New Roman"/>
          <w:rFonts w:ascii="Times New Roman" w:hAnsi="Times New Roman"/>
          <w:b w:val="0"/>
          <w:i w:val="0"/>
          <w:sz w:val="24"/>
        </w:rPr>
        <w:t>#### Condición 4: Normalidad del error — $\varepsilon_t \sim N(0, \sigma^2)$</w:t>
      </w:r>
    </w:p>
    <w:p>
      <w:pPr/>
      <w:r>
        <w:rPr>
          <w:rFonts w:ascii="Times New Roman" w:hAnsi="Times New Roman" w:cs="Times New Roman"/>
          <w:rFonts w:ascii="Times New Roman" w:hAnsi="Times New Roman"/>
          <w:b w:val="0"/>
          <w:i w:val="0"/>
          <w:sz w:val="24"/>
        </w:rPr>
        <w:t>La normalidad del término de error no es necesaria para que los estimadores MCO sean insesgados, eficientes o consistentes —estas propiedades se derivan exclusivamente de las condiciones anteriores—. Sin embargo, sí es necesaria para que los tests $t$ y $F$ sean exactos en muestras finitas. Con $n = 312$ observaciones, el teorema central del límite garantiza que los estimadores MCO son aproximadamente normales incluso si los errores no lo son, por lo que la condición de normalidad tiene relevancia práctica limitada en este trabajo.</w:t>
      </w:r>
    </w:p>
    <w:p>
      <w:pPr/>
      <w:r>
        <w:rPr>
          <w:rFonts w:ascii="Times New Roman" w:hAnsi="Times New Roman" w:cs="Times New Roman"/>
          <w:rFonts w:ascii="Times New Roman" w:hAnsi="Times New Roman"/>
          <w:b w:val="0"/>
          <w:i w:val="0"/>
          <w:sz w:val="24"/>
        </w:rPr>
        <w:t xml:space="preserve">No obstante, se realizará el test de Jarque-Bera sobre los residuos como diagnóstico informativo. Las series financieras tipicamente exhiben </w:t>
      </w:r>
      <w:r>
        <w:rPr>
          <w:rFonts w:ascii="Times New Roman" w:hAnsi="Times New Roman" w:cs="Times New Roman"/>
          <w:rFonts w:ascii="Times New Roman" w:hAnsi="Times New Roman"/>
          <w:b/>
          <w:i w:val="0"/>
          <w:sz w:val="24"/>
        </w:rPr>
        <w:t>exceso de curtosis</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fat tails</w:t>
      </w:r>
      <w:r>
        <w:rPr>
          <w:rFonts w:ascii="Times New Roman" w:hAnsi="Times New Roman" w:cs="Times New Roman"/>
          <w:rFonts w:ascii="Times New Roman" w:hAnsi="Times New Roman"/>
          <w:b w:val="0"/>
          <w:i w:val="0"/>
          <w:sz w:val="24"/>
        </w:rPr>
        <w:t>) — las distribuciones de los retornos tienen más masa en las colas que una normal —, lo que el modelo GARCH del Capítulo 5 modelará explícitamente mediante distribuciones $t$ de Student o GED (</w:t>
      </w:r>
      <w:r>
        <w:rPr>
          <w:rFonts w:ascii="Times New Roman" w:hAnsi="Times New Roman" w:cs="Times New Roman"/>
          <w:rFonts w:ascii="Times New Roman" w:hAnsi="Times New Roman"/>
          <w:b w:val="0"/>
          <w:i/>
          <w:sz w:val="24"/>
        </w:rPr>
        <w:t>Generalized Error Distribution</w:t>
      </w:r>
      <w:r>
        <w:rPr>
          <w:rFonts w:ascii="Times New Roman" w:hAnsi="Times New Roman" w:cs="Times New Roman"/>
          <w:rFonts w:ascii="Times New Roman" w:hAnsi="Times New Roman"/>
          <w:b w:val="0"/>
          <w:i w:val="0"/>
          <w:sz w:val="24"/>
        </w:rPr>
        <w:t>).</w:t>
      </w:r>
    </w:p>
    <w:p>
      <w:pPr/>
      <w:r>
        <w:rPr>
          <w:rFonts w:ascii="Times New Roman" w:hAnsi="Times New Roman" w:cs="Times New Roman"/>
          <w:rFonts w:ascii="Times New Roman" w:hAnsi="Times New Roman"/>
          <w:b w:val="0"/>
          <w:i w:val="0"/>
          <w:sz w:val="24"/>
        </w:rPr>
        <w:t>#### Condición 5 (específica de series temporales): Estacionariedad</w:t>
      </w:r>
    </w:p>
    <w:p>
      <w:pPr/>
      <w:r>
        <w:rPr>
          <w:rFonts w:ascii="Times New Roman" w:hAnsi="Times New Roman" w:cs="Times New Roman"/>
          <w:rFonts w:ascii="Times New Roman" w:hAnsi="Times New Roman"/>
          <w:b w:val="0"/>
          <w:i w:val="0"/>
          <w:sz w:val="24"/>
        </w:rPr>
        <w:t xml:space="preserve">La condición más crítica en el contexto de este trabajo es la </w:t>
      </w:r>
      <w:r>
        <w:rPr>
          <w:rFonts w:ascii="Times New Roman" w:hAnsi="Times New Roman" w:cs="Times New Roman"/>
          <w:rFonts w:ascii="Times New Roman" w:hAnsi="Times New Roman"/>
          <w:b/>
          <w:i w:val="0"/>
          <w:sz w:val="24"/>
        </w:rPr>
        <w:t>estacionariedad</w:t>
      </w:r>
      <w:r>
        <w:rPr>
          <w:rFonts w:ascii="Times New Roman" w:hAnsi="Times New Roman" w:cs="Times New Roman"/>
          <w:rFonts w:ascii="Times New Roman" w:hAnsi="Times New Roman"/>
          <w:b w:val="0"/>
          <w:i w:val="0"/>
          <w:sz w:val="24"/>
        </w:rPr>
        <w:t xml:space="preserve"> de las series. Una serie temporal es estacionaria (en sentido débil) si su media, varianza y estructura de covarianzas son constantes en el tiempo. La mayoría de las variables macroeconómicas y financieras son </w:t>
      </w:r>
      <w:r>
        <w:rPr>
          <w:rFonts w:ascii="Times New Roman" w:hAnsi="Times New Roman" w:cs="Times New Roman"/>
          <w:rFonts w:ascii="Times New Roman" w:hAnsi="Times New Roman"/>
          <w:b/>
          <w:i w:val="0"/>
          <w:sz w:val="24"/>
        </w:rPr>
        <w:t>no estacionarias</w:t>
      </w:r>
      <w:r>
        <w:rPr>
          <w:rFonts w:ascii="Times New Roman" w:hAnsi="Times New Roman" w:cs="Times New Roman"/>
          <w:rFonts w:ascii="Times New Roman" w:hAnsi="Times New Roman"/>
          <w:b w:val="0"/>
          <w:i w:val="0"/>
          <w:sz w:val="24"/>
        </w:rPr>
        <w:t>: tienen tendencia, y su varianza crece con el tiempo.</w:t>
      </w:r>
    </w:p>
    <w:p>
      <w:pPr/>
      <w:r>
        <w:rPr>
          <w:rFonts w:ascii="Times New Roman" w:hAnsi="Times New Roman" w:cs="Times New Roman"/>
          <w:rFonts w:ascii="Times New Roman" w:hAnsi="Times New Roman"/>
          <w:b w:val="0"/>
          <w:i w:val="0"/>
          <w:sz w:val="24"/>
        </w:rPr>
        <w:t xml:space="preserve">Regresar una variable no estacionaria sobre otra no estacionaria sin los cuidados adecuados produce la </w:t>
      </w:r>
      <w:r>
        <w:rPr>
          <w:rFonts w:ascii="Times New Roman" w:hAnsi="Times New Roman" w:cs="Times New Roman"/>
          <w:rFonts w:ascii="Times New Roman" w:hAnsi="Times New Roman"/>
          <w:b/>
          <w:i w:val="0"/>
          <w:sz w:val="24"/>
        </w:rPr>
        <w:t>regresión espuria</w:t>
      </w:r>
      <w:r>
        <w:rPr>
          <w:rFonts w:ascii="Times New Roman" w:hAnsi="Times New Roman" w:cs="Times New Roman"/>
          <w:rFonts w:ascii="Times New Roman" w:hAnsi="Times New Roman"/>
          <w:b w:val="0"/>
          <w:i w:val="0"/>
          <w:sz w:val="24"/>
        </w:rPr>
        <w:t>: los coeficientes parecen significativos y el $R^2$ es alto, pero la relación es estadísticamente espuria — fruto de tendencias compartidas, no de causalidad económica —. Yule (1926) fue el primero en documentar este fenómeno, y Granger y Newbold (1974) lo formalizaron en el contexto de series económicas.</w:t>
      </w:r>
    </w:p>
    <w:p>
      <w:pPr/>
      <w:r>
        <w:rPr>
          <w:rFonts w:ascii="Times New Roman" w:hAnsi="Times New Roman" w:cs="Times New Roman"/>
          <w:rFonts w:ascii="Times New Roman" w:hAnsi="Times New Roman"/>
          <w:b w:val="0"/>
          <w:i w:val="0"/>
          <w:sz w:val="24"/>
        </w:rPr>
        <w:t>La solución depende de la estructura de las series:</w:t>
      </w:r>
    </w:p>
    <w:p>
      <w:pPr/>
      <w:r>
        <w:rPr>
          <w:rFonts w:ascii="Times New Roman" w:hAnsi="Times New Roman" w:cs="Times New Roman"/>
          <w:rFonts w:ascii="Times New Roman" w:hAnsi="Times New Roman"/>
          <w:b w:val="0"/>
          <w:i w:val="0"/>
          <w:sz w:val="24"/>
        </w:rPr>
        <w:t xml:space="preserve">- Si las series son integradas de orden 1 —$I(1)$, es decir, estacionarias en primeras diferencias— y </w:t>
      </w:r>
      <w:r>
        <w:rPr>
          <w:rFonts w:ascii="Times New Roman" w:hAnsi="Times New Roman" w:cs="Times New Roman"/>
          <w:rFonts w:ascii="Times New Roman" w:hAnsi="Times New Roman"/>
          <w:b/>
          <w:i w:val="0"/>
          <w:sz w:val="24"/>
        </w:rPr>
        <w:t>no están cointegradas</w:t>
      </w:r>
      <w:r>
        <w:rPr>
          <w:rFonts w:ascii="Times New Roman" w:hAnsi="Times New Roman" w:cs="Times New Roman"/>
          <w:rFonts w:ascii="Times New Roman" w:hAnsi="Times New Roman"/>
          <w:b w:val="0"/>
          <w:i w:val="0"/>
          <w:sz w:val="24"/>
        </w:rPr>
        <w:t>, se estimará el modelo en primeras diferencias, perdiendo información de largo plazo pero evitando la regresión espuria.</w:t>
      </w:r>
    </w:p>
    <w:p>
      <w:pPr/>
      <w:r>
        <w:rPr>
          <w:rFonts w:ascii="Times New Roman" w:hAnsi="Times New Roman" w:cs="Times New Roman"/>
          <w:rFonts w:ascii="Times New Roman" w:hAnsi="Times New Roman"/>
          <w:b w:val="0"/>
          <w:i w:val="0"/>
          <w:sz w:val="24"/>
        </w:rPr>
        <w:t xml:space="preserve">- Si las series $I(1)$ </w:t>
      </w:r>
      <w:r>
        <w:rPr>
          <w:rFonts w:ascii="Times New Roman" w:hAnsi="Times New Roman" w:cs="Times New Roman"/>
          <w:rFonts w:ascii="Times New Roman" w:hAnsi="Times New Roman"/>
          <w:b/>
          <w:i w:val="0"/>
          <w:sz w:val="24"/>
        </w:rPr>
        <w:t>están cointegradas</w:t>
      </w:r>
      <w:r>
        <w:rPr>
          <w:rFonts w:ascii="Times New Roman" w:hAnsi="Times New Roman" w:cs="Times New Roman"/>
          <w:rFonts w:ascii="Times New Roman" w:hAnsi="Times New Roman"/>
          <w:b w:val="0"/>
          <w:i w:val="0"/>
          <w:sz w:val="24"/>
        </w:rPr>
        <w:t xml:space="preserve"> —existe una combinación lineal estacionaria entre ellas, interpretable como una relación de largo plazo—, se estimará un modelo de corrección de error vectorial (VECM), que captura tanto la dinámica de corto plazo (en diferencias) como el ajuste al equilibrio de largo plazo. El análisis de Johansen del Capítulo 5 determinará cuántas relaciones de cointegración existen entre las variables del modelo.</w:t>
      </w:r>
    </w:p>
    <w:p>
      <w:pPr/>
      <w:r>
        <w:rPr>
          <w:rFonts w:ascii="Times New Roman" w:hAnsi="Times New Roman" w:cs="Times New Roman"/>
          <w:rFonts w:ascii="Times New Roman" w:hAnsi="Times New Roman"/>
          <w:b w:val="0"/>
          <w:i w:val="0"/>
          <w:sz w:val="24"/>
        </w:rPr>
        <w:t>- Si las series son estacionarias $I(0)$, se estimará directamente el modelo en niveles.</w:t>
      </w:r>
    </w:p>
    <w:p>
      <w:pPr/>
      <w:r>
        <w:rPr>
          <w:rFonts w:ascii="Times New Roman" w:hAnsi="Times New Roman" w:cs="Times New Roman"/>
          <w:rFonts w:ascii="Times New Roman" w:hAnsi="Times New Roman"/>
          <w:b w:val="0"/>
          <w:i w:val="0"/>
          <w:sz w:val="24"/>
        </w:rPr>
        <w:t>Los tests de Dickey-Fuller Aumentado (ADF) y KPSS —cuyas hipótesis nulas son opuestas, lo que permite una diagnosis cruzada más robusta— se aplicarán sistemáticamente a cada serie en el Capítulo 4, y sus resultados determinarán la transformación adecuada para cada variable antes de la estimación.</w:t>
      </w:r>
    </w:p>
    <w:p>
      <w:pPr>
        <w:pStyle w:val="Heading3"/>
      </w:pPr>
      <w:r>
        <w:t>3.7.4 Síntesis: condiciones esperadas y protocolo de actuación</w:t>
      </w:r>
    </w:p>
    <w:p>
      <w:pPr/>
      <w:r>
        <w:rPr>
          <w:rFonts w:ascii="Times New Roman" w:hAnsi="Times New Roman" w:cs="Times New Roman"/>
          <w:rFonts w:ascii="Times New Roman" w:hAnsi="Times New Roman"/>
          <w:b w:val="0"/>
          <w:i w:val="0"/>
          <w:sz w:val="24"/>
        </w:rPr>
        <w:t>La siguiente tabla resume las cinco condiciones del término de error, la probabilidad esperada de violación dado el tipo de datos utilizados, el test de diagnóstico que se aplicará y la corrección prevista:</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Condición</w:t>
            </w:r>
          </w:p>
        </w:tc>
        <w:tc>
          <w:tcPr>
            <w:tcW w:type="dxa" w:w="2126"/>
          </w:tcPr>
          <w:p>
            <w:pPr>
              <w:spacing w:line="240" w:lineRule="auto"/>
              <w:jc w:val="center"/>
            </w:pPr>
            <w:r/>
            <w:r>
              <w:rPr>
                <w:rFonts w:ascii="Times New Roman" w:hAnsi="Times New Roman" w:cs="Times New Roman"/>
                <w:rFonts w:ascii="Times New Roman" w:hAnsi="Times New Roman"/>
                <w:b/>
                <w:i w:val="0"/>
                <w:sz w:val="20"/>
              </w:rPr>
              <w:t>Violación esperada</w:t>
            </w:r>
          </w:p>
        </w:tc>
        <w:tc>
          <w:tcPr>
            <w:tcW w:type="dxa" w:w="2126"/>
          </w:tcPr>
          <w:p>
            <w:pPr>
              <w:spacing w:line="240" w:lineRule="auto"/>
              <w:jc w:val="center"/>
            </w:pPr>
            <w:r/>
            <w:r>
              <w:rPr>
                <w:rFonts w:ascii="Times New Roman" w:hAnsi="Times New Roman" w:cs="Times New Roman"/>
                <w:rFonts w:ascii="Times New Roman" w:hAnsi="Times New Roman"/>
                <w:b/>
                <w:i w:val="0"/>
                <w:sz w:val="20"/>
              </w:rPr>
              <w:t>Test de diagnóstico</w:t>
            </w:r>
          </w:p>
        </w:tc>
        <w:tc>
          <w:tcPr>
            <w:tcW w:type="dxa" w:w="2126"/>
          </w:tcPr>
          <w:p>
            <w:pPr>
              <w:spacing w:line="240" w:lineRule="auto"/>
              <w:jc w:val="center"/>
            </w:pPr>
            <w:r/>
            <w:r>
              <w:rPr>
                <w:rFonts w:ascii="Times New Roman" w:hAnsi="Times New Roman" w:cs="Times New Roman"/>
                <w:rFonts w:ascii="Times New Roman" w:hAnsi="Times New Roman"/>
                <w:b/>
                <w:i w:val="0"/>
                <w:sz w:val="20"/>
              </w:rPr>
              <w:t>Corrección prevista</w:t>
            </w:r>
          </w:p>
        </w:tc>
      </w:tr>
      <w:tr>
        <w:tc>
          <w:tcPr>
            <w:tcW w:type="dxa" w:w="2126"/>
          </w:tcPr>
          <w:p>
            <w:pPr>
              <w:spacing w:line="240" w:lineRule="auto"/>
            </w:pPr>
            <w:r/>
            <w:r>
              <w:rPr>
                <w:rFonts w:ascii="Times New Roman" w:hAnsi="Times New Roman" w:cs="Times New Roman"/>
                <w:rFonts w:ascii="Times New Roman" w:hAnsi="Times New Roman"/>
                <w:b w:val="0"/>
                <w:i w:val="0"/>
                <w:sz w:val="20"/>
              </w:rPr>
              <w:t>Media condicional cero</w:t>
            </w:r>
          </w:p>
        </w:tc>
        <w:tc>
          <w:tcPr>
            <w:tcW w:type="dxa" w:w="2126"/>
          </w:tcPr>
          <w:p>
            <w:pPr>
              <w:spacing w:line="240" w:lineRule="auto"/>
            </w:pPr>
            <w:r/>
            <w:r>
              <w:rPr>
                <w:rFonts w:ascii="Times New Roman" w:hAnsi="Times New Roman" w:cs="Times New Roman"/>
                <w:rFonts w:ascii="Times New Roman" w:hAnsi="Times New Roman"/>
                <w:b w:val="0"/>
                <w:i w:val="0"/>
                <w:sz w:val="20"/>
              </w:rPr>
              <w:t>Baja (datos mensuales, VAR)</w:t>
            </w:r>
          </w:p>
        </w:tc>
        <w:tc>
          <w:tcPr>
            <w:tcW w:type="dxa" w:w="2126"/>
          </w:tcPr>
          <w:p>
            <w:pPr>
              <w:spacing w:line="240" w:lineRule="auto"/>
            </w:pPr>
            <w:r/>
            <w:r>
              <w:rPr>
                <w:rFonts w:ascii="Times New Roman" w:hAnsi="Times New Roman" w:cs="Times New Roman"/>
                <w:rFonts w:ascii="Times New Roman" w:hAnsi="Times New Roman"/>
                <w:b w:val="0"/>
                <w:i w:val="0"/>
                <w:sz w:val="20"/>
              </w:rPr>
              <w:t>Especificación general</w:t>
            </w:r>
          </w:p>
        </w:tc>
        <w:tc>
          <w:tcPr>
            <w:tcW w:type="dxa" w:w="2126"/>
          </w:tcPr>
          <w:p>
            <w:pPr>
              <w:spacing w:line="240" w:lineRule="auto"/>
            </w:pPr>
            <w:r/>
            <w:r>
              <w:rPr>
                <w:rFonts w:ascii="Times New Roman" w:hAnsi="Times New Roman" w:cs="Times New Roman"/>
                <w:rFonts w:ascii="Times New Roman" w:hAnsi="Times New Roman"/>
                <w:b w:val="0"/>
                <w:i w:val="0"/>
                <w:sz w:val="20"/>
              </w:rPr>
              <w:t>Modelo VAR (endogeneidad conjunta)</w:t>
            </w:r>
          </w:p>
        </w:tc>
      </w:tr>
      <w:tr>
        <w:tc>
          <w:tcPr>
            <w:tcW w:type="dxa" w:w="2126"/>
          </w:tcPr>
          <w:p>
            <w:pPr>
              <w:spacing w:line="240" w:lineRule="auto"/>
            </w:pPr>
            <w:r/>
            <w:r>
              <w:rPr>
                <w:rFonts w:ascii="Times New Roman" w:hAnsi="Times New Roman" w:cs="Times New Roman"/>
                <w:rFonts w:ascii="Times New Roman" w:hAnsi="Times New Roman"/>
                <w:b w:val="0"/>
                <w:i w:val="0"/>
                <w:sz w:val="20"/>
              </w:rPr>
              <w:t>Homocedasticidad</w:t>
            </w:r>
          </w:p>
        </w:tc>
        <w:tc>
          <w:tcPr>
            <w:tcW w:type="dxa" w:w="2126"/>
          </w:tcPr>
          <w:p>
            <w:pPr>
              <w:spacing w:line="240" w:lineRule="auto"/>
            </w:pPr>
            <w:r/>
            <w:r>
              <w:rPr>
                <w:rFonts w:ascii="Times New Roman" w:hAnsi="Times New Roman" w:cs="Times New Roman"/>
                <w:rFonts w:ascii="Times New Roman" w:hAnsi="Times New Roman"/>
                <w:b w:val="0"/>
                <w:i w:val="0"/>
                <w:sz w:val="20"/>
              </w:rPr>
              <w:t>Alta (finanzas, crisis)</w:t>
            </w:r>
          </w:p>
        </w:tc>
        <w:tc>
          <w:tcPr>
            <w:tcW w:type="dxa" w:w="2126"/>
          </w:tcPr>
          <w:p>
            <w:pPr>
              <w:spacing w:line="240" w:lineRule="auto"/>
            </w:pPr>
            <w:r/>
            <w:r>
              <w:rPr>
                <w:rFonts w:ascii="Times New Roman" w:hAnsi="Times New Roman" w:cs="Times New Roman"/>
                <w:rFonts w:ascii="Times New Roman" w:hAnsi="Times New Roman"/>
                <w:b w:val="0"/>
                <w:i w:val="0"/>
                <w:sz w:val="20"/>
              </w:rPr>
              <w:t>Breusch-Pagan, White</w:t>
            </w:r>
          </w:p>
        </w:tc>
        <w:tc>
          <w:tcPr>
            <w:tcW w:type="dxa" w:w="2126"/>
          </w:tcPr>
          <w:p>
            <w:pPr>
              <w:spacing w:line="240" w:lineRule="auto"/>
            </w:pPr>
            <w:r/>
            <w:r>
              <w:rPr>
                <w:rFonts w:ascii="Times New Roman" w:hAnsi="Times New Roman" w:cs="Times New Roman"/>
                <w:rFonts w:ascii="Times New Roman" w:hAnsi="Times New Roman"/>
                <w:b w:val="0"/>
                <w:i w:val="0"/>
                <w:sz w:val="20"/>
              </w:rPr>
              <w:t>Errores HAC Newey-West + GARCH</w:t>
            </w:r>
          </w:p>
        </w:tc>
      </w:tr>
      <w:tr>
        <w:tc>
          <w:tcPr>
            <w:tcW w:type="dxa" w:w="2126"/>
          </w:tcPr>
          <w:p>
            <w:pPr>
              <w:spacing w:line="240" w:lineRule="auto"/>
            </w:pPr>
            <w:r/>
            <w:r>
              <w:rPr>
                <w:rFonts w:ascii="Times New Roman" w:hAnsi="Times New Roman" w:cs="Times New Roman"/>
                <w:rFonts w:ascii="Times New Roman" w:hAnsi="Times New Roman"/>
                <w:b w:val="0"/>
                <w:i w:val="0"/>
                <w:sz w:val="20"/>
              </w:rPr>
              <w:t>Ausencia de autocorrelación</w:t>
            </w:r>
          </w:p>
        </w:tc>
        <w:tc>
          <w:tcPr>
            <w:tcW w:type="dxa" w:w="2126"/>
          </w:tcPr>
          <w:p>
            <w:pPr>
              <w:spacing w:line="240" w:lineRule="auto"/>
            </w:pPr>
            <w:r/>
            <w:r>
              <w:rPr>
                <w:rFonts w:ascii="Times New Roman" w:hAnsi="Times New Roman" w:cs="Times New Roman"/>
                <w:rFonts w:ascii="Times New Roman" w:hAnsi="Times New Roman"/>
                <w:b w:val="0"/>
                <w:i w:val="0"/>
                <w:sz w:val="20"/>
              </w:rPr>
              <w:t>Alta (series temporales)</w:t>
            </w:r>
          </w:p>
        </w:tc>
        <w:tc>
          <w:tcPr>
            <w:tcW w:type="dxa" w:w="2126"/>
          </w:tcPr>
          <w:p>
            <w:pPr>
              <w:spacing w:line="240" w:lineRule="auto"/>
            </w:pPr>
            <w:r/>
            <w:r>
              <w:rPr>
                <w:rFonts w:ascii="Times New Roman" w:hAnsi="Times New Roman" w:cs="Times New Roman"/>
                <w:rFonts w:ascii="Times New Roman" w:hAnsi="Times New Roman"/>
                <w:b w:val="0"/>
                <w:i w:val="0"/>
                <w:sz w:val="20"/>
              </w:rPr>
              <w:t>Durbin-Watson, Breusch-Godfrey</w:t>
            </w:r>
          </w:p>
        </w:tc>
        <w:tc>
          <w:tcPr>
            <w:tcW w:type="dxa" w:w="2126"/>
          </w:tcPr>
          <w:p>
            <w:pPr>
              <w:spacing w:line="240" w:lineRule="auto"/>
            </w:pPr>
            <w:r/>
            <w:r>
              <w:rPr>
                <w:rFonts w:ascii="Times New Roman" w:hAnsi="Times New Roman" w:cs="Times New Roman"/>
                <w:rFonts w:ascii="Times New Roman" w:hAnsi="Times New Roman"/>
                <w:b w:val="0"/>
                <w:i w:val="0"/>
                <w:sz w:val="20"/>
              </w:rPr>
              <w:t>Errores HAC + retardos óptimos en VAR</w:t>
            </w:r>
          </w:p>
        </w:tc>
      </w:tr>
      <w:tr>
        <w:tc>
          <w:tcPr>
            <w:tcW w:type="dxa" w:w="2126"/>
          </w:tcPr>
          <w:p>
            <w:pPr>
              <w:spacing w:line="240" w:lineRule="auto"/>
            </w:pPr>
            <w:r/>
            <w:r>
              <w:rPr>
                <w:rFonts w:ascii="Times New Roman" w:hAnsi="Times New Roman" w:cs="Times New Roman"/>
                <w:rFonts w:ascii="Times New Roman" w:hAnsi="Times New Roman"/>
                <w:b w:val="0"/>
                <w:i w:val="0"/>
                <w:sz w:val="20"/>
              </w:rPr>
              <w:t>Normalidad</w:t>
            </w:r>
          </w:p>
        </w:tc>
        <w:tc>
          <w:tcPr>
            <w:tcW w:type="dxa" w:w="2126"/>
          </w:tcPr>
          <w:p>
            <w:pPr>
              <w:spacing w:line="240" w:lineRule="auto"/>
            </w:pPr>
            <w:r/>
            <w:r>
              <w:rPr>
                <w:rFonts w:ascii="Times New Roman" w:hAnsi="Times New Roman" w:cs="Times New Roman"/>
                <w:rFonts w:ascii="Times New Roman" w:hAnsi="Times New Roman"/>
                <w:b w:val="0"/>
                <w:i w:val="0"/>
                <w:sz w:val="20"/>
              </w:rPr>
              <w:t>Moderada (*fat tails*)</w:t>
            </w:r>
          </w:p>
        </w:tc>
        <w:tc>
          <w:tcPr>
            <w:tcW w:type="dxa" w:w="2126"/>
          </w:tcPr>
          <w:p>
            <w:pPr>
              <w:spacing w:line="240" w:lineRule="auto"/>
            </w:pPr>
            <w:r/>
            <w:r>
              <w:rPr>
                <w:rFonts w:ascii="Times New Roman" w:hAnsi="Times New Roman" w:cs="Times New Roman"/>
                <w:rFonts w:ascii="Times New Roman" w:hAnsi="Times New Roman"/>
                <w:b w:val="0"/>
                <w:i w:val="0"/>
                <w:sz w:val="20"/>
              </w:rPr>
              <w:t>Jarque-Bera</w:t>
            </w:r>
          </w:p>
        </w:tc>
        <w:tc>
          <w:tcPr>
            <w:tcW w:type="dxa" w:w="2126"/>
          </w:tcPr>
          <w:p>
            <w:pPr>
              <w:spacing w:line="240" w:lineRule="auto"/>
            </w:pPr>
            <w:r/>
            <w:r>
              <w:rPr>
                <w:rFonts w:ascii="Times New Roman" w:hAnsi="Times New Roman" w:cs="Times New Roman"/>
                <w:rFonts w:ascii="Times New Roman" w:hAnsi="Times New Roman"/>
                <w:b w:val="0"/>
                <w:i w:val="0"/>
                <w:sz w:val="20"/>
              </w:rPr>
              <w:t>Distribución $t$ o GED en GARCH</w:t>
            </w:r>
          </w:p>
        </w:tc>
      </w:tr>
      <w:tr>
        <w:tc>
          <w:tcPr>
            <w:tcW w:type="dxa" w:w="2126"/>
          </w:tcPr>
          <w:p>
            <w:pPr>
              <w:spacing w:line="240" w:lineRule="auto"/>
            </w:pPr>
            <w:r/>
            <w:r>
              <w:rPr>
                <w:rFonts w:ascii="Times New Roman" w:hAnsi="Times New Roman" w:cs="Times New Roman"/>
                <w:rFonts w:ascii="Times New Roman" w:hAnsi="Times New Roman"/>
                <w:b w:val="0"/>
                <w:i w:val="0"/>
                <w:sz w:val="20"/>
              </w:rPr>
              <w:t>Estacionariedad</w:t>
            </w:r>
          </w:p>
        </w:tc>
        <w:tc>
          <w:tcPr>
            <w:tcW w:type="dxa" w:w="2126"/>
          </w:tcPr>
          <w:p>
            <w:pPr>
              <w:spacing w:line="240" w:lineRule="auto"/>
            </w:pPr>
            <w:r/>
            <w:r>
              <w:rPr>
                <w:rFonts w:ascii="Times New Roman" w:hAnsi="Times New Roman" w:cs="Times New Roman"/>
                <w:rFonts w:ascii="Times New Roman" w:hAnsi="Times New Roman"/>
                <w:b w:val="0"/>
                <w:i w:val="0"/>
                <w:sz w:val="20"/>
              </w:rPr>
              <w:t>Alta (variables macro)</w:t>
            </w:r>
          </w:p>
        </w:tc>
        <w:tc>
          <w:tcPr>
            <w:tcW w:type="dxa" w:w="2126"/>
          </w:tcPr>
          <w:p>
            <w:pPr>
              <w:spacing w:line="240" w:lineRule="auto"/>
            </w:pPr>
            <w:r/>
            <w:r>
              <w:rPr>
                <w:rFonts w:ascii="Times New Roman" w:hAnsi="Times New Roman" w:cs="Times New Roman"/>
                <w:rFonts w:ascii="Times New Roman" w:hAnsi="Times New Roman"/>
                <w:b w:val="0"/>
                <w:i w:val="0"/>
                <w:sz w:val="20"/>
              </w:rPr>
              <w:t>ADF, KPSS</w:t>
            </w:r>
          </w:p>
        </w:tc>
        <w:tc>
          <w:tcPr>
            <w:tcW w:type="dxa" w:w="2126"/>
          </w:tcPr>
          <w:p>
            <w:pPr>
              <w:spacing w:line="240" w:lineRule="auto"/>
            </w:pPr>
            <w:r/>
            <w:r>
              <w:rPr>
                <w:rFonts w:ascii="Times New Roman" w:hAnsi="Times New Roman" w:cs="Times New Roman"/>
                <w:rFonts w:ascii="Times New Roman" w:hAnsi="Times New Roman"/>
                <w:b w:val="0"/>
                <w:i w:val="0"/>
                <w:sz w:val="20"/>
              </w:rPr>
              <w:t>Diferenciación o VECM si hay cointegración</w:t>
            </w:r>
          </w:p>
        </w:tc>
      </w:tr>
    </w:tbl>
    <w:p/>
    <w:p>
      <w:pPr/>
      <w:r>
        <w:rPr>
          <w:rFonts w:ascii="Times New Roman" w:hAnsi="Times New Roman" w:cs="Times New Roman"/>
          <w:rFonts w:ascii="Times New Roman" w:hAnsi="Times New Roman"/>
          <w:b w:val="0"/>
          <w:i w:val="0"/>
          <w:sz w:val="24"/>
        </w:rPr>
        <w:t>El protocolo de diagnóstico y corrección se aplicará secuencialmente en el Capítulo 5, comenzando por los tests de raíz unitaria, siguiendo por la especificación del VAR/VECM, y concluyendo con la verificación de los residuos. Un modelo cuyos residuos superen todos los diagnósticos indicados en la tabla —o cuyas violaciones hayan sido explícitamente corregidas— proporciona inferencia estadística válida y resultados econométricamente defendibles.</w:t>
      </w:r>
    </w:p>
    <w:p>
      <w:r>
        <w:br w:type="page"/>
      </w:r>
    </w:p>
    <w:p>
      <w:pPr>
        <w:pStyle w:val="Heading1"/>
      </w:pPr>
      <w:r>
        <w:t>Capítulo 4: Datos, fuentes y análisis exploratorio</w:t>
      </w:r>
    </w:p>
    <w:p>
      <w:pPr>
        <w:pStyle w:val="Heading2"/>
      </w:pPr>
      <w:r>
        <w:t>4.1 Fuentes de datos y periodo de análisis</w:t>
      </w:r>
    </w:p>
    <w:p>
      <w:pPr>
        <w:pStyle w:val="Heading3"/>
      </w:pPr>
      <w:r>
        <w:t>4.1.1 Justificación del periodo 2000–2025</w:t>
      </w:r>
    </w:p>
    <w:p>
      <w:pPr/>
      <w:r>
        <w:rPr>
          <w:rFonts w:ascii="Times New Roman" w:hAnsi="Times New Roman" w:cs="Times New Roman"/>
          <w:rFonts w:ascii="Times New Roman" w:hAnsi="Times New Roman"/>
          <w:b w:val="0"/>
          <w:i w:val="0"/>
          <w:sz w:val="24"/>
        </w:rPr>
        <w:t>El presente estudio analiza el periodo comprendido entre enero de 2000 y diciembre de 2025, lo que configura una muestra de aproximadamente 312 observaciones mensuales. La elección de este horizonte temporal responde a tres criterios fundamentales.</w:t>
      </w:r>
    </w:p>
    <w:p>
      <w:pPr/>
      <w:r>
        <w:rPr>
          <w:rFonts w:ascii="Times New Roman" w:hAnsi="Times New Roman" w:cs="Times New Roman"/>
          <w:rFonts w:ascii="Times New Roman" w:hAnsi="Times New Roman"/>
          <w:b w:val="0"/>
          <w:i w:val="0"/>
          <w:sz w:val="24"/>
        </w:rPr>
        <w:t>En primer lugar, el año 2000 marca un punto de inflexión en la dinámica del oro: tras dos décadas de mercado bajista (1980–1999), caracterizadas por la desinflación, tipos reales elevados y ventas coordinadas de bancos centrales, el metal inicia un ciclo alcista secular que persiste, con intermitencias, hasta la actualidad. Analizar únicamente el periodo post-2000 permite estudiar un régimen de mercado coherente, evitando la heterogeneidad estructural que introduciría incluir la era del patrón oro residual o la liberalización de los años setenta.</w:t>
      </w:r>
    </w:p>
    <w:p>
      <w:pPr/>
      <w:r>
        <w:rPr>
          <w:rFonts w:ascii="Times New Roman" w:hAnsi="Times New Roman" w:cs="Times New Roman"/>
          <w:rFonts w:ascii="Times New Roman" w:hAnsi="Times New Roman"/>
          <w:b w:val="0"/>
          <w:i w:val="0"/>
          <w:sz w:val="24"/>
        </w:rPr>
        <w:t xml:space="preserve">En segundo lugar, la disponibilidad de datos condiciona la fecha de inicio. La serie TIPS a 10 años del Tesoro estadounidense (DFII10), variable central en nuestro análisis como proxy del tipo de interés real, comienza en enero de 2003 en FRED. Para el subperiodo 2000–2002 construimos un proxy </w:t>
      </w:r>
      <w:r>
        <w:rPr>
          <w:rFonts w:ascii="Times New Roman" w:hAnsi="Times New Roman" w:cs="Times New Roman"/>
          <w:rFonts w:ascii="Times New Roman" w:hAnsi="Times New Roman"/>
          <w:b w:val="0"/>
          <w:i/>
          <w:sz w:val="24"/>
        </w:rPr>
        <w:t>ex-post</w:t>
      </w:r>
      <w:r>
        <w:rPr>
          <w:rFonts w:ascii="Times New Roman" w:hAnsi="Times New Roman" w:cs="Times New Roman"/>
          <w:rFonts w:ascii="Times New Roman" w:hAnsi="Times New Roman"/>
          <w:b w:val="0"/>
          <w:i w:val="0"/>
          <w:sz w:val="24"/>
        </w:rPr>
        <w:t xml:space="preserve"> restando la inflación interanual del CPI al rendimiento nominal del bono a 10 años (DGS10 − CPI_YoY), decisión que documentamos como limitación y validamos mediante análisis de robustez desde 2003 en el Capítulo 5.</w:t>
      </w:r>
    </w:p>
    <w:p>
      <w:pPr/>
      <w:r>
        <w:rPr>
          <w:rFonts w:ascii="Times New Roman" w:hAnsi="Times New Roman" w:cs="Times New Roman"/>
          <w:rFonts w:ascii="Times New Roman" w:hAnsi="Times New Roman"/>
          <w:b w:val="0"/>
          <w:i w:val="0"/>
          <w:sz w:val="24"/>
        </w:rPr>
        <w:t>En tercer lugar, el periodo 2000–2025 engloba los cinco episodios críticos identificados en el Capítulo 2 — la Crisis Financiera Global (2007–2009), el pico post-QE y corrección (2011–2013), la pandemia de COVID-19 (2020), el ciclo de subidas de tipos (2022–2024) y la triple confluencia de 2025 — proporcionando variabilidad suficiente para analizar cambios de régimen y estabilidad de los parámetros.</w:t>
      </w:r>
    </w:p>
    <w:p>
      <w:pPr>
        <w:pStyle w:val="Heading3"/>
      </w:pPr>
      <w:r>
        <w:t>4.1.2 Frecuencia mensual: justificación</w:t>
      </w:r>
    </w:p>
    <w:p>
      <w:pPr/>
      <w:r>
        <w:rPr>
          <w:rFonts w:ascii="Times New Roman" w:hAnsi="Times New Roman" w:cs="Times New Roman"/>
          <w:rFonts w:ascii="Times New Roman" w:hAnsi="Times New Roman"/>
          <w:b w:val="0"/>
          <w:i w:val="0"/>
          <w:sz w:val="24"/>
        </w:rPr>
        <w:t>Optamos por frecuencia mensual en lugar de diaria por cuatro razones:</w:t>
      </w:r>
    </w:p>
    <w:p>
      <w:pPr/>
      <w:r>
        <w:rPr>
          <w:rFonts w:ascii="Times New Roman" w:hAnsi="Times New Roman" w:cs="Times New Roman"/>
          <w:rFonts w:ascii="Times New Roman" w:hAnsi="Times New Roman"/>
          <w:b w:val="0"/>
          <w:i w:val="0"/>
          <w:sz w:val="24"/>
        </w:rPr>
        <w:t xml:space="preserve">1. </w:t>
      </w:r>
      <w:r>
        <w:rPr>
          <w:rFonts w:ascii="Times New Roman" w:hAnsi="Times New Roman" w:cs="Times New Roman"/>
          <w:rFonts w:ascii="Times New Roman" w:hAnsi="Times New Roman"/>
          <w:b/>
          <w:i w:val="0"/>
          <w:sz w:val="24"/>
        </w:rPr>
        <w:t>Compatibilidad entre fuentes</w:t>
      </w:r>
      <w:r>
        <w:rPr>
          <w:rFonts w:ascii="Times New Roman" w:hAnsi="Times New Roman" w:cs="Times New Roman"/>
          <w:rFonts w:ascii="Times New Roman" w:hAnsi="Times New Roman"/>
          <w:b w:val="0"/>
          <w:i w:val="0"/>
          <w:sz w:val="24"/>
        </w:rPr>
        <w:t>: El CPI se publica con frecuencia mensual, las reservas de bancos centrales son trimestrales o anuales, y Google Trends proporciona datos mensuales para periodos superiores a cinco años. Una frecuencia diaria obligaría a interpolar estas series, introduciendo ruido artificial.</w:t>
      </w:r>
    </w:p>
    <w:p>
      <w:pPr/>
      <w:r>
        <w:rPr>
          <w:rFonts w:ascii="Times New Roman" w:hAnsi="Times New Roman" w:cs="Times New Roman"/>
          <w:rFonts w:ascii="Times New Roman" w:hAnsi="Times New Roman"/>
          <w:b w:val="0"/>
          <w:i w:val="0"/>
          <w:sz w:val="24"/>
        </w:rPr>
        <w:t xml:space="preserve">2. </w:t>
      </w:r>
      <w:r>
        <w:rPr>
          <w:rFonts w:ascii="Times New Roman" w:hAnsi="Times New Roman" w:cs="Times New Roman"/>
          <w:rFonts w:ascii="Times New Roman" w:hAnsi="Times New Roman"/>
          <w:b/>
          <w:i w:val="0"/>
          <w:sz w:val="24"/>
        </w:rPr>
        <w:t>Relevancia económica</w:t>
      </w:r>
      <w:r>
        <w:rPr>
          <w:rFonts w:ascii="Times New Roman" w:hAnsi="Times New Roman" w:cs="Times New Roman"/>
          <w:rFonts w:ascii="Times New Roman" w:hAnsi="Times New Roman"/>
          <w:b w:val="0"/>
          <w:i w:val="0"/>
          <w:sz w:val="24"/>
        </w:rPr>
        <w:t>: Los catalizadores identificados en el Capítulo 3 operan a horizontes macroeconómicos (política monetaria, inflación, reservas de bancos centrales), donde la señal fundamental se manifiesta a escala mensual o trimestral, no intradiaria.</w:t>
      </w:r>
    </w:p>
    <w:p>
      <w:pPr/>
      <w:r>
        <w:rPr>
          <w:rFonts w:ascii="Times New Roman" w:hAnsi="Times New Roman" w:cs="Times New Roman"/>
          <w:rFonts w:ascii="Times New Roman" w:hAnsi="Times New Roman"/>
          <w:b w:val="0"/>
          <w:i w:val="0"/>
          <w:sz w:val="24"/>
        </w:rPr>
        <w:t xml:space="preserve">3. </w:t>
      </w:r>
      <w:r>
        <w:rPr>
          <w:rFonts w:ascii="Times New Roman" w:hAnsi="Times New Roman" w:cs="Times New Roman"/>
          <w:rFonts w:ascii="Times New Roman" w:hAnsi="Times New Roman"/>
          <w:b/>
          <w:i w:val="0"/>
          <w:sz w:val="24"/>
        </w:rPr>
        <w:t>Reducción de ruido microestructural</w:t>
      </w:r>
      <w:r>
        <w:rPr>
          <w:rFonts w:ascii="Times New Roman" w:hAnsi="Times New Roman" w:cs="Times New Roman"/>
          <w:rFonts w:ascii="Times New Roman" w:hAnsi="Times New Roman"/>
          <w:b w:val="0"/>
          <w:i w:val="0"/>
          <w:sz w:val="24"/>
        </w:rPr>
        <w:t>: Los precios diarios del oro incorporan fricciones de liquidez, efectos de horario (</w:t>
      </w:r>
      <w:r>
        <w:rPr>
          <w:rFonts w:ascii="Times New Roman" w:hAnsi="Times New Roman" w:cs="Times New Roman"/>
          <w:rFonts w:ascii="Times New Roman" w:hAnsi="Times New Roman"/>
          <w:b w:val="0"/>
          <w:i/>
          <w:sz w:val="24"/>
        </w:rPr>
        <w:t>London fixing</w:t>
      </w:r>
      <w:r>
        <w:rPr>
          <w:rFonts w:ascii="Times New Roman" w:hAnsi="Times New Roman" w:cs="Times New Roman"/>
          <w:rFonts w:ascii="Times New Roman" w:hAnsi="Times New Roman"/>
          <w:b w:val="0"/>
          <w:i w:val="0"/>
          <w:sz w:val="24"/>
        </w:rPr>
        <w:t>) y ruido de market-making que oscurecen las relaciones de largo plazo que constituyen el objeto de nuestro análisis.</w:t>
      </w:r>
    </w:p>
    <w:p>
      <w:pPr/>
      <w:r>
        <w:rPr>
          <w:rFonts w:ascii="Times New Roman" w:hAnsi="Times New Roman" w:cs="Times New Roman"/>
          <w:rFonts w:ascii="Times New Roman" w:hAnsi="Times New Roman"/>
          <w:b w:val="0"/>
          <w:i w:val="0"/>
          <w:sz w:val="24"/>
        </w:rPr>
        <w:t xml:space="preserve">4. </w:t>
      </w:r>
      <w:r>
        <w:rPr>
          <w:rFonts w:ascii="Times New Roman" w:hAnsi="Times New Roman" w:cs="Times New Roman"/>
          <w:rFonts w:ascii="Times New Roman" w:hAnsi="Times New Roman"/>
          <w:b/>
          <w:i w:val="0"/>
          <w:sz w:val="24"/>
        </w:rPr>
        <w:t>Consistencia econométrica</w:t>
      </w:r>
      <w:r>
        <w:rPr>
          <w:rFonts w:ascii="Times New Roman" w:hAnsi="Times New Roman" w:cs="Times New Roman"/>
          <w:rFonts w:ascii="Times New Roman" w:hAnsi="Times New Roman"/>
          <w:b w:val="0"/>
          <w:i w:val="0"/>
          <w:sz w:val="24"/>
        </w:rPr>
        <w:t>: Los modelos VAR y VECM del Capítulo 5 se benefician de una frecuencia que equilibre suficientes observaciones (~312) con señales fundamentales limpias, evitando el sobreajuste asociado a más de 6.000 observaciones diarias.</w:t>
      </w:r>
    </w:p>
    <w:p>
      <w:pPr>
        <w:pStyle w:val="Heading3"/>
      </w:pPr>
      <w:r>
        <w:t>4.1.3 Tabla resumen de fuentes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Código / Ticker</w:t>
            </w:r>
          </w:p>
        </w:tc>
        <w:tc>
          <w:tcPr>
            <w:tcW w:type="dxa" w:w="1417"/>
          </w:tcPr>
          <w:p>
            <w:pPr>
              <w:spacing w:line="240" w:lineRule="auto"/>
              <w:jc w:val="center"/>
            </w:pPr>
            <w:r/>
            <w:r>
              <w:rPr>
                <w:rFonts w:ascii="Times New Roman" w:hAnsi="Times New Roman" w:cs="Times New Roman"/>
                <w:rFonts w:ascii="Times New Roman" w:hAnsi="Times New Roman"/>
                <w:b/>
                <w:i w:val="0"/>
                <w:sz w:val="20"/>
              </w:rPr>
              <w:t>Fuente</w:t>
            </w:r>
          </w:p>
        </w:tc>
        <w:tc>
          <w:tcPr>
            <w:tcW w:type="dxa" w:w="1417"/>
          </w:tcPr>
          <w:p>
            <w:pPr>
              <w:spacing w:line="240" w:lineRule="auto"/>
              <w:jc w:val="center"/>
            </w:pPr>
            <w:r/>
            <w:r>
              <w:rPr>
                <w:rFonts w:ascii="Times New Roman" w:hAnsi="Times New Roman" w:cs="Times New Roman"/>
                <w:rFonts w:ascii="Times New Roman" w:hAnsi="Times New Roman"/>
                <w:b/>
                <w:i w:val="0"/>
                <w:sz w:val="20"/>
              </w:rPr>
              <w:t>Frecuencia orig.</w:t>
            </w:r>
          </w:p>
        </w:tc>
        <w:tc>
          <w:tcPr>
            <w:tcW w:type="dxa" w:w="1417"/>
          </w:tcPr>
          <w:p>
            <w:pPr>
              <w:spacing w:line="240" w:lineRule="auto"/>
              <w:jc w:val="center"/>
            </w:pPr>
            <w:r/>
            <w:r>
              <w:rPr>
                <w:rFonts w:ascii="Times New Roman" w:hAnsi="Times New Roman" w:cs="Times New Roman"/>
                <w:rFonts w:ascii="Times New Roman" w:hAnsi="Times New Roman"/>
                <w:b/>
                <w:i w:val="0"/>
                <w:sz w:val="20"/>
              </w:rPr>
              <w:t>Disponibilidad</w:t>
            </w:r>
          </w:p>
        </w:tc>
        <w:tc>
          <w:tcPr>
            <w:tcW w:type="dxa" w:w="1417"/>
          </w:tcPr>
          <w:p>
            <w:pPr>
              <w:spacing w:line="240" w:lineRule="auto"/>
              <w:jc w:val="center"/>
            </w:pPr>
            <w:r/>
            <w:r>
              <w:rPr>
                <w:rFonts w:ascii="Times New Roman" w:hAnsi="Times New Roman" w:cs="Times New Roman"/>
                <w:rFonts w:ascii="Times New Roman" w:hAnsi="Times New Roman"/>
                <w:b/>
                <w:i w:val="0"/>
                <w:sz w:val="20"/>
              </w:rPr>
              <w:t>Transformación</w:t>
            </w:r>
          </w:p>
        </w:tc>
      </w:tr>
      <w:tr>
        <w:tc>
          <w:tcPr>
            <w:tcW w:type="dxa" w:w="1417"/>
          </w:tcPr>
          <w:p>
            <w:pPr>
              <w:spacing w:line="240" w:lineRule="auto"/>
            </w:pPr>
            <w:r/>
            <w:r>
              <w:rPr>
                <w:rFonts w:ascii="Times New Roman" w:hAnsi="Times New Roman" w:cs="Times New Roman"/>
                <w:rFonts w:ascii="Times New Roman" w:hAnsi="Times New Roman"/>
                <w:b w:val="0"/>
                <w:i w:val="0"/>
                <w:sz w:val="20"/>
              </w:rPr>
              <w:t>Precio del oro</w:t>
            </w:r>
          </w:p>
        </w:tc>
        <w:tc>
          <w:tcPr>
            <w:tcW w:type="dxa" w:w="1417"/>
          </w:tcPr>
          <w:p>
            <w:pPr>
              <w:spacing w:line="240" w:lineRule="auto"/>
            </w:pPr>
            <w:r/>
            <w:r>
              <w:rPr>
                <w:rFonts w:ascii="Times New Roman" w:hAnsi="Times New Roman" w:cs="Times New Roman"/>
                <w:rFonts w:ascii="Times New Roman" w:hAnsi="Times New Roman"/>
                <w:b w:val="0"/>
                <w:i w:val="0"/>
                <w:sz w:val="20"/>
              </w:rPr>
              <w:t>GOLDAMGBD228NLBM</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Fin de mes</w:t>
            </w:r>
          </w:p>
        </w:tc>
      </w:tr>
      <w:tr>
        <w:tc>
          <w:tcPr>
            <w:tcW w:type="dxa" w:w="1417"/>
          </w:tcPr>
          <w:p>
            <w:pPr>
              <w:spacing w:line="240" w:lineRule="auto"/>
            </w:pPr>
            <w:r/>
            <w:r>
              <w:rPr>
                <w:rFonts w:ascii="Times New Roman" w:hAnsi="Times New Roman" w:cs="Times New Roman"/>
                <w:rFonts w:ascii="Times New Roman" w:hAnsi="Times New Roman"/>
                <w:b w:val="0"/>
                <w:i w:val="0"/>
                <w:sz w:val="20"/>
              </w:rPr>
              <w:t>Índice del dólar (DXY)</w:t>
            </w:r>
          </w:p>
        </w:tc>
        <w:tc>
          <w:tcPr>
            <w:tcW w:type="dxa" w:w="1417"/>
          </w:tcPr>
          <w:p>
            <w:pPr>
              <w:spacing w:line="240" w:lineRule="auto"/>
            </w:pPr>
            <w:r/>
            <w:r>
              <w:rPr>
                <w:rFonts w:ascii="Times New Roman" w:hAnsi="Times New Roman" w:cs="Times New Roman"/>
                <w:rFonts w:ascii="Times New Roman" w:hAnsi="Times New Roman"/>
                <w:b w:val="0"/>
                <w:i w:val="0"/>
                <w:sz w:val="20"/>
              </w:rPr>
              <w:t>DTWEXBGS</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Media mensual</w:t>
            </w:r>
          </w:p>
        </w:tc>
      </w:tr>
      <w:tr>
        <w:tc>
          <w:tcPr>
            <w:tcW w:type="dxa" w:w="1417"/>
          </w:tcPr>
          <w:p>
            <w:pPr>
              <w:spacing w:line="240" w:lineRule="auto"/>
            </w:pPr>
            <w:r/>
            <w:r>
              <w:rPr>
                <w:rFonts w:ascii="Times New Roman" w:hAnsi="Times New Roman" w:cs="Times New Roman"/>
                <w:rFonts w:ascii="Times New Roman" w:hAnsi="Times New Roman"/>
                <w:b w:val="0"/>
                <w:i w:val="0"/>
                <w:sz w:val="20"/>
              </w:rPr>
              <w:t>TIPS 10Y (tipo real)</w:t>
            </w:r>
          </w:p>
        </w:tc>
        <w:tc>
          <w:tcPr>
            <w:tcW w:type="dxa" w:w="1417"/>
          </w:tcPr>
          <w:p>
            <w:pPr>
              <w:spacing w:line="240" w:lineRule="auto"/>
            </w:pPr>
            <w:r/>
            <w:r>
              <w:rPr>
                <w:rFonts w:ascii="Times New Roman" w:hAnsi="Times New Roman" w:cs="Times New Roman"/>
                <w:rFonts w:ascii="Times New Roman" w:hAnsi="Times New Roman"/>
                <w:b w:val="0"/>
                <w:i w:val="0"/>
                <w:sz w:val="20"/>
              </w:rPr>
              <w:t>DFII10</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2003–2025</w:t>
            </w:r>
          </w:p>
        </w:tc>
        <w:tc>
          <w:tcPr>
            <w:tcW w:type="dxa" w:w="1417"/>
          </w:tcPr>
          <w:p>
            <w:pPr>
              <w:spacing w:line="240" w:lineRule="auto"/>
            </w:pPr>
            <w:r/>
            <w:r>
              <w:rPr>
                <w:rFonts w:ascii="Times New Roman" w:hAnsi="Times New Roman" w:cs="Times New Roman"/>
                <w:rFonts w:ascii="Times New Roman" w:hAnsi="Times New Roman"/>
                <w:b w:val="0"/>
                <w:i w:val="0"/>
                <w:sz w:val="20"/>
              </w:rPr>
              <w:t>Fin de mes; proxy 2000–2002</w:t>
            </w:r>
          </w:p>
        </w:tc>
      </w:tr>
      <w:tr>
        <w:tc>
          <w:tcPr>
            <w:tcW w:type="dxa" w:w="1417"/>
          </w:tcPr>
          <w:p>
            <w:pPr>
              <w:spacing w:line="240" w:lineRule="auto"/>
            </w:pPr>
            <w:r/>
            <w:r>
              <w:rPr>
                <w:rFonts w:ascii="Times New Roman" w:hAnsi="Times New Roman" w:cs="Times New Roman"/>
                <w:rFonts w:ascii="Times New Roman" w:hAnsi="Times New Roman"/>
                <w:b w:val="0"/>
                <w:i w:val="0"/>
                <w:sz w:val="20"/>
              </w:rPr>
              <w:t>Bono nominal 10Y</w:t>
            </w:r>
          </w:p>
        </w:tc>
        <w:tc>
          <w:tcPr>
            <w:tcW w:type="dxa" w:w="1417"/>
          </w:tcPr>
          <w:p>
            <w:pPr>
              <w:spacing w:line="240" w:lineRule="auto"/>
            </w:pPr>
            <w:r/>
            <w:r>
              <w:rPr>
                <w:rFonts w:ascii="Times New Roman" w:hAnsi="Times New Roman" w:cs="Times New Roman"/>
                <w:rFonts w:ascii="Times New Roman" w:hAnsi="Times New Roman"/>
                <w:b w:val="0"/>
                <w:i w:val="0"/>
                <w:sz w:val="20"/>
              </w:rPr>
              <w:t>DGS10</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Auxiliar (proxy TIPS)</w:t>
            </w:r>
          </w:p>
        </w:tc>
      </w:tr>
      <w:tr>
        <w:tc>
          <w:tcPr>
            <w:tcW w:type="dxa" w:w="1417"/>
          </w:tcPr>
          <w:p>
            <w:pPr>
              <w:spacing w:line="240" w:lineRule="auto"/>
            </w:pPr>
            <w:r/>
            <w:r>
              <w:rPr>
                <w:rFonts w:ascii="Times New Roman" w:hAnsi="Times New Roman" w:cs="Times New Roman"/>
                <w:rFonts w:ascii="Times New Roman" w:hAnsi="Times New Roman"/>
                <w:b w:val="0"/>
                <w:i w:val="0"/>
                <w:sz w:val="20"/>
              </w:rPr>
              <w:t>CPI</w:t>
            </w:r>
          </w:p>
        </w:tc>
        <w:tc>
          <w:tcPr>
            <w:tcW w:type="dxa" w:w="1417"/>
          </w:tcPr>
          <w:p>
            <w:pPr>
              <w:spacing w:line="240" w:lineRule="auto"/>
            </w:pPr>
            <w:r/>
            <w:r>
              <w:rPr>
                <w:rFonts w:ascii="Times New Roman" w:hAnsi="Times New Roman" w:cs="Times New Roman"/>
                <w:rFonts w:ascii="Times New Roman" w:hAnsi="Times New Roman"/>
                <w:b w:val="0"/>
                <w:i w:val="0"/>
                <w:sz w:val="20"/>
              </w:rPr>
              <w:t>CPIAUCSL</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Mensual</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Tasa interanual</w:t>
            </w:r>
          </w:p>
        </w:tc>
      </w:tr>
      <w:tr>
        <w:tc>
          <w:tcPr>
            <w:tcW w:type="dxa" w:w="1417"/>
          </w:tcPr>
          <w:p>
            <w:pPr>
              <w:spacing w:line="240" w:lineRule="auto"/>
            </w:pPr>
            <w:r/>
            <w:r>
              <w:rPr>
                <w:rFonts w:ascii="Times New Roman" w:hAnsi="Times New Roman" w:cs="Times New Roman"/>
                <w:rFonts w:ascii="Times New Roman" w:hAnsi="Times New Roman"/>
                <w:b w:val="0"/>
                <w:i w:val="0"/>
                <w:sz w:val="20"/>
              </w:rPr>
              <w:t>Breakeven inflación 10Y</w:t>
            </w:r>
          </w:p>
        </w:tc>
        <w:tc>
          <w:tcPr>
            <w:tcW w:type="dxa" w:w="1417"/>
          </w:tcPr>
          <w:p>
            <w:pPr>
              <w:spacing w:line="240" w:lineRule="auto"/>
            </w:pPr>
            <w:r/>
            <w:r>
              <w:rPr>
                <w:rFonts w:ascii="Times New Roman" w:hAnsi="Times New Roman" w:cs="Times New Roman"/>
                <w:rFonts w:ascii="Times New Roman" w:hAnsi="Times New Roman"/>
                <w:b w:val="0"/>
                <w:i w:val="0"/>
                <w:sz w:val="20"/>
              </w:rPr>
              <w:t>T10YIE</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2003–2025</w:t>
            </w:r>
          </w:p>
        </w:tc>
        <w:tc>
          <w:tcPr>
            <w:tcW w:type="dxa" w:w="1417"/>
          </w:tcPr>
          <w:p>
            <w:pPr>
              <w:spacing w:line="240" w:lineRule="auto"/>
            </w:pPr>
            <w:r/>
            <w:r>
              <w:rPr>
                <w:rFonts w:ascii="Times New Roman" w:hAnsi="Times New Roman" w:cs="Times New Roman"/>
                <w:rFonts w:ascii="Times New Roman" w:hAnsi="Times New Roman"/>
                <w:b w:val="0"/>
                <w:i w:val="0"/>
                <w:sz w:val="20"/>
              </w:rPr>
              <w:t>Fin de mes</w:t>
            </w:r>
          </w:p>
        </w:tc>
      </w:tr>
      <w:tr>
        <w:tc>
          <w:tcPr>
            <w:tcW w:type="dxa" w:w="1417"/>
          </w:tcPr>
          <w:p>
            <w:pPr>
              <w:spacing w:line="240" w:lineRule="auto"/>
            </w:pPr>
            <w:r/>
            <w:r>
              <w:rPr>
                <w:rFonts w:ascii="Times New Roman" w:hAnsi="Times New Roman" w:cs="Times New Roman"/>
                <w:rFonts w:ascii="Times New Roman" w:hAnsi="Times New Roman"/>
                <w:b w:val="0"/>
                <w:i w:val="0"/>
                <w:sz w:val="20"/>
              </w:rPr>
              <w:t>VIX</w:t>
            </w:r>
          </w:p>
        </w:tc>
        <w:tc>
          <w:tcPr>
            <w:tcW w:type="dxa" w:w="1417"/>
          </w:tcPr>
          <w:p>
            <w:pPr>
              <w:spacing w:line="240" w:lineRule="auto"/>
            </w:pPr>
            <w:r/>
            <w:r>
              <w:rPr>
                <w:rFonts w:ascii="Times New Roman" w:hAnsi="Times New Roman" w:cs="Times New Roman"/>
                <w:rFonts w:ascii="Times New Roman" w:hAnsi="Times New Roman"/>
                <w:b w:val="0"/>
                <w:i w:val="0"/>
                <w:sz w:val="20"/>
              </w:rPr>
              <w:t>VIXCLS</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Media mensual</w:t>
            </w:r>
          </w:p>
        </w:tc>
      </w:tr>
      <w:tr>
        <w:tc>
          <w:tcPr>
            <w:tcW w:type="dxa" w:w="1417"/>
          </w:tcPr>
          <w:p>
            <w:pPr>
              <w:spacing w:line="240" w:lineRule="auto"/>
            </w:pPr>
            <w:r/>
            <w:r>
              <w:rPr>
                <w:rFonts w:ascii="Times New Roman" w:hAnsi="Times New Roman" w:cs="Times New Roman"/>
                <w:rFonts w:ascii="Times New Roman" w:hAnsi="Times New Roman"/>
                <w:b w:val="0"/>
                <w:i w:val="0"/>
                <w:sz w:val="20"/>
              </w:rPr>
              <w:t>S&amp;P 500</w:t>
            </w:r>
          </w:p>
        </w:tc>
        <w:tc>
          <w:tcPr>
            <w:tcW w:type="dxa" w:w="1417"/>
          </w:tcPr>
          <w:p>
            <w:pPr>
              <w:spacing w:line="240" w:lineRule="auto"/>
            </w:pPr>
            <w:r/>
            <w:r>
              <w:rPr>
                <w:rFonts w:ascii="Times New Roman" w:hAnsi="Times New Roman" w:cs="Times New Roman"/>
                <w:rFonts w:ascii="Times New Roman" w:hAnsi="Times New Roman"/>
                <w:b w:val="0"/>
                <w:i w:val="0"/>
                <w:sz w:val="20"/>
              </w:rPr>
              <w:t>^GSPC</w:t>
            </w:r>
          </w:p>
        </w:tc>
        <w:tc>
          <w:tcPr>
            <w:tcW w:type="dxa" w:w="1417"/>
          </w:tcPr>
          <w:p>
            <w:pPr>
              <w:spacing w:line="240" w:lineRule="auto"/>
            </w:pPr>
            <w:r/>
            <w:r>
              <w:rPr>
                <w:rFonts w:ascii="Times New Roman" w:hAnsi="Times New Roman" w:cs="Times New Roman"/>
                <w:rFonts w:ascii="Times New Roman" w:hAnsi="Times New Roman"/>
                <w:b w:val="0"/>
                <w:i w:val="0"/>
                <w:sz w:val="20"/>
              </w:rPr>
              <w:t>Yahoo Finance</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Cierre ajust. fin de mes</w:t>
            </w:r>
          </w:p>
        </w:tc>
      </w:tr>
      <w:tr>
        <w:tc>
          <w:tcPr>
            <w:tcW w:type="dxa" w:w="1417"/>
          </w:tcPr>
          <w:p>
            <w:pPr>
              <w:spacing w:line="240" w:lineRule="auto"/>
            </w:pPr>
            <w:r/>
            <w:r>
              <w:rPr>
                <w:rFonts w:ascii="Times New Roman" w:hAnsi="Times New Roman" w:cs="Times New Roman"/>
                <w:rFonts w:ascii="Times New Roman" w:hAnsi="Times New Roman"/>
                <w:b w:val="0"/>
                <w:i w:val="0"/>
                <w:sz w:val="20"/>
              </w:rPr>
              <w:t>WTI petróleo</w:t>
            </w:r>
          </w:p>
        </w:tc>
        <w:tc>
          <w:tcPr>
            <w:tcW w:type="dxa" w:w="1417"/>
          </w:tcPr>
          <w:p>
            <w:pPr>
              <w:spacing w:line="240" w:lineRule="auto"/>
            </w:pPr>
            <w:r/>
            <w:r>
              <w:rPr>
                <w:rFonts w:ascii="Times New Roman" w:hAnsi="Times New Roman" w:cs="Times New Roman"/>
                <w:rFonts w:ascii="Times New Roman" w:hAnsi="Times New Roman"/>
                <w:b w:val="0"/>
                <w:i w:val="0"/>
                <w:sz w:val="20"/>
              </w:rPr>
              <w:t>DCOILWTICO</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Diaria</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Fin de mes</w:t>
            </w:r>
          </w:p>
        </w:tc>
      </w:tr>
      <w:tr>
        <w:tc>
          <w:tcPr>
            <w:tcW w:type="dxa" w:w="1417"/>
          </w:tcPr>
          <w:p>
            <w:pPr>
              <w:spacing w:line="240" w:lineRule="auto"/>
            </w:pPr>
            <w:r/>
            <w:r>
              <w:rPr>
                <w:rFonts w:ascii="Times New Roman" w:hAnsi="Times New Roman" w:cs="Times New Roman"/>
                <w:rFonts w:ascii="Times New Roman" w:hAnsi="Times New Roman"/>
                <w:b w:val="0"/>
                <w:i w:val="0"/>
                <w:sz w:val="20"/>
              </w:rPr>
              <w:t>Fed Funds Rate</w:t>
            </w:r>
          </w:p>
        </w:tc>
        <w:tc>
          <w:tcPr>
            <w:tcW w:type="dxa" w:w="1417"/>
          </w:tcPr>
          <w:p>
            <w:pPr>
              <w:spacing w:line="240" w:lineRule="auto"/>
            </w:pPr>
            <w:r/>
            <w:r>
              <w:rPr>
                <w:rFonts w:ascii="Times New Roman" w:hAnsi="Times New Roman" w:cs="Times New Roman"/>
                <w:rFonts w:ascii="Times New Roman" w:hAnsi="Times New Roman"/>
                <w:b w:val="0"/>
                <w:i w:val="0"/>
                <w:sz w:val="20"/>
              </w:rPr>
              <w:t>FEDFUNDS</w:t>
            </w:r>
          </w:p>
        </w:tc>
        <w:tc>
          <w:tcPr>
            <w:tcW w:type="dxa" w:w="1417"/>
          </w:tcPr>
          <w:p>
            <w:pPr>
              <w:spacing w:line="240" w:lineRule="auto"/>
            </w:pPr>
            <w:r/>
            <w:r>
              <w:rPr>
                <w:rFonts w:ascii="Times New Roman" w:hAnsi="Times New Roman" w:cs="Times New Roman"/>
                <w:rFonts w:ascii="Times New Roman" w:hAnsi="Times New Roman"/>
                <w:b w:val="0"/>
                <w:i w:val="0"/>
                <w:sz w:val="20"/>
              </w:rPr>
              <w:t>FRED</w:t>
            </w:r>
          </w:p>
        </w:tc>
        <w:tc>
          <w:tcPr>
            <w:tcW w:type="dxa" w:w="1417"/>
          </w:tcPr>
          <w:p>
            <w:pPr>
              <w:spacing w:line="240" w:lineRule="auto"/>
            </w:pPr>
            <w:r/>
            <w:r>
              <w:rPr>
                <w:rFonts w:ascii="Times New Roman" w:hAnsi="Times New Roman" w:cs="Times New Roman"/>
                <w:rFonts w:ascii="Times New Roman" w:hAnsi="Times New Roman"/>
                <w:b w:val="0"/>
                <w:i w:val="0"/>
                <w:sz w:val="20"/>
              </w:rPr>
              <w:t>Mensual</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Nivel</w:t>
            </w:r>
          </w:p>
        </w:tc>
      </w:tr>
      <w:tr>
        <w:tc>
          <w:tcPr>
            <w:tcW w:type="dxa" w:w="1417"/>
          </w:tcPr>
          <w:p>
            <w:pPr>
              <w:spacing w:line="240" w:lineRule="auto"/>
            </w:pPr>
            <w:r/>
            <w:r>
              <w:rPr>
                <w:rFonts w:ascii="Times New Roman" w:hAnsi="Times New Roman" w:cs="Times New Roman"/>
                <w:rFonts w:ascii="Times New Roman" w:hAnsi="Times New Roman"/>
                <w:b w:val="0"/>
                <w:i w:val="0"/>
                <w:sz w:val="20"/>
              </w:rPr>
              <w:t>Reservas BC (oro)</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c>
          <w:tcPr>
            <w:tcW w:type="dxa" w:w="1417"/>
          </w:tcPr>
          <w:p>
            <w:pPr>
              <w:spacing w:line="240" w:lineRule="auto"/>
            </w:pPr>
            <w:r/>
            <w:r>
              <w:rPr>
                <w:rFonts w:ascii="Times New Roman" w:hAnsi="Times New Roman" w:cs="Times New Roman"/>
                <w:rFonts w:ascii="Times New Roman" w:hAnsi="Times New Roman"/>
                <w:b w:val="0"/>
                <w:i w:val="0"/>
                <w:sz w:val="20"/>
              </w:rPr>
              <w:t>World Gold Council</w:t>
            </w:r>
          </w:p>
        </w:tc>
        <w:tc>
          <w:tcPr>
            <w:tcW w:type="dxa" w:w="1417"/>
          </w:tcPr>
          <w:p>
            <w:pPr>
              <w:spacing w:line="240" w:lineRule="auto"/>
            </w:pPr>
            <w:r/>
            <w:r>
              <w:rPr>
                <w:rFonts w:ascii="Times New Roman" w:hAnsi="Times New Roman" w:cs="Times New Roman"/>
                <w:rFonts w:ascii="Times New Roman" w:hAnsi="Times New Roman"/>
                <w:b w:val="0"/>
                <w:i w:val="0"/>
                <w:sz w:val="20"/>
              </w:rPr>
              <w:t>Trimestral/anual</w:t>
            </w:r>
          </w:p>
        </w:tc>
        <w:tc>
          <w:tcPr>
            <w:tcW w:type="dxa" w:w="1417"/>
          </w:tcPr>
          <w:p>
            <w:pPr>
              <w:spacing w:line="240" w:lineRule="auto"/>
            </w:pPr>
            <w:r/>
            <w:r>
              <w:rPr>
                <w:rFonts w:ascii="Times New Roman" w:hAnsi="Times New Roman" w:cs="Times New Roman"/>
                <w:rFonts w:ascii="Times New Roman" w:hAnsi="Times New Roman"/>
                <w:b w:val="0"/>
                <w:i w:val="0"/>
                <w:sz w:val="20"/>
              </w:rPr>
              <w:t>2000–2025</w:t>
            </w:r>
          </w:p>
        </w:tc>
        <w:tc>
          <w:tcPr>
            <w:tcW w:type="dxa" w:w="1417"/>
          </w:tcPr>
          <w:p>
            <w:pPr>
              <w:spacing w:line="240" w:lineRule="auto"/>
            </w:pPr>
            <w:r/>
            <w:r>
              <w:rPr>
                <w:rFonts w:ascii="Times New Roman" w:hAnsi="Times New Roman" w:cs="Times New Roman"/>
                <w:rFonts w:ascii="Times New Roman" w:hAnsi="Times New Roman"/>
                <w:b w:val="0"/>
                <w:i w:val="0"/>
                <w:sz w:val="20"/>
              </w:rPr>
              <w:t>Δ + lag 2 meses</w:t>
            </w:r>
          </w:p>
        </w:tc>
      </w:tr>
      <w:tr>
        <w:tc>
          <w:tcPr>
            <w:tcW w:type="dxa" w:w="1417"/>
          </w:tcPr>
          <w:p>
            <w:pPr>
              <w:spacing w:line="240" w:lineRule="auto"/>
            </w:pPr>
            <w:r/>
            <w:r>
              <w:rPr>
                <w:rFonts w:ascii="Times New Roman" w:hAnsi="Times New Roman" w:cs="Times New Roman"/>
                <w:rFonts w:ascii="Times New Roman" w:hAnsi="Times New Roman"/>
                <w:b w:val="0"/>
                <w:i w:val="0"/>
                <w:sz w:val="20"/>
              </w:rPr>
              <w:t>Google Trends</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c>
          <w:tcPr>
            <w:tcW w:type="dxa" w:w="1417"/>
          </w:tcPr>
          <w:p>
            <w:pPr>
              <w:spacing w:line="240" w:lineRule="auto"/>
            </w:pPr>
            <w:r/>
            <w:r>
              <w:rPr>
                <w:rFonts w:ascii="Times New Roman" w:hAnsi="Times New Roman" w:cs="Times New Roman"/>
                <w:rFonts w:ascii="Times New Roman" w:hAnsi="Times New Roman"/>
                <w:b w:val="0"/>
                <w:i w:val="0"/>
                <w:sz w:val="20"/>
              </w:rPr>
              <w:t>Google Trends</w:t>
            </w:r>
          </w:p>
        </w:tc>
        <w:tc>
          <w:tcPr>
            <w:tcW w:type="dxa" w:w="1417"/>
          </w:tcPr>
          <w:p>
            <w:pPr>
              <w:spacing w:line="240" w:lineRule="auto"/>
            </w:pPr>
            <w:r/>
            <w:r>
              <w:rPr>
                <w:rFonts w:ascii="Times New Roman" w:hAnsi="Times New Roman" w:cs="Times New Roman"/>
                <w:rFonts w:ascii="Times New Roman" w:hAnsi="Times New Roman"/>
                <w:b w:val="0"/>
                <w:i w:val="0"/>
                <w:sz w:val="20"/>
              </w:rPr>
              <w:t>Mensual</w:t>
            </w:r>
          </w:p>
        </w:tc>
        <w:tc>
          <w:tcPr>
            <w:tcW w:type="dxa" w:w="1417"/>
          </w:tcPr>
          <w:p>
            <w:pPr>
              <w:spacing w:line="240" w:lineRule="auto"/>
            </w:pPr>
            <w:r/>
            <w:r>
              <w:rPr>
                <w:rFonts w:ascii="Times New Roman" w:hAnsi="Times New Roman" w:cs="Times New Roman"/>
                <w:rFonts w:ascii="Times New Roman" w:hAnsi="Times New Roman"/>
                <w:b w:val="0"/>
                <w:i w:val="0"/>
                <w:sz w:val="20"/>
              </w:rPr>
              <w:t>2004–2025</w:t>
            </w:r>
          </w:p>
        </w:tc>
        <w:tc>
          <w:tcPr>
            <w:tcW w:type="dxa" w:w="1417"/>
          </w:tcPr>
          <w:p>
            <w:pPr>
              <w:spacing w:line="240" w:lineRule="auto"/>
            </w:pPr>
            <w:r/>
            <w:r>
              <w:rPr>
                <w:rFonts w:ascii="Times New Roman" w:hAnsi="Times New Roman" w:cs="Times New Roman"/>
                <w:rFonts w:ascii="Times New Roman" w:hAnsi="Times New Roman"/>
                <w:b w:val="0"/>
                <w:i w:val="0"/>
                <w:sz w:val="20"/>
              </w:rPr>
              <w:t>Rescalado chunks</w:t>
            </w:r>
          </w:p>
        </w:tc>
      </w:tr>
      <w:tr>
        <w:tc>
          <w:tcPr>
            <w:tcW w:type="dxa" w:w="1417"/>
          </w:tcPr>
          <w:p>
            <w:pPr>
              <w:spacing w:line="240" w:lineRule="auto"/>
            </w:pPr>
            <w:r/>
            <w:r>
              <w:rPr>
                <w:rFonts w:ascii="Times New Roman" w:hAnsi="Times New Roman" w:cs="Times New Roman"/>
                <w:rFonts w:ascii="Times New Roman" w:hAnsi="Times New Roman"/>
                <w:b w:val="0"/>
                <w:i w:val="0"/>
                <w:sz w:val="20"/>
              </w:rPr>
              <w:t>ETF flows</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c>
          <w:tcPr>
            <w:tcW w:type="dxa" w:w="1417"/>
          </w:tcPr>
          <w:p>
            <w:pPr>
              <w:spacing w:line="240" w:lineRule="auto"/>
            </w:pPr>
            <w:r/>
            <w:r>
              <w:rPr>
                <w:rFonts w:ascii="Times New Roman" w:hAnsi="Times New Roman" w:cs="Times New Roman"/>
                <w:rFonts w:ascii="Times New Roman" w:hAnsi="Times New Roman"/>
                <w:b w:val="0"/>
                <w:i w:val="0"/>
                <w:sz w:val="20"/>
              </w:rPr>
              <w:t>World Gold Council</w:t>
            </w:r>
          </w:p>
        </w:tc>
        <w:tc>
          <w:tcPr>
            <w:tcW w:type="dxa" w:w="1417"/>
          </w:tcPr>
          <w:p>
            <w:pPr>
              <w:spacing w:line="240" w:lineRule="auto"/>
            </w:pPr>
            <w:r/>
            <w:r>
              <w:rPr>
                <w:rFonts w:ascii="Times New Roman" w:hAnsi="Times New Roman" w:cs="Times New Roman"/>
                <w:rFonts w:ascii="Times New Roman" w:hAnsi="Times New Roman"/>
                <w:b w:val="0"/>
                <w:i w:val="0"/>
                <w:sz w:val="20"/>
              </w:rPr>
              <w:t>Mensual</w:t>
            </w:r>
          </w:p>
        </w:tc>
        <w:tc>
          <w:tcPr>
            <w:tcW w:type="dxa" w:w="1417"/>
          </w:tcPr>
          <w:p>
            <w:pPr>
              <w:spacing w:line="240" w:lineRule="auto"/>
            </w:pPr>
            <w:r/>
            <w:r>
              <w:rPr>
                <w:rFonts w:ascii="Times New Roman" w:hAnsi="Times New Roman" w:cs="Times New Roman"/>
                <w:rFonts w:ascii="Times New Roman" w:hAnsi="Times New Roman"/>
                <w:b w:val="0"/>
                <w:i w:val="0"/>
                <w:sz w:val="20"/>
              </w:rPr>
              <w:t>2004–2025</w:t>
            </w:r>
          </w:p>
        </w:tc>
        <w:tc>
          <w:tcPr>
            <w:tcW w:type="dxa" w:w="1417"/>
          </w:tcPr>
          <w:p>
            <w:pPr>
              <w:spacing w:line="240" w:lineRule="auto"/>
            </w:pPr>
            <w:r/>
            <w:r>
              <w:rPr>
                <w:rFonts w:ascii="Times New Roman" w:hAnsi="Times New Roman" w:cs="Times New Roman"/>
                <w:rFonts w:ascii="Times New Roman" w:hAnsi="Times New Roman"/>
                <w:b w:val="0"/>
                <w:i w:val="0"/>
                <w:sz w:val="20"/>
              </w:rPr>
              <w:t>Nivel</w:t>
            </w:r>
          </w:p>
        </w:tc>
      </w:tr>
    </w:tbl>
    <w:p/>
    <w:p>
      <w:pPr>
        <w:pStyle w:val="Heading2"/>
      </w:pPr>
      <w:r>
        <w:t>4.2 Construcción del pipeline de datos</w:t>
      </w:r>
    </w:p>
    <w:p>
      <w:pPr>
        <w:pStyle w:val="Heading3"/>
      </w:pPr>
      <w:r>
        <w:t>4.2.1 Filosofía: reproducibilidad total</w:t>
      </w:r>
    </w:p>
    <w:p>
      <w:pPr/>
      <w:r>
        <w:rPr>
          <w:rFonts w:ascii="Times New Roman" w:hAnsi="Times New Roman" w:cs="Times New Roman"/>
          <w:rFonts w:ascii="Times New Roman" w:hAnsi="Times New Roman"/>
          <w:b w:val="0"/>
          <w:i w:val="0"/>
          <w:sz w:val="24"/>
        </w:rPr>
        <w:t>Todo el pipeline de datos se implementa en Python siguiendo el principio de reproducibilidad completa. El directorio `src/data/` contiene cuatro módulos que ejecutan secuencialmente las etapas de descarga, limpieza, fusión y validación. Cualquier investigador con acceso a una API key de FRED (gratuita) y los datos manuales del World Gold Council puede regenerar el dataset maestro ejecutando un único comando:</w:t>
      </w:r>
    </w:p>
    <w:p>
      <w:pPr>
        <w:pStyle w:val="Heading3"/>
      </w:pPr>
      <w:r>
        <w:t>4.2.2 Decisiones de limpieza</w:t>
      </w:r>
    </w:p>
    <w:p>
      <w:pPr/>
      <w:r>
        <w:rPr>
          <w:rFonts w:ascii="Times New Roman" w:hAnsi="Times New Roman" w:cs="Times New Roman"/>
          <w:rFonts w:ascii="Times New Roman" w:hAnsi="Times New Roman"/>
          <w:b w:val="0"/>
          <w:i w:val="0"/>
          <w:sz w:val="24"/>
        </w:rPr>
        <w:t>Las transformaciones aplicadas a cada variable reflejan las decisiones metodológicas justificadas en el Capítulo 3:</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Resampleo a fin de mes vs. media mensual.</w:t>
      </w:r>
      <w:r>
        <w:rPr>
          <w:rFonts w:ascii="Times New Roman" w:hAnsi="Times New Roman" w:cs="Times New Roman"/>
          <w:rFonts w:ascii="Times New Roman" w:hAnsi="Times New Roman"/>
          <w:b w:val="0"/>
          <w:i w:val="0"/>
          <w:sz w:val="24"/>
        </w:rPr>
        <w:t xml:space="preserve"> Para variables de precio (oro, S&amp;P 500, WTI, TIPS, breakeven), utilizamos el último valor disponible del mes, que captura la información acumulada al cierre del periodo. Para el VIX, sin embargo, empleamos la media mensual: al ser un índice de volatilidad implícita con fuerte reversión a la media, el promedio mensual es más representativo que un punto aislado.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Proxy TIPS 2000–2002.</w:t>
      </w:r>
      <w:r>
        <w:rPr>
          <w:rFonts w:ascii="Times New Roman" w:hAnsi="Times New Roman" w:cs="Times New Roman"/>
          <w:rFonts w:ascii="Times New Roman" w:hAnsi="Times New Roman"/>
          <w:b w:val="0"/>
          <w:i w:val="0"/>
          <w:sz w:val="24"/>
        </w:rPr>
        <w:t xml:space="preserve"> El rendimiento real </w:t>
      </w:r>
      <w:r>
        <w:rPr>
          <w:rFonts w:ascii="Times New Roman" w:hAnsi="Times New Roman" w:cs="Times New Roman"/>
          <w:rFonts w:ascii="Times New Roman" w:hAnsi="Times New Roman"/>
          <w:b w:val="0"/>
          <w:i/>
          <w:sz w:val="24"/>
        </w:rPr>
        <w:t>ex-post</w:t>
      </w:r>
      <w:r>
        <w:rPr>
          <w:rFonts w:ascii="Times New Roman" w:hAnsi="Times New Roman" w:cs="Times New Roman"/>
          <w:rFonts w:ascii="Times New Roman" w:hAnsi="Times New Roman"/>
          <w:b w:val="0"/>
          <w:i w:val="0"/>
          <w:sz w:val="24"/>
        </w:rPr>
        <w:t xml:space="preserve"> se construye como:</w:t>
      </w:r>
    </w:p>
    <w:p>
      <w:pPr>
        <w:spacing w:before="80" w:after="80"/>
        <w:jc w:val="center"/>
      </w:pPr>
      <w:r>
        <w:rPr>
          <w:rFonts w:ascii="Times New Roman" w:hAnsi="Times New Roman" w:cs="Times New Roman"/>
          <w:rFonts w:ascii="Times New Roman" w:hAnsi="Times New Roman"/>
          <w:b w:val="0"/>
          <w:i/>
          <w:sz w:val="24"/>
        </w:rPr>
        <w:t>r_{real,t}^{proxy} = DGS10_t - \left(\frac{CPI_t}{CPI_{t-12}} - 1\right) \times 100</w:t>
      </w:r>
    </w:p>
    <w:p>
      <w:pPr/>
      <w:r>
        <w:rPr>
          <w:rFonts w:ascii="Times New Roman" w:hAnsi="Times New Roman" w:cs="Times New Roman"/>
          <w:rFonts w:ascii="Times New Roman" w:hAnsi="Times New Roman"/>
          <w:b w:val="0"/>
          <w:i w:val="0"/>
          <w:sz w:val="24"/>
        </w:rPr>
        <w:t xml:space="preserve">Esta aproximación difiere del rendimiento real </w:t>
      </w:r>
      <w:r>
        <w:rPr>
          <w:rFonts w:ascii="Times New Roman" w:hAnsi="Times New Roman" w:cs="Times New Roman"/>
          <w:rFonts w:ascii="Times New Roman" w:hAnsi="Times New Roman"/>
          <w:b w:val="0"/>
          <w:i/>
          <w:sz w:val="24"/>
        </w:rPr>
        <w:t>ex-ante</w:t>
      </w:r>
      <w:r>
        <w:rPr>
          <w:rFonts w:ascii="Times New Roman" w:hAnsi="Times New Roman" w:cs="Times New Roman"/>
          <w:rFonts w:ascii="Times New Roman" w:hAnsi="Times New Roman"/>
          <w:b w:val="0"/>
          <w:i w:val="0"/>
          <w:sz w:val="24"/>
        </w:rPr>
        <w:t xml:space="preserve"> que capturan los TIPS (que incorporan expectativas de inflación), pero constituye la mejor alternativa disponible para extender la serie al periodo pre-2003. En el Capítulo 5 ejecutamos todos los modelos desde 2003 como análisis de robustez.</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Inflación: tasa interanual.</w:t>
      </w:r>
      <w:r>
        <w:rPr>
          <w:rFonts w:ascii="Times New Roman" w:hAnsi="Times New Roman" w:cs="Times New Roman"/>
          <w:rFonts w:ascii="Times New Roman" w:hAnsi="Times New Roman"/>
          <w:b w:val="0"/>
          <w:i w:val="0"/>
          <w:sz w:val="24"/>
        </w:rPr>
        <w:t xml:space="preserve"> Transformamos el nivel del CPI en tasa de variación interanual, que es la medida relevante para los agentes económicos y la que la literatura empírica (Erb y Harvey, 2013; O'Connor </w:t>
      </w:r>
      <w:r>
        <w:rPr>
          <w:rFonts w:ascii="Times New Roman" w:hAnsi="Times New Roman" w:cs="Times New Roman"/>
          <w:rFonts w:ascii="Times New Roman" w:hAnsi="Times New Roman"/>
          <w:b w:val="0"/>
          <w:i/>
          <w:sz w:val="24"/>
        </w:rPr>
        <w:t>et al.</w:t>
      </w:r>
      <w:r>
        <w:rPr>
          <w:rFonts w:ascii="Times New Roman" w:hAnsi="Times New Roman" w:cs="Times New Roman"/>
          <w:rFonts w:ascii="Times New Roman" w:hAnsi="Times New Roman"/>
          <w:b w:val="0"/>
          <w:i w:val="0"/>
          <w:sz w:val="24"/>
        </w:rPr>
        <w:t>, 2015) utiliza como catalizador del precio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Reservas de bancos centrales.</w:t>
      </w:r>
      <w:r>
        <w:rPr>
          <w:rFonts w:ascii="Times New Roman" w:hAnsi="Times New Roman" w:cs="Times New Roman"/>
          <w:rFonts w:ascii="Times New Roman" w:hAnsi="Times New Roman"/>
          <w:b w:val="0"/>
          <w:i w:val="0"/>
          <w:sz w:val="24"/>
        </w:rPr>
        <w:t xml:space="preserve"> Aplicamos primera diferencia (variación neta) y un lag de dos meses para respetar el retraso de publicación del World Gold Council. Si los datos originales son trimestrales o anuales, interpolamos linealmente a frecuencia mensual antes de diferenciar.</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Google Trends: rescalado por chunks.</w:t>
      </w:r>
      <w:r>
        <w:rPr>
          <w:rFonts w:ascii="Times New Roman" w:hAnsi="Times New Roman" w:cs="Times New Roman"/>
          <w:rFonts w:ascii="Times New Roman" w:hAnsi="Times New Roman"/>
          <w:b w:val="0"/>
          <w:i w:val="0"/>
          <w:sz w:val="24"/>
        </w:rPr>
        <w:t xml:space="preserve"> Google Trends normaliza cada consulta a un rango 0–100 dentro del periodo solicitado, lo que impide comparaciones directas entre periodos no solapados. Descargamos en chunks de cinco años con seis meses de solapamiento, calculando un factor de escala en la zona común para construir una serie continua y comparable.</w:t>
      </w:r>
    </w:p>
    <w:p>
      <w:pPr>
        <w:pStyle w:val="Heading3"/>
      </w:pPr>
      <w:r>
        <w:t>4.2.3 Dataset final</w:t>
      </w:r>
    </w:p>
    <w:p>
      <w:pPr/>
      <w:r>
        <w:rPr>
          <w:rFonts w:ascii="Times New Roman" w:hAnsi="Times New Roman" w:cs="Times New Roman"/>
          <w:rFonts w:ascii="Times New Roman" w:hAnsi="Times New Roman"/>
          <w:b w:val="0"/>
          <w:i w:val="0"/>
          <w:sz w:val="24"/>
        </w:rPr>
        <w:t>El dataset maestro `gold_macro_monthly.csv` contiene aproximadamente 312 observaciones mensuales (enero 2000 – diciembre 2025) con las siguientes columnas:</w:t>
      </w:r>
    </w:p>
    <w:p>
      <w:pP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i w:val="0"/>
          <w:sz w:val="24"/>
        </w:rPr>
        <w:t>Variables en niveles</w:t>
      </w:r>
      <w:r>
        <w:rPr>
          <w:rFonts w:ascii="Times New Roman" w:hAnsi="Times New Roman" w:cs="Times New Roman"/>
          <w:rFonts w:ascii="Times New Roman" w:hAnsi="Times New Roman"/>
          <w:b w:val="0"/>
          <w:i w:val="0"/>
          <w:sz w:val="24"/>
        </w:rPr>
        <w:t xml:space="preserve">: `gold`, `dxy`, `tips_10y`, `cpi_yoy`, `breakeven`, `vix`, `sp500`, `wti`, `fedfunds`, `cb_reserves`, `google_trends`, `etf_flows` - </w:t>
      </w:r>
      <w:r>
        <w:rPr>
          <w:rFonts w:ascii="Times New Roman" w:hAnsi="Times New Roman" w:cs="Times New Roman"/>
          <w:rFonts w:ascii="Times New Roman" w:hAnsi="Times New Roman"/>
          <w:b/>
          <w:i w:val="0"/>
          <w:sz w:val="24"/>
        </w:rPr>
        <w:t>Transformaciones logarítmicas</w:t>
      </w:r>
      <w:r>
        <w:rPr>
          <w:rFonts w:ascii="Times New Roman" w:hAnsi="Times New Roman" w:cs="Times New Roman"/>
          <w:rFonts w:ascii="Times New Roman" w:hAnsi="Times New Roman"/>
          <w:b w:val="0"/>
          <w:i w:val="0"/>
          <w:sz w:val="24"/>
        </w:rPr>
        <w:t xml:space="preserve">: `ln_gold`, `ln_dxy`, `ln_sp500`, `ln_wti` (para la especificación log-log de la ecuación 3.6) - </w:t>
      </w:r>
      <w:r>
        <w:rPr>
          <w:rFonts w:ascii="Times New Roman" w:hAnsi="Times New Roman" w:cs="Times New Roman"/>
          <w:rFonts w:ascii="Times New Roman" w:hAnsi="Times New Roman"/>
          <w:b/>
          <w:i w:val="0"/>
          <w:sz w:val="24"/>
        </w:rPr>
        <w:t>Retornos</w:t>
      </w:r>
      <w:r>
        <w:rPr>
          <w:rFonts w:ascii="Times New Roman" w:hAnsi="Times New Roman" w:cs="Times New Roman"/>
          <w:rFonts w:ascii="Times New Roman" w:hAnsi="Times New Roman"/>
          <w:b w:val="0"/>
          <w:i w:val="0"/>
          <w:sz w:val="24"/>
        </w:rPr>
        <w:t xml:space="preserve">: `gold_ret` (retorno logarítmico mensual), `sp500_ret` - </w:t>
      </w:r>
      <w:r>
        <w:rPr>
          <w:rFonts w:ascii="Times New Roman" w:hAnsi="Times New Roman" w:cs="Times New Roman"/>
          <w:rFonts w:ascii="Times New Roman" w:hAnsi="Times New Roman"/>
          <w:b/>
          <w:i w:val="0"/>
          <w:sz w:val="24"/>
        </w:rPr>
        <w:t>Clasificación temporal</w:t>
      </w:r>
      <w:r>
        <w:rPr>
          <w:rFonts w:ascii="Times New Roman" w:hAnsi="Times New Roman" w:cs="Times New Roman"/>
          <w:rFonts w:ascii="Times New Roman" w:hAnsi="Times New Roman"/>
          <w:b w:val="0"/>
          <w:i w:val="0"/>
          <w:sz w:val="24"/>
        </w:rPr>
        <w:t>: `episode` (identificador del episodio histórico o "calma")</w:t>
      </w:r>
    </w:p>
    <w:p>
      <w:pPr/>
      <w:r>
        <w:rPr>
          <w:rFonts w:ascii="Times New Roman" w:hAnsi="Times New Roman" w:cs="Times New Roman"/>
          <w:rFonts w:ascii="Times New Roman" w:hAnsi="Times New Roman"/>
          <w:b w:val="0"/>
          <w:i w:val="0"/>
          <w:sz w:val="24"/>
        </w:rPr>
        <w:t>Las columnas correspondientes a Google Trends y ETF flows contienen valores faltantes (NaN) anteriores a 2004, y las reservas de bancos centrales dependen de la disponibilidad de los datos del World Gold Council.</w:t>
      </w:r>
    </w:p>
    <w:p>
      <w:pPr>
        <w:pStyle w:val="Heading2"/>
      </w:pPr>
      <w:r>
        <w:t>4.3 Estadística descriptiva</w:t>
      </w:r>
    </w:p>
    <w:p>
      <w:pPr>
        <w:pStyle w:val="Heading3"/>
      </w:pPr>
      <w:r>
        <w:t>4.3.1 Tabla 4.1: Estadísticas descriptivas completas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4.1</w:t>
      </w:r>
      <w:r>
        <w:rPr>
          <w:rFonts w:ascii="Times New Roman" w:hAnsi="Times New Roman" w:cs="Times New Roman"/>
          <w:rFonts w:ascii="Times New Roman" w:hAnsi="Times New Roman"/>
          <w:b w:val="0"/>
          <w:i w:val="0"/>
          <w:sz w:val="24"/>
        </w:rPr>
        <w:t xml:space="preserve"> presenta los estadísticos descriptivos de las principales variables del estudio. Se reportan el número de observaciones válidas (N), media, mediana, desviación estándar, mínimo, máximo, asimetría (</w:t>
      </w:r>
      <w:r>
        <w:rPr>
          <w:rFonts w:ascii="Times New Roman" w:hAnsi="Times New Roman" w:cs="Times New Roman"/>
          <w:rFonts w:ascii="Times New Roman" w:hAnsi="Times New Roman"/>
          <w:b w:val="0"/>
          <w:i/>
          <w:sz w:val="24"/>
        </w:rPr>
        <w:t>skewness</w:t>
      </w:r>
      <w:r>
        <w:rPr>
          <w:rFonts w:ascii="Times New Roman" w:hAnsi="Times New Roman" w:cs="Times New Roman"/>
          <w:rFonts w:ascii="Times New Roman" w:hAnsi="Times New Roman"/>
          <w:b w:val="0"/>
          <w:i w:val="0"/>
          <w:sz w:val="24"/>
        </w:rPr>
        <w:t>), curtosis en exceso (</w:t>
      </w:r>
      <w:r>
        <w:rPr>
          <w:rFonts w:ascii="Times New Roman" w:hAnsi="Times New Roman" w:cs="Times New Roman"/>
          <w:rFonts w:ascii="Times New Roman" w:hAnsi="Times New Roman"/>
          <w:b w:val="0"/>
          <w:i/>
          <w:sz w:val="24"/>
        </w:rPr>
        <w:t>excess kurtosis</w:t>
      </w:r>
      <w:r>
        <w:rPr>
          <w:rFonts w:ascii="Times New Roman" w:hAnsi="Times New Roman" w:cs="Times New Roman"/>
          <w:rFonts w:ascii="Times New Roman" w:hAnsi="Times New Roman"/>
          <w:b w:val="0"/>
          <w:i w:val="0"/>
          <w:sz w:val="24"/>
        </w:rPr>
        <w:t>) y el estadístico de Jarque-Bera con su p-valor asociado.</w:t>
      </w:r>
    </w:p>
    <w:p>
      <w:pPr/>
      <w:r>
        <w:rPr>
          <w:rFonts w:ascii="Times New Roman" w:hAnsi="Times New Roman" w:cs="Times New Roman"/>
          <w:rFonts w:ascii="Times New Roman" w:hAnsi="Times New Roman"/>
          <w:b w:val="0"/>
          <w:i w:val="0"/>
          <w:sz w:val="24"/>
        </w:rPr>
        <w:t>Varios patrones merecen atención. El precio del oro exhibe asimetría positiva pronunciada, consistente con su distribución lognormal y la tendencia alcista secular del periodo. La curtosis en exceso positiva (</w:t>
      </w:r>
      <w:r>
        <w:rPr>
          <w:rFonts w:ascii="Times New Roman" w:hAnsi="Times New Roman" w:cs="Times New Roman"/>
          <w:rFonts w:ascii="Times New Roman" w:hAnsi="Times New Roman"/>
          <w:b w:val="0"/>
          <w:i/>
          <w:sz w:val="24"/>
        </w:rPr>
        <w:t>leptocurtosis</w:t>
      </w:r>
      <w:r>
        <w:rPr>
          <w:rFonts w:ascii="Times New Roman" w:hAnsi="Times New Roman" w:cs="Times New Roman"/>
          <w:rFonts w:ascii="Times New Roman" w:hAnsi="Times New Roman"/>
          <w:b w:val="0"/>
          <w:i w:val="0"/>
          <w:sz w:val="24"/>
        </w:rPr>
        <w:t>) indica colas más gruesas que las de una distribución normal, reflejando la ocurrencia de movimientos extremos en episodios de crisis. El test de Jarque-Bera rechaza la normalidad para la mayoría de variables, un resultado esperable en series financieras y que tiene implicaciones para la inferencia estadística en los capítulos posteriores.</w:t>
      </w:r>
    </w:p>
    <w:p>
      <w:pPr/>
      <w:r>
        <w:rPr>
          <w:rFonts w:ascii="Times New Roman" w:hAnsi="Times New Roman" w:cs="Times New Roman"/>
          <w:rFonts w:ascii="Times New Roman" w:hAnsi="Times New Roman"/>
          <w:b w:val="0"/>
          <w:i w:val="0"/>
          <w:sz w:val="24"/>
        </w:rPr>
        <w:t>El VIX presenta una asimetría positiva notable, coherente con su naturaleza: los picos de volatilidad son más frecuentes e intensos que las caídas, lo que confirma la decisión de utilizar la media mensual en lugar del valor de cierre para evitar capturar observaciones atípicas.</w:t>
      </w:r>
    </w:p>
    <w:p>
      <w:pPr>
        <w:pStyle w:val="Heading3"/>
      </w:pPr>
      <w:r>
        <w:t>4.3.2 Distribución de los retornos del oro</w:t>
      </w:r>
    </w:p>
    <w:p>
      <w:pPr/>
      <w:r>
        <w:rPr>
          <w:rFonts w:ascii="Times New Roman" w:hAnsi="Times New Roman" w:cs="Times New Roman"/>
          <w:rFonts w:ascii="Times New Roman" w:hAnsi="Times New Roman"/>
          <w:b w:val="0"/>
          <w:i w:val="0"/>
          <w:sz w:val="24"/>
        </w:rPr>
        <w:t xml:space="preserve">Las </w:t>
      </w:r>
      <w:r>
        <w:rPr>
          <w:rFonts w:ascii="Times New Roman" w:hAnsi="Times New Roman" w:cs="Times New Roman"/>
          <w:rFonts w:ascii="Times New Roman" w:hAnsi="Times New Roman"/>
          <w:b/>
          <w:i w:val="0"/>
          <w:sz w:val="24"/>
        </w:rPr>
        <w:t>Figuras 4.10, 4.11 y 4.12</w:t>
      </w:r>
      <w:r>
        <w:rPr>
          <w:rFonts w:ascii="Times New Roman" w:hAnsi="Times New Roman" w:cs="Times New Roman"/>
          <w:rFonts w:ascii="Times New Roman" w:hAnsi="Times New Roman"/>
          <w:b w:val="0"/>
          <w:i w:val="0"/>
          <w:sz w:val="24"/>
        </w:rPr>
        <w:t xml:space="preserve"> examinan las propiedades distribucionales de las variables.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4.10</w:t>
      </w:r>
      <w:r>
        <w:rPr>
          <w:rFonts w:ascii="Times New Roman" w:hAnsi="Times New Roman" w:cs="Times New Roman"/>
          <w:rFonts w:ascii="Times New Roman" w:hAnsi="Times New Roman"/>
          <w:b w:val="0"/>
          <w:i w:val="0"/>
          <w:sz w:val="24"/>
        </w:rPr>
        <w:t xml:space="preserve"> superpone el histograma y la estimación de densidad por kernel (KDE) de los retornos logarítmicos mensuales del oro con la distribución normal teórica. Se aprecia visualmente que la distribución empírica presenta colas más gruesas y un pico central más pronunciado que la gaussiana, confirmando cuantitativamente lo que el test de Jarque-Bera indica.</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4.11</w:t>
      </w:r>
      <w:r>
        <w:rPr>
          <w:rFonts w:ascii="Times New Roman" w:hAnsi="Times New Roman" w:cs="Times New Roman"/>
          <w:rFonts w:ascii="Times New Roman" w:hAnsi="Times New Roman"/>
          <w:b w:val="0"/>
          <w:i w:val="0"/>
          <w:sz w:val="24"/>
        </w:rPr>
        <w:t xml:space="preserve"> (Q-Q plot) refuerza esta conclusión: las observaciones se desvían de la línea de referencia normal en ambas colas, lo que indica una probabilidad mayor de retornos extremos (tanto positivos como negativos) de la que predeciría un modelo gaussiano. Este hallazgo justifica la exploración de modelos GARCH en el Capítulo 5 para capturar la volatilidad condicional.</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4.12</w:t>
      </w:r>
      <w:r>
        <w:rPr>
          <w:rFonts w:ascii="Times New Roman" w:hAnsi="Times New Roman" w:cs="Times New Roman"/>
          <w:rFonts w:ascii="Times New Roman" w:hAnsi="Times New Roman"/>
          <w:b w:val="0"/>
          <w:i w:val="0"/>
          <w:sz w:val="24"/>
        </w:rPr>
        <w:t xml:space="preserve"> presenta boxplots comparativos de todas las variables estandarizadas, permitiendo visualizar la dispersión relativa y la presencia de outliers. El VIX y los retornos del oro destacan por su mayor variabilidad y frecuencia de valores atípicos.</w:t>
      </w:r>
    </w:p>
    <w:p>
      <w:pPr>
        <w:pStyle w:val="Heading3"/>
      </w:pPr>
      <w:r>
        <w:t>4.3.3 Tabla 4.3: Estadísticas condicionales — crisis vs. calma</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4.3</w:t>
      </w:r>
      <w:r>
        <w:rPr>
          <w:rFonts w:ascii="Times New Roman" w:hAnsi="Times New Roman" w:cs="Times New Roman"/>
          <w:rFonts w:ascii="Times New Roman" w:hAnsi="Times New Roman"/>
          <w:b w:val="0"/>
          <w:i w:val="0"/>
          <w:sz w:val="24"/>
        </w:rPr>
        <w:t xml:space="preserve"> segmenta la muestra en periodos de </w:t>
      </w:r>
      <w:r>
        <w:rPr>
          <w:rFonts w:ascii="Times New Roman" w:hAnsi="Times New Roman" w:cs="Times New Roman"/>
          <w:rFonts w:ascii="Times New Roman" w:hAnsi="Times New Roman"/>
          <w:b w:val="0"/>
          <w:i/>
          <w:sz w:val="24"/>
        </w:rPr>
        <w:t>crisis</w:t>
      </w:r>
      <w:r>
        <w:rPr>
          <w:rFonts w:ascii="Times New Roman" w:hAnsi="Times New Roman" w:cs="Times New Roman"/>
          <w:rFonts w:ascii="Times New Roman" w:hAnsi="Times New Roman"/>
          <w:b w:val="0"/>
          <w:i w:val="0"/>
          <w:sz w:val="24"/>
        </w:rPr>
        <w:t xml:space="preserve"> (observaciones pertenecientes a alguno de los cinco episodios del Capítulo 2) y periodos de </w:t>
      </w:r>
      <w:r>
        <w:rPr>
          <w:rFonts w:ascii="Times New Roman" w:hAnsi="Times New Roman" w:cs="Times New Roman"/>
          <w:rFonts w:ascii="Times New Roman" w:hAnsi="Times New Roman"/>
          <w:b w:val="0"/>
          <w:i/>
          <w:sz w:val="24"/>
        </w:rPr>
        <w:t>calma</w:t>
      </w:r>
      <w:r>
        <w:rPr>
          <w:rFonts w:ascii="Times New Roman" w:hAnsi="Times New Roman" w:cs="Times New Roman"/>
          <w:rFonts w:ascii="Times New Roman" w:hAnsi="Times New Roman"/>
          <w:b w:val="0"/>
          <w:i w:val="0"/>
          <w:sz w:val="24"/>
        </w:rPr>
        <w:t xml:space="preserve"> (el resto), reportando media, desviación estándar y un test-</w:t>
      </w:r>
      <w:r>
        <w:rPr>
          <w:rFonts w:ascii="Times New Roman" w:hAnsi="Times New Roman" w:cs="Times New Roman"/>
          <w:rFonts w:ascii="Times New Roman" w:hAnsi="Times New Roman"/>
          <w:b w:val="0"/>
          <w:i/>
          <w:sz w:val="24"/>
        </w:rPr>
        <w:t>t</w:t>
      </w:r>
      <w:r>
        <w:rPr>
          <w:rFonts w:ascii="Times New Roman" w:hAnsi="Times New Roman" w:cs="Times New Roman"/>
          <w:rFonts w:ascii="Times New Roman" w:hAnsi="Times New Roman"/>
          <w:b w:val="0"/>
          <w:i w:val="0"/>
          <w:sz w:val="24"/>
        </w:rPr>
        <w:t xml:space="preserve"> de Welch para diferencia de medias.</w:t>
      </w:r>
    </w:p>
    <w:p>
      <w:pPr/>
      <w:r>
        <w:rPr>
          <w:rFonts w:ascii="Times New Roman" w:hAnsi="Times New Roman" w:cs="Times New Roman"/>
          <w:rFonts w:ascii="Times New Roman" w:hAnsi="Times New Roman"/>
          <w:b w:val="0"/>
          <w:i w:val="0"/>
          <w:sz w:val="24"/>
        </w:rPr>
        <w:t>Las diferencias más destacadas se observan en el VIX (significativamente más alto en crisis), el tipo TIPS (más bajo en crisis, reflejando la relajación monetaria) y los retornos del S&amp;P 500 (más volátiles en crisis). El precio medio del oro tiende a ser más alto en los periodos de crisis, coherente con su rol de activo refugio documentado en el Capítulo 2.</w:t>
      </w:r>
    </w:p>
    <w:p>
      <w:pPr>
        <w:pStyle w:val="Heading2"/>
      </w:pPr>
      <w:r>
        <w:t>4.4 Evolución temporal: el oro y sus catalizadores</w:t>
      </w:r>
    </w:p>
    <w:p>
      <w:pPr>
        <w:pStyle w:val="Heading3"/>
      </w:pPr>
      <w:r>
        <w:t>4.4.1 Precio del oro y contexto histórico</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w:t>
      </w:r>
      <w:r>
        <w:rPr>
          <w:rFonts w:ascii="Times New Roman" w:hAnsi="Times New Roman" w:cs="Times New Roman"/>
          <w:rFonts w:ascii="Times New Roman" w:hAnsi="Times New Roman"/>
          <w:b w:val="0"/>
          <w:i w:val="0"/>
          <w:sz w:val="24"/>
        </w:rPr>
        <w:t xml:space="preserve"> presenta la evolución del precio del oro entre 2000 y 2025, con bandas verticales sombreadas que identifican los cinco episodios del Capítulo 2.</w:t>
      </w:r>
    </w:p>
    <w:p>
      <w:pPr/>
      <w:r>
        <w:rPr>
          <w:rFonts w:ascii="Times New Roman" w:hAnsi="Times New Roman" w:cs="Times New Roman"/>
          <w:rFonts w:ascii="Times New Roman" w:hAnsi="Times New Roman"/>
          <w:b w:val="0"/>
          <w:i w:val="0"/>
          <w:sz w:val="24"/>
        </w:rPr>
        <w:t xml:space="preserve">La serie muestra una tendencia alcista secular interrumpida por tres fases diferenciadas: (i) la escalada continua de 2001 a 2011, impulsada por el debilitamiento del dólar, tipos reales decrecientes y la expansión cuantitativa post-GFC; (ii) la corrección y lateralización de 2013 a 2019, coincidiendo con el </w:t>
      </w:r>
      <w:r>
        <w:rPr>
          <w:rFonts w:ascii="Times New Roman" w:hAnsi="Times New Roman" w:cs="Times New Roman"/>
          <w:rFonts w:ascii="Times New Roman" w:hAnsi="Times New Roman"/>
          <w:b w:val="0"/>
          <w:i/>
          <w:sz w:val="24"/>
        </w:rPr>
        <w:t>taper tantrum</w:t>
      </w:r>
      <w:r>
        <w:rPr>
          <w:rFonts w:ascii="Times New Roman" w:hAnsi="Times New Roman" w:cs="Times New Roman"/>
          <w:rFonts w:ascii="Times New Roman" w:hAnsi="Times New Roman"/>
          <w:b w:val="0"/>
          <w:i w:val="0"/>
          <w:sz w:val="24"/>
        </w:rPr>
        <w:t xml:space="preserve"> y la normalización monetaria; y (iii) la aceleración vertical desde 2020, catalizada por la pandemia, las compras masivas de bancos centrales y la triple confluencia de 2025 que llevó al oro a superar los 4.500 USD/oz.</w:t>
      </w:r>
    </w:p>
    <w:p>
      <w:pPr>
        <w:pStyle w:val="Heading3"/>
      </w:pPr>
      <w:r>
        <w:t>4.4.2 Oro y tipo de cambio del dólar</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4.2</w:t>
      </w:r>
      <w:r>
        <w:rPr>
          <w:rFonts w:ascii="Times New Roman" w:hAnsi="Times New Roman" w:cs="Times New Roman"/>
          <w:rFonts w:ascii="Times New Roman" w:hAnsi="Times New Roman"/>
          <w:b w:val="0"/>
          <w:i w:val="0"/>
          <w:sz w:val="24"/>
        </w:rPr>
        <w:t xml:space="preserve"> muestra la relación inversa entre el oro y el índice del dólar (DXY), una de las correlaciones más robustas de la literatura (Baur y McDermott, 2010).</w:t>
      </w:r>
    </w:p>
    <w:p>
      <w:pPr/>
      <w:r>
        <w:rPr>
          <w:rFonts w:ascii="Times New Roman" w:hAnsi="Times New Roman" w:cs="Times New Roman"/>
          <w:rFonts w:ascii="Times New Roman" w:hAnsi="Times New Roman"/>
          <w:b w:val="0"/>
          <w:i w:val="0"/>
          <w:sz w:val="24"/>
        </w:rPr>
        <w:t>La correlación negativa es visualmente evidente durante la mayor parte del periodo, con el debilitamiento del dólar entre 2002 y 2011 acompañando la fase alcista del oro. Sin embargo, durante 2022–2023, ambos activos se fortalecieron simultáneamente — el dólar por las subidas de tipos de la Fed, y el oro por las compras récord de bancos centrales — sugiriendo un cambio de régimen que la correlación rolling del §4.5 confirma.</w:t>
      </w:r>
    </w:p>
    <w:p>
      <w:pPr>
        <w:pStyle w:val="Heading3"/>
      </w:pPr>
      <w:r>
        <w:t>4.4.3 Oro y tipo de interés real</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4.3</w:t>
      </w:r>
      <w:r>
        <w:rPr>
          <w:rFonts w:ascii="Times New Roman" w:hAnsi="Times New Roman" w:cs="Times New Roman"/>
          <w:rFonts w:ascii="Times New Roman" w:hAnsi="Times New Roman"/>
          <w:b w:val="0"/>
          <w:i w:val="0"/>
          <w:sz w:val="24"/>
        </w:rPr>
        <w:t xml:space="preserve"> presenta la relación entre el oro y el rendimiento TIPS a 10 años, con el eje de TIPS invertido para facilitar la visualización de la correlación negativa esperada.</w:t>
      </w:r>
    </w:p>
    <w:p>
      <w:pPr/>
      <w:r>
        <w:rPr>
          <w:rFonts w:ascii="Times New Roman" w:hAnsi="Times New Roman" w:cs="Times New Roman"/>
          <w:rFonts w:ascii="Times New Roman" w:hAnsi="Times New Roman"/>
          <w:b w:val="0"/>
          <w:i w:val="0"/>
          <w:sz w:val="24"/>
        </w:rPr>
        <w:t>El coste de oportunidad de mantener oro — que no genera rendimiento — disminuye cuando los tipos reales caen, lo que se refleja en la fuerte co-evolución de ambas series. La anomalía de 2022–2024, donde el oro mantuvo niveles elevados pese a TIPS superiores al 2%, constituye uno de los hallazgos que motivan el análisis de cambio estructural en el Capítulo 5.</w:t>
      </w:r>
    </w:p>
    <w:p>
      <w:pPr>
        <w:pStyle w:val="Heading3"/>
      </w:pPr>
      <w:r>
        <w:t>4.4.4 Oro e inflación</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4.4</w:t>
      </w:r>
      <w:r>
        <w:rPr>
          <w:rFonts w:ascii="Times New Roman" w:hAnsi="Times New Roman" w:cs="Times New Roman"/>
          <w:rFonts w:ascii="Times New Roman" w:hAnsi="Times New Roman"/>
          <w:b w:val="0"/>
          <w:i w:val="0"/>
          <w:sz w:val="24"/>
        </w:rPr>
        <w:t xml:space="preserve"> superpone el precio del oro con las dos medidas de inflación: la tasa interanual del CPI (realizada) y el breakeven a 10 años (expectativas).</w:t>
      </w:r>
    </w:p>
    <w:p>
      <w:pPr/>
      <w:r>
        <w:rPr>
          <w:rFonts w:ascii="Times New Roman" w:hAnsi="Times New Roman" w:cs="Times New Roman"/>
          <w:rFonts w:ascii="Times New Roman" w:hAnsi="Times New Roman"/>
          <w:b w:val="0"/>
          <w:i w:val="0"/>
          <w:sz w:val="24"/>
        </w:rPr>
        <w:t>La relación oro-inflación es más matizada de lo que sugiere la narrativa popular del oro como "cobertura contra la inflación". Como documentan Erb y Harvey (2013), esta relación opera a horizontes muy largos (décadas) pero es inconsistente en el corto plazo. En nuestros datos, el oro muestra cierta co-evolución con las expectativas de inflación (breakeven) pero responde de manera irregular a la inflación realizada.</w:t>
      </w:r>
    </w:p>
    <w:p>
      <w:pPr>
        <w:pStyle w:val="Heading3"/>
      </w:pPr>
      <w:r>
        <w:t>4.4.5 Oro y volatilidad</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4.5</w:t>
      </w:r>
      <w:r>
        <w:rPr>
          <w:rFonts w:ascii="Times New Roman" w:hAnsi="Times New Roman" w:cs="Times New Roman"/>
          <w:rFonts w:ascii="Times New Roman" w:hAnsi="Times New Roman"/>
          <w:b w:val="0"/>
          <w:i w:val="0"/>
          <w:sz w:val="24"/>
        </w:rPr>
        <w:t xml:space="preserve"> compara el oro con el VIX.</w:t>
      </w:r>
    </w:p>
    <w:p>
      <w:pPr/>
      <w:r>
        <w:rPr>
          <w:rFonts w:ascii="Times New Roman" w:hAnsi="Times New Roman" w:cs="Times New Roman"/>
          <w:rFonts w:ascii="Times New Roman" w:hAnsi="Times New Roman"/>
          <w:b w:val="0"/>
          <w:i w:val="0"/>
          <w:sz w:val="24"/>
        </w:rPr>
        <w:t>Los picos del VIX (GFC 2008, COVID 2020) coinciden con reacciones bifásicas del oro: una caída inicial por liquidación forzada seguida de un rally de refugio. Este patrón, identificado en el Capítulo 2, sugiere que la relación oro-VIX es asimétrica y dependiente del régimen.</w:t>
      </w:r>
    </w:p>
    <w:p>
      <w:pPr>
        <w:pStyle w:val="Heading3"/>
      </w:pPr>
      <w:r>
        <w:t>4.4.6 Oro, materias primas y renta variable</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4.6</w:t>
      </w:r>
      <w:r>
        <w:rPr>
          <w:rFonts w:ascii="Times New Roman" w:hAnsi="Times New Roman" w:cs="Times New Roman"/>
          <w:rFonts w:ascii="Times New Roman" w:hAnsi="Times New Roman"/>
          <w:b w:val="0"/>
          <w:i w:val="0"/>
          <w:sz w:val="24"/>
        </w:rPr>
        <w:t xml:space="preserve"> presenta dos paneles: oro vs. WTI y oro vs. S&amp;P 500.</w:t>
      </w:r>
    </w:p>
    <w:p>
      <w:pPr/>
      <w:r>
        <w:rPr>
          <w:rFonts w:ascii="Times New Roman" w:hAnsi="Times New Roman" w:cs="Times New Roman"/>
          <w:rFonts w:ascii="Times New Roman" w:hAnsi="Times New Roman"/>
          <w:b w:val="0"/>
          <w:i w:val="0"/>
          <w:sz w:val="24"/>
        </w:rPr>
        <w:t>La relación oro-WTI es positiva en la primera mitad de la muestra (ambos impulsados por demanda de commodities y debilidad del dólar) pero diverge en 2014–2016 y nuevamente en 2022–2025, cuando factores específicos de cada mercado dominan. La relación oro-S&amp;P 500 es predominantemente negativa en periodos de crisis (consistente con el rol de refugio) pero positiva en periodos de expansión monetaria (ambos activos beneficiados por liquidez abundante).</w:t>
      </w:r>
    </w:p>
    <w:p>
      <w:pPr>
        <w:pStyle w:val="Heading3"/>
      </w:pPr>
      <w:r>
        <w:t>4.4.7 Variables estructurales y de sentimiento</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4.7</w:t>
      </w:r>
      <w:r>
        <w:rPr>
          <w:rFonts w:ascii="Times New Roman" w:hAnsi="Times New Roman" w:cs="Times New Roman"/>
          <w:rFonts w:ascii="Times New Roman" w:hAnsi="Times New Roman"/>
          <w:b w:val="0"/>
          <w:i w:val="0"/>
          <w:sz w:val="24"/>
        </w:rPr>
        <w:t xml:space="preserve"> muestra las compras netas anuales de oro por bancos centrales, uno de los catalizadores que mayor relevancia ha ganado en el periodo reciente.</w:t>
      </w:r>
    </w:p>
    <w:p>
      <w:pPr/>
      <w:r>
        <w:rPr>
          <w:rFonts w:ascii="Times New Roman" w:hAnsi="Times New Roman" w:cs="Times New Roman"/>
          <w:rFonts w:ascii="Times New Roman" w:hAnsi="Times New Roman"/>
          <w:b w:val="0"/>
          <w:i w:val="0"/>
          <w:sz w:val="24"/>
        </w:rPr>
        <w:t>Las compras récord de 2022 (1.082 toneladas) y 2023 (1.037 toneladas), lideradas por China, Polonia y Singapur, representan un cambio estructural en la demanda de oro que el modelo del Capítulo 5 debe capturar.</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4.8</w:t>
      </w:r>
      <w:r>
        <w:rPr>
          <w:rFonts w:ascii="Times New Roman" w:hAnsi="Times New Roman" w:cs="Times New Roman"/>
          <w:rFonts w:ascii="Times New Roman" w:hAnsi="Times New Roman"/>
          <w:b w:val="0"/>
          <w:i w:val="0"/>
          <w:sz w:val="24"/>
        </w:rPr>
        <w:t xml:space="preserve"> compara la atención del público (Google Trends) con el precio del oro.</w:t>
      </w:r>
    </w:p>
    <w:p>
      <w:pPr/>
      <w:r>
        <w:rPr>
          <w:rFonts w:ascii="Times New Roman" w:hAnsi="Times New Roman" w:cs="Times New Roman"/>
          <w:rFonts w:ascii="Times New Roman" w:hAnsi="Times New Roman"/>
          <w:b w:val="0"/>
          <w:i w:val="0"/>
          <w:sz w:val="24"/>
        </w:rPr>
        <w:t xml:space="preserve">Se observa una relación bidireccional: los picos de búsquedas coinciden con rallies del oro (efecto </w:t>
      </w:r>
      <w:r>
        <w:rPr>
          <w:rFonts w:ascii="Times New Roman" w:hAnsi="Times New Roman" w:cs="Times New Roman"/>
          <w:rFonts w:ascii="Times New Roman" w:hAnsi="Times New Roman"/>
          <w:b w:val="0"/>
          <w:i/>
          <w:sz w:val="24"/>
        </w:rPr>
        <w:t>attention</w:t>
      </w:r>
      <w:r>
        <w:rPr>
          <w:rFonts w:ascii="Times New Roman" w:hAnsi="Times New Roman" w:cs="Times New Roman"/>
          <w:rFonts w:ascii="Times New Roman" w:hAnsi="Times New Roman"/>
          <w:b w:val="0"/>
          <w:i w:val="0"/>
          <w:sz w:val="24"/>
        </w:rPr>
        <w:t>), pero también anticipan correcciones cuando alcanzan niveles extremos (efecto contrarian), un patrón consistente con la literatura de finanzas comportamentales.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4.9</w:t>
      </w:r>
      <w:r>
        <w:rPr>
          <w:rFonts w:ascii="Times New Roman" w:hAnsi="Times New Roman" w:cs="Times New Roman"/>
          <w:rFonts w:ascii="Times New Roman" w:hAnsi="Times New Roman"/>
          <w:b w:val="0"/>
          <w:i w:val="0"/>
          <w:sz w:val="24"/>
        </w:rPr>
        <w:t xml:space="preserve"> presenta los flujos de ETFs de oro.</w:t>
      </w:r>
    </w:p>
    <w:p>
      <w:pPr/>
      <w:r>
        <w:rPr>
          <w:rFonts w:ascii="Times New Roman" w:hAnsi="Times New Roman" w:cs="Times New Roman"/>
          <w:rFonts w:ascii="Times New Roman" w:hAnsi="Times New Roman"/>
          <w:b w:val="0"/>
          <w:i w:val="0"/>
          <w:sz w:val="24"/>
        </w:rPr>
        <w:t>Los flujos acumulados muestran una tendencia ascendente desde 2004 (lanzamiento de GLD) hasta 2012, seguida de salidas masivas durante la corrección de 2013–2015, y una recuperación parcial desde 2019. Los flujos de ETFs actúan como proxy de la demanda institucional occidental y complementan la información de las compras de bancos centrales (demanda oficial).</w:t>
      </w:r>
    </w:p>
    <w:p>
      <w:pPr>
        <w:pStyle w:val="Heading2"/>
      </w:pPr>
      <w:r>
        <w:t>4.5 Análisis de correlación</w:t>
      </w:r>
    </w:p>
    <w:p>
      <w:pPr>
        <w:pStyle w:val="Heading3"/>
      </w:pPr>
      <w:r>
        <w:t>4.5.1 Matriz de correlación: muestra completa</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4.2</w:t>
      </w:r>
      <w:r>
        <w:rPr>
          <w:rFonts w:ascii="Times New Roman" w:hAnsi="Times New Roman" w:cs="Times New Roman"/>
          <w:rFonts w:ascii="Times New Roman" w:hAnsi="Times New Roman"/>
          <w:b w:val="0"/>
          <w:i w:val="0"/>
          <w:sz w:val="24"/>
        </w:rPr>
        <w:t xml:space="preserve"> y la </w:t>
      </w:r>
      <w:r>
        <w:rPr>
          <w:rFonts w:ascii="Times New Roman" w:hAnsi="Times New Roman" w:cs="Times New Roman"/>
          <w:rFonts w:ascii="Times New Roman" w:hAnsi="Times New Roman"/>
          <w:b/>
          <w:i w:val="0"/>
          <w:sz w:val="24"/>
        </w:rPr>
        <w:t>Figura 4.13</w:t>
      </w:r>
      <w:r>
        <w:rPr>
          <w:rFonts w:ascii="Times New Roman" w:hAnsi="Times New Roman" w:cs="Times New Roman"/>
          <w:rFonts w:ascii="Times New Roman" w:hAnsi="Times New Roman"/>
          <w:b w:val="0"/>
          <w:i w:val="0"/>
          <w:sz w:val="24"/>
        </w:rPr>
        <w:t xml:space="preserve"> presentan la matriz de correlación de Pearson para la muestra completa.</w:t>
      </w:r>
    </w:p>
    <w:p>
      <w:pPr/>
      <w:r>
        <w:rPr>
          <w:rFonts w:ascii="Times New Roman" w:hAnsi="Times New Roman" w:cs="Times New Roman"/>
          <w:rFonts w:ascii="Times New Roman" w:hAnsi="Times New Roman"/>
          <w:b w:val="0"/>
          <w:i w:val="0"/>
          <w:sz w:val="24"/>
        </w:rPr>
        <w:t>Las correlaciones más fuertes con el oro son: DXY (negativa, como predice la teoría), TIPS 10Y (negativa) y WTI (positiva). La correlación con el VIX es positiva pero modesta en la muestra completa, lo que enmascara la relación asimétrica identificada en el §4.4.5.</w:t>
      </w:r>
    </w:p>
    <w:p>
      <w:pPr>
        <w:pStyle w:val="Heading3"/>
      </w:pPr>
      <w:r>
        <w:t>4.5.2 Correlaciones condicionales: crisis vs. calma</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4.14</w:t>
      </w:r>
      <w:r>
        <w:rPr>
          <w:rFonts w:ascii="Times New Roman" w:hAnsi="Times New Roman" w:cs="Times New Roman"/>
          <w:rFonts w:ascii="Times New Roman" w:hAnsi="Times New Roman"/>
          <w:b w:val="0"/>
          <w:i w:val="0"/>
          <w:sz w:val="24"/>
        </w:rPr>
        <w:t xml:space="preserve"> compara las matrices de correlación calculadas por separado en periodos de crisis y calma.</w:t>
      </w:r>
    </w:p>
    <w:p>
      <w:pPr/>
      <w:r>
        <w:rPr>
          <w:rFonts w:ascii="Times New Roman" w:hAnsi="Times New Roman" w:cs="Times New Roman"/>
          <w:rFonts w:ascii="Times New Roman" w:hAnsi="Times New Roman"/>
          <w:b w:val="0"/>
          <w:i w:val="0"/>
          <w:sz w:val="24"/>
        </w:rPr>
        <w:t>Las diferencias entre ambos regímenes son sustanciales. En periodos de crisis, la correlación oro-VIX se intensifica (más positiva), mientras que la correlación oro-S&amp;P 500 se vuelve más negativa, confirmando empíricamente la propiedad de refugio seguro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frente a la de cobertura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que distinguen Baur y McDermott (2010). La correlación oro-DXY se debilita en crisis recientes (2022–2025), reflejando el efecto dominante de las compras de bancos centrales que "rompe" la relación histórica.</w:t>
      </w:r>
    </w:p>
    <w:p>
      <w:pPr>
        <w:pStyle w:val="Heading3"/>
      </w:pPr>
      <w:r>
        <w:t>4.5.3 Correlaciones rolling</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Figura 4.15</w:t>
      </w:r>
      <w:r>
        <w:rPr>
          <w:rFonts w:ascii="Times New Roman" w:hAnsi="Times New Roman" w:cs="Times New Roman"/>
          <w:rFonts w:ascii="Times New Roman" w:hAnsi="Times New Roman"/>
          <w:b w:val="0"/>
          <w:i w:val="0"/>
          <w:sz w:val="24"/>
        </w:rPr>
        <w:t xml:space="preserve"> presenta las correlaciones rolling de 24 meses entre el oro y cada catalizador, proporcionando una visión dinámica de la estabilidad de las relaciones.</w:t>
      </w:r>
    </w:p>
    <w:p>
      <w:pPr/>
      <w:r>
        <w:rPr>
          <w:rFonts w:ascii="Times New Roman" w:hAnsi="Times New Roman" w:cs="Times New Roman"/>
          <w:rFonts w:ascii="Times New Roman" w:hAnsi="Times New Roman"/>
          <w:b w:val="0"/>
          <w:i w:val="0"/>
          <w:sz w:val="24"/>
        </w:rPr>
        <w:t>El hallazgo más relevante es la inestabilidad de prácticamente todas las correlaciones a lo largo del tiempo. La correlación oro-DXY oscila entre −0.9 y +0.3; la oro-TIPS entre −0.8 y +0.2. Esta variabilidad temporal justifica el uso de modelos que permiten cambios de régimen (como el VAR con ventanas temporales o el análisis de cambio estructural del Capítulo 5) y cuestiona la validez de ecuaciones con coeficientes constantes para todo el periodo.</w:t>
      </w:r>
    </w:p>
    <w:p>
      <w:pPr>
        <w:pStyle w:val="Heading2"/>
      </w:pPr>
      <w:r>
        <w:t>4.6 Propiedades de las series: raíz unitaria y cointegración</w:t>
      </w:r>
    </w:p>
    <w:p>
      <w:pPr>
        <w:pStyle w:val="Heading3"/>
      </w:pPr>
      <w:r>
        <w:t>4.6.1 Tests de raíz unitaria</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4.4</w:t>
      </w:r>
      <w:r>
        <w:rPr>
          <w:rFonts w:ascii="Times New Roman" w:hAnsi="Times New Roman" w:cs="Times New Roman"/>
          <w:rFonts w:ascii="Times New Roman" w:hAnsi="Times New Roman"/>
          <w:b w:val="0"/>
          <w:i w:val="0"/>
          <w:sz w:val="24"/>
        </w:rPr>
        <w:t xml:space="preserve"> presenta los resultados de los tests ADF (Augmented Dickey-Fuller) y KPSS (Kwiatkowski-Phillips-Schmidt-Shin) aplicados a cada variable en niveles y en primeras diferencias.</w:t>
      </w:r>
    </w:p>
    <w:p>
      <w:pPr/>
      <w:r>
        <w:rPr>
          <w:rFonts w:ascii="Times New Roman" w:hAnsi="Times New Roman" w:cs="Times New Roman"/>
          <w:rFonts w:ascii="Times New Roman" w:hAnsi="Times New Roman"/>
          <w:b w:val="0"/>
          <w:i w:val="0"/>
          <w:sz w:val="24"/>
        </w:rPr>
        <w:t>Utilizamos la estrategia de confirmación que combina ambos tests: el ADF tiene como hipótesis nula la existencia de raíz unitaria (H₀: serie no estacionaria), mientras que el KPSS invierte la hipótesis (H₀: serie estacionaria). Una variable se clasifica como I(1) cuando el ADF no rechaza y el KPSS rechaza, y como I(0) en el caso contrario.</w:t>
      </w:r>
    </w:p>
    <w:p>
      <w:pPr/>
      <w:r>
        <w:rPr>
          <w:rFonts w:ascii="Times New Roman" w:hAnsi="Times New Roman" w:cs="Times New Roman"/>
          <w:rFonts w:ascii="Times New Roman" w:hAnsi="Times New Roman"/>
          <w:b w:val="0"/>
          <w:i w:val="0"/>
          <w:sz w:val="24"/>
        </w:rPr>
        <w:t>Los resultados confirman que las variables en niveles — precio del oro, DXY, S&amp;P 500 y WTI — son integradas de orden uno, I(1), lo que es consistente con la teoría económica: los precios de activos siguen procesos de caminata aleatoria con drift. Las variables de tasa — TIPS, CPI interanual, breakeven, VIX y Fed Funds — muestran resultados mixtos: algunas son estacionarias en niveles I(0), mientras que otras requieren diferenciación.</w:t>
      </w:r>
    </w:p>
    <w:p>
      <w:pPr/>
      <w:r>
        <w:rPr>
          <w:rFonts w:ascii="Times New Roman" w:hAnsi="Times New Roman" w:cs="Times New Roman"/>
          <w:rFonts w:ascii="Times New Roman" w:hAnsi="Times New Roman"/>
          <w:b w:val="0"/>
          <w:i w:val="0"/>
          <w:sz w:val="24"/>
        </w:rPr>
        <w:t>En primeras diferencias, todas las variables son claramente estacionarias (I(0)), confirmando que no hay series integradas de orden superior en nuestro sistema.</w:t>
      </w:r>
    </w:p>
    <w:p>
      <w:pPr>
        <w:pStyle w:val="Heading3"/>
      </w:pPr>
      <w:r>
        <w:t>4.6.2 Tests de cointegración</w:t>
      </w:r>
    </w:p>
    <w:p>
      <w:pPr/>
      <w:r>
        <w:rPr>
          <w:rFonts w:ascii="Times New Roman" w:hAnsi="Times New Roman" w:cs="Times New Roman"/>
          <w:rFonts w:ascii="Times New Roman" w:hAnsi="Times New Roman"/>
          <w:b w:val="0"/>
          <w:i w:val="0"/>
          <w:sz w:val="24"/>
        </w:rPr>
        <w:t>Dado que varias variables del sistema son I(1), procedemos a evaluar si existe una relación de equilibrio de largo plazo (cointegración) entre ellas.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4.5</w:t>
      </w:r>
      <w:r>
        <w:rPr>
          <w:rFonts w:ascii="Times New Roman" w:hAnsi="Times New Roman" w:cs="Times New Roman"/>
          <w:rFonts w:ascii="Times New Roman" w:hAnsi="Times New Roman"/>
          <w:b w:val="0"/>
          <w:i w:val="0"/>
          <w:sz w:val="24"/>
        </w:rPr>
        <w:t xml:space="preserve"> presenta los resultados del test de Johansen (trace y max-eigenvalue) aplicado al sistema multivariante de variables I(1), así como los tests de Engle-Granger bivariantes como verificación de robustez.</w:t>
      </w:r>
    </w:p>
    <w:p>
      <w:pPr/>
      <w:r>
        <w:rPr>
          <w:rFonts w:ascii="Times New Roman" w:hAnsi="Times New Roman" w:cs="Times New Roman"/>
          <w:rFonts w:ascii="Times New Roman" w:hAnsi="Times New Roman"/>
          <w:b w:val="0"/>
          <w:i w:val="0"/>
          <w:sz w:val="24"/>
        </w:rPr>
        <w:t>La existencia (o ausencia) de vectores de cointegración tiene implicaciones directas para la especificación del modelo econométrico del Capítulo 5:</w:t>
      </w:r>
    </w:p>
    <w:p>
      <w:pPr/>
      <w:r>
        <w:rPr>
          <w:rFonts w:ascii="Times New Roman" w:hAnsi="Times New Roman" w:cs="Times New Roman"/>
          <w:rFonts w:ascii="Times New Roman" w:hAnsi="Times New Roman"/>
          <w:b w:val="0"/>
          <w:i w:val="0"/>
          <w:sz w:val="24"/>
        </w:rPr>
        <w:t xml:space="preserve">- Si se detecta </w:t>
      </w:r>
      <w:r>
        <w:rPr>
          <w:rFonts w:ascii="Times New Roman" w:hAnsi="Times New Roman" w:cs="Times New Roman"/>
          <w:rFonts w:ascii="Times New Roman" w:hAnsi="Times New Roman"/>
          <w:b/>
          <w:i w:val="0"/>
          <w:sz w:val="24"/>
        </w:rPr>
        <w:t>al menos un vector de cointegración</w:t>
      </w:r>
      <w:r>
        <w:rPr>
          <w:rFonts w:ascii="Times New Roman" w:hAnsi="Times New Roman" w:cs="Times New Roman"/>
          <w:rFonts w:ascii="Times New Roman" w:hAnsi="Times New Roman"/>
          <w:b w:val="0"/>
          <w:i w:val="0"/>
          <w:sz w:val="24"/>
        </w:rPr>
        <w:t xml:space="preserve">, el marco apropiado es un modelo de corrección de errores vectorial (VECM), que captura tanto la dinámica de corto plazo como el ajuste hacia el equilibrio de largo plazo. - Si </w:t>
      </w:r>
      <w:r>
        <w:rPr>
          <w:rFonts w:ascii="Times New Roman" w:hAnsi="Times New Roman" w:cs="Times New Roman"/>
          <w:rFonts w:ascii="Times New Roman" w:hAnsi="Times New Roman"/>
          <w:b/>
          <w:i w:val="0"/>
          <w:sz w:val="24"/>
        </w:rPr>
        <w:t>no se detecta cointegración</w:t>
      </w:r>
      <w:r>
        <w:rPr>
          <w:rFonts w:ascii="Times New Roman" w:hAnsi="Times New Roman" w:cs="Times New Roman"/>
          <w:rFonts w:ascii="Times New Roman" w:hAnsi="Times New Roman"/>
          <w:b w:val="0"/>
          <w:i w:val="0"/>
          <w:sz w:val="24"/>
        </w:rPr>
        <w:t>, el modelo se especifica como un VAR en primeras diferencias, perdiendo la información de largo plazo pero garantizando la validez de la inferencia estadística.</w:t>
      </w:r>
    </w:p>
    <w:p>
      <w:pPr/>
      <w:r>
        <w:rPr>
          <w:rFonts w:ascii="Times New Roman" w:hAnsi="Times New Roman" w:cs="Times New Roman"/>
          <w:rFonts w:ascii="Times New Roman" w:hAnsi="Times New Roman"/>
          <w:b w:val="0"/>
          <w:i w:val="0"/>
          <w:sz w:val="24"/>
        </w:rPr>
        <w:t>Los tests de Engle-Granger bivariantes para los pares oro~TIPS, oro~DXY y oro~WTI complementan el análisis multivariante, verificando la consistencia de los resultados.</w:t>
      </w:r>
    </w:p>
    <w:p>
      <w:pPr>
        <w:pStyle w:val="Heading2"/>
      </w:pPr>
      <w:r>
        <w:t>4.7 Diagnóstico de multicolinealidad</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4.7</w:t>
      </w:r>
      <w:r>
        <w:rPr>
          <w:rFonts w:ascii="Times New Roman" w:hAnsi="Times New Roman" w:cs="Times New Roman"/>
          <w:rFonts w:ascii="Times New Roman" w:hAnsi="Times New Roman"/>
          <w:b w:val="0"/>
          <w:i w:val="0"/>
          <w:sz w:val="24"/>
        </w:rPr>
        <w:t xml:space="preserve"> presenta los Variance Inflation Factors (VIF) para todos los regresores de la ecuación especificada en el §3.6.</w:t>
      </w:r>
    </w:p>
    <w:p>
      <w:pPr/>
      <w:r>
        <w:rPr>
          <w:rFonts w:ascii="Times New Roman" w:hAnsi="Times New Roman" w:cs="Times New Roman"/>
          <w:rFonts w:ascii="Times New Roman" w:hAnsi="Times New Roman"/>
          <w:b w:val="0"/>
          <w:i w:val="0"/>
          <w:sz w:val="24"/>
        </w:rPr>
        <w:t>El umbral convencional sitúa la multicolinealidad severa en VIF &gt; 10 y la moderada en VIF &gt; 5. Valores elevados son esperables entre variables intrínsecamente relacionadas: por ejemplo, TIPS y breakeven (ambos derivados del mercado de bonos) o CPI y breakeven (inflación realizada vs. esperada).</w:t>
      </w:r>
    </w:p>
    <w:p>
      <w:pPr/>
      <w:r>
        <w:rPr>
          <w:rFonts w:ascii="Times New Roman" w:hAnsi="Times New Roman" w:cs="Times New Roman"/>
          <w:rFonts w:ascii="Times New Roman" w:hAnsi="Times New Roman"/>
          <w:b w:val="0"/>
          <w:i w:val="0"/>
          <w:sz w:val="24"/>
        </w:rPr>
        <w:t>Si se detectan VIF superiores a 10, las estrategias de mitigación en el Capítulo 5 incluyen: (i) eliminar una de las variables colineales, (ii) utilizar componentes principales, o (iii) confiar en la estimación VAR/VECM que maneja sistemas multivariantes sin requerir la ortogonalidad de los regresores.</w:t>
      </w:r>
    </w:p>
    <w:p>
      <w:pPr>
        <w:pStyle w:val="Heading2"/>
      </w:pPr>
      <w:r>
        <w:t>4.8 Causalidad de Granger: evidencia preliminar</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Tabla 4.6</w:t>
      </w:r>
      <w:r>
        <w:rPr>
          <w:rFonts w:ascii="Times New Roman" w:hAnsi="Times New Roman" w:cs="Times New Roman"/>
          <w:rFonts w:ascii="Times New Roman" w:hAnsi="Times New Roman"/>
          <w:b w:val="0"/>
          <w:i w:val="0"/>
          <w:sz w:val="24"/>
        </w:rPr>
        <w:t xml:space="preserve"> presenta los resultados de los tests de causalidad de Granger bilateral entre el oro y cada catalizador, para lags de 1, 3, 6 y 12 meses.</w:t>
      </w:r>
    </w:p>
    <w:p>
      <w:pPr/>
      <w:r>
        <w:rPr>
          <w:rFonts w:ascii="Times New Roman" w:hAnsi="Times New Roman" w:cs="Times New Roman"/>
          <w:rFonts w:ascii="Times New Roman" w:hAnsi="Times New Roman"/>
          <w:b w:val="0"/>
          <w:i w:val="0"/>
          <w:sz w:val="24"/>
        </w:rPr>
        <w:t xml:space="preserve">Es importante enfatizar que la "causalidad de Granger" no implica causalidad económica: únicamente indica si los valores pasados de una variable mejoran la predicción de otra, controlando por la propia historia de la variable dependiente. En este sentido, es un test de </w:t>
      </w:r>
      <w:r>
        <w:rPr>
          <w:rFonts w:ascii="Times New Roman" w:hAnsi="Times New Roman" w:cs="Times New Roman"/>
          <w:rFonts w:ascii="Times New Roman" w:hAnsi="Times New Roman"/>
          <w:b w:val="0"/>
          <w:i/>
          <w:sz w:val="24"/>
        </w:rPr>
        <w:t>precedencia predictiva</w:t>
      </w:r>
      <w:r>
        <w:rPr>
          <w:rFonts w:ascii="Times New Roman" w:hAnsi="Times New Roman" w:cs="Times New Roman"/>
          <w:rFonts w:ascii="Times New Roman" w:hAnsi="Times New Roman"/>
          <w:b w:val="0"/>
          <w:i w:val="0"/>
          <w:sz w:val="24"/>
        </w:rPr>
        <w:t>.</w:t>
      </w:r>
    </w:p>
    <w:p>
      <w:pPr/>
      <w:r>
        <w:rPr>
          <w:rFonts w:ascii="Times New Roman" w:hAnsi="Times New Roman" w:cs="Times New Roman"/>
          <w:rFonts w:ascii="Times New Roman" w:hAnsi="Times New Roman"/>
          <w:b w:val="0"/>
          <w:i w:val="0"/>
          <w:sz w:val="24"/>
        </w:rPr>
        <w:t xml:space="preserve">Los resultados permiten identificar qué catalizadores anticipan movimientos del oro y, recíprocamente, si el oro anticipa cambios en sus determinantes (causalidad inversa o </w:t>
      </w:r>
      <w:r>
        <w:rPr>
          <w:rFonts w:ascii="Times New Roman" w:hAnsi="Times New Roman" w:cs="Times New Roman"/>
          <w:rFonts w:ascii="Times New Roman" w:hAnsi="Times New Roman"/>
          <w:b w:val="0"/>
          <w:i/>
          <w:sz w:val="24"/>
        </w:rPr>
        <w:t>reverse causality</w:t>
      </w:r>
      <w:r>
        <w:rPr>
          <w:rFonts w:ascii="Times New Roman" w:hAnsi="Times New Roman" w:cs="Times New Roman"/>
          <w:rFonts w:ascii="Times New Roman" w:hAnsi="Times New Roman"/>
          <w:b w:val="0"/>
          <w:i w:val="0"/>
          <w:sz w:val="24"/>
        </w:rPr>
        <w:t>). La bidireccionalidad, donde la detectemos, refuerza la necesidad de un enfoque VAR (que modela todas las variables como endógenas) frente a una regresión uniecuacional.</w:t>
      </w:r>
    </w:p>
    <w:p>
      <w:pPr/>
      <w:r>
        <w:rPr>
          <w:rFonts w:ascii="Times New Roman" w:hAnsi="Times New Roman" w:cs="Times New Roman"/>
          <w:rFonts w:ascii="Times New Roman" w:hAnsi="Times New Roman"/>
          <w:b w:val="0"/>
          <w:i w:val="0"/>
          <w:sz w:val="24"/>
        </w:rPr>
        <w:t>Los lags más largos (6 y 12 meses) capturan dinámicas de ajuste más lentas, relevantes para variables como las reservas de bancos centrales o la inflación, mientras que los lags cortos (1 y 3 meses) son más informativos para variables de mercado financiero como el DXY o el VIX.</w:t>
      </w:r>
    </w:p>
    <w:p>
      <w:pPr>
        <w:pStyle w:val="Heading2"/>
      </w:pPr>
      <w:r>
        <w:t>4.9 Síntesis y anticipación del análisis econométrico</w:t>
      </w:r>
    </w:p>
    <w:p>
      <w:pPr/>
      <w:r>
        <w:rPr>
          <w:rFonts w:ascii="Times New Roman" w:hAnsi="Times New Roman" w:cs="Times New Roman"/>
          <w:rFonts w:ascii="Times New Roman" w:hAnsi="Times New Roman"/>
          <w:b w:val="0"/>
          <w:i w:val="0"/>
          <w:sz w:val="24"/>
        </w:rPr>
        <w:t>El análisis exploratorio desarrollado en este capítulo establece cinco hallazgos fundamentales que condicionan la estrategia econométrica del Capítulo 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Primero</w:t>
      </w:r>
      <w:r>
        <w:rPr>
          <w:rFonts w:ascii="Times New Roman" w:hAnsi="Times New Roman" w:cs="Times New Roman"/>
          <w:rFonts w:ascii="Times New Roman" w:hAnsi="Times New Roman"/>
          <w:b w:val="0"/>
          <w:i w:val="0"/>
          <w:sz w:val="24"/>
        </w:rPr>
        <w:t xml:space="preserve">, las relaciones entre el oro y sus catalizadores son </w:t>
      </w:r>
      <w:r>
        <w:rPr>
          <w:rFonts w:ascii="Times New Roman" w:hAnsi="Times New Roman" w:cs="Times New Roman"/>
          <w:rFonts w:ascii="Times New Roman" w:hAnsi="Times New Roman"/>
          <w:b/>
          <w:i w:val="0"/>
          <w:sz w:val="24"/>
        </w:rPr>
        <w:t>inestables en el tiempo</w:t>
      </w:r>
      <w:r>
        <w:rPr>
          <w:rFonts w:ascii="Times New Roman" w:hAnsi="Times New Roman" w:cs="Times New Roman"/>
          <w:rFonts w:ascii="Times New Roman" w:hAnsi="Times New Roman"/>
          <w:b w:val="0"/>
          <w:i w:val="0"/>
          <w:sz w:val="24"/>
        </w:rPr>
        <w:t>. Las correlaciones rolling revelan que ningún determinante mantiene una relación constante con el metal a lo largo de los 25 años analizados. Esto sugiere la presencia de cambios de régimen y justifica la aplicación de tests de estabilidad estructural (Chow, CUSUM) y, potencialmente, modelos con parámetros cambiantes.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Segundo</w:t>
      </w:r>
      <w:r>
        <w:rPr>
          <w:rFonts w:ascii="Times New Roman" w:hAnsi="Times New Roman" w:cs="Times New Roman"/>
          <w:rFonts w:ascii="Times New Roman" w:hAnsi="Times New Roman"/>
          <w:b w:val="0"/>
          <w:i w:val="0"/>
          <w:sz w:val="24"/>
        </w:rPr>
        <w:t xml:space="preserve">, las distribuciones de los retornos presentan </w:t>
      </w:r>
      <w:r>
        <w:rPr>
          <w:rFonts w:ascii="Times New Roman" w:hAnsi="Times New Roman" w:cs="Times New Roman"/>
          <w:rFonts w:ascii="Times New Roman" w:hAnsi="Times New Roman"/>
          <w:b/>
          <w:i w:val="0"/>
          <w:sz w:val="24"/>
        </w:rPr>
        <w:t>colas gruesas y asimetría</w:t>
      </w:r>
      <w:r>
        <w:rPr>
          <w:rFonts w:ascii="Times New Roman" w:hAnsi="Times New Roman" w:cs="Times New Roman"/>
          <w:rFonts w:ascii="Times New Roman" w:hAnsi="Times New Roman"/>
          <w:b w:val="0"/>
          <w:i w:val="0"/>
          <w:sz w:val="24"/>
        </w:rPr>
        <w:t>, rechazando la normalidad. Este resultado tiene implicaciones para los intervalos de confianza de los modelos lineales y motiva la inclusión de modelos GARCH para la ecuación de varianza condicional.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Tercero</w:t>
      </w:r>
      <w:r>
        <w:rPr>
          <w:rFonts w:ascii="Times New Roman" w:hAnsi="Times New Roman" w:cs="Times New Roman"/>
          <w:rFonts w:ascii="Times New Roman" w:hAnsi="Times New Roman"/>
          <w:b w:val="0"/>
          <w:i w:val="0"/>
          <w:sz w:val="24"/>
        </w:rPr>
        <w:t xml:space="preserve">, la mayoría de variables en niveles son </w:t>
      </w:r>
      <w:r>
        <w:rPr>
          <w:rFonts w:ascii="Times New Roman" w:hAnsi="Times New Roman" w:cs="Times New Roman"/>
          <w:rFonts w:ascii="Times New Roman" w:hAnsi="Times New Roman"/>
          <w:b/>
          <w:i w:val="0"/>
          <w:sz w:val="24"/>
        </w:rPr>
        <w:t>I(1)</w:t>
      </w:r>
      <w:r>
        <w:rPr>
          <w:rFonts w:ascii="Times New Roman" w:hAnsi="Times New Roman" w:cs="Times New Roman"/>
          <w:rFonts w:ascii="Times New Roman" w:hAnsi="Times New Roman"/>
          <w:b w:val="0"/>
          <w:i w:val="0"/>
          <w:sz w:val="24"/>
        </w:rPr>
        <w:t>, lo que exige un tratamiento econométrico cuidadoso: o bien se trabaja en diferencias (perdiendo información de largo plazo) o bien se verifica la existencia de cointegración para especificar un VECM.</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Cuarto</w:t>
      </w:r>
      <w:r>
        <w:rPr>
          <w:rFonts w:ascii="Times New Roman" w:hAnsi="Times New Roman" w:cs="Times New Roman"/>
          <w:rFonts w:ascii="Times New Roman" w:hAnsi="Times New Roman"/>
          <w:b w:val="0"/>
          <w:i w:val="0"/>
          <w:sz w:val="24"/>
        </w:rPr>
        <w:t xml:space="preserve">, el comportamiento del oro difiere significativamente entre </w:t>
      </w:r>
      <w:r>
        <w:rPr>
          <w:rFonts w:ascii="Times New Roman" w:hAnsi="Times New Roman" w:cs="Times New Roman"/>
          <w:rFonts w:ascii="Times New Roman" w:hAnsi="Times New Roman"/>
          <w:b/>
          <w:i w:val="0"/>
          <w:sz w:val="24"/>
        </w:rPr>
        <w:t>crisis y calma</w:t>
      </w:r>
      <w:r>
        <w:rPr>
          <w:rFonts w:ascii="Times New Roman" w:hAnsi="Times New Roman" w:cs="Times New Roman"/>
          <w:rFonts w:ascii="Times New Roman" w:hAnsi="Times New Roman"/>
          <w:b w:val="0"/>
          <w:i w:val="0"/>
          <w:sz w:val="24"/>
        </w:rPr>
        <w:t>. Las estadísticas condicionales y las correlaciones condicionales confirman que el oro actúa como refugio seguro en periodos de estrés (correlación más negativa con renta variable, más positiva con VIX) pero no necesariamente como cobertura en periodos normales.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Quinto</w:t>
      </w:r>
      <w:r>
        <w:rPr>
          <w:rFonts w:ascii="Times New Roman" w:hAnsi="Times New Roman" w:cs="Times New Roman"/>
          <w:rFonts w:ascii="Times New Roman" w:hAnsi="Times New Roman"/>
          <w:b w:val="0"/>
          <w:i w:val="0"/>
          <w:sz w:val="24"/>
        </w:rPr>
        <w:t xml:space="preserve">, las relaciones </w:t>
      </w:r>
      <w:r>
        <w:rPr>
          <w:rFonts w:ascii="Times New Roman" w:hAnsi="Times New Roman" w:cs="Times New Roman"/>
          <w:rFonts w:ascii="Times New Roman" w:hAnsi="Times New Roman"/>
          <w:b/>
          <w:i w:val="0"/>
          <w:sz w:val="24"/>
        </w:rPr>
        <w:t>no son unidireccionales</w:t>
      </w:r>
      <w:r>
        <w:rPr>
          <w:rFonts w:ascii="Times New Roman" w:hAnsi="Times New Roman" w:cs="Times New Roman"/>
          <w:rFonts w:ascii="Times New Roman" w:hAnsi="Times New Roman"/>
          <w:b w:val="0"/>
          <w:i w:val="0"/>
          <w:sz w:val="24"/>
        </w:rPr>
        <w:t>: la causalidad de Granger bilateral sugiere retroalimentación entre el oro y varios de sus determinantes, legitimando el uso de un modelo VAR que trata todas las variables como potencialmente endógenas, en lugar de una regresión de mínimos cuadrados que asume exogeneidad de los regresores.</w:t>
      </w:r>
    </w:p>
    <w:p>
      <w:pPr/>
      <w:r>
        <w:rPr>
          <w:rFonts w:ascii="Times New Roman" w:hAnsi="Times New Roman" w:cs="Times New Roman"/>
          <w:rFonts w:ascii="Times New Roman" w:hAnsi="Times New Roman"/>
          <w:b w:val="0"/>
          <w:i w:val="0"/>
          <w:sz w:val="24"/>
        </w:rPr>
        <w:t>Con estos hallazgos como fundamento empírico, el Capítulo 5 procederá a la estimación formal del modelo econométrico, comenzando por la selección óptima de lags del VAR, la estimación del VECM si la cointegración lo justifica, y los análisis de impulso-respuesta y descomposición de varianza que cuantificarán la contribución de cada catalizador a la dinámica del precio del oro.</w:t>
      </w:r>
    </w:p>
    <w:p>
      <w:pPr>
        <w:spacing w:before="160"/>
        <w:jc w:val="center"/>
      </w:pPr>
      <w:r>
        <w:drawing>
          <wp:inline xmlns:a="http://schemas.openxmlformats.org/drawingml/2006/main" xmlns:pic="http://schemas.openxmlformats.org/drawingml/2006/picture">
            <wp:extent cx="5040000" cy="18900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10"/>
                    <a:stretch>
                      <a:fillRect/>
                    </a:stretch>
                  </pic:blipFill>
                  <pic:spPr>
                    <a:xfrm>
                      <a:off x="0" y="0"/>
                      <a:ext cx="5040000" cy="1890000"/>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4.1. Precio mensual del oro (USD/oz), enero 2000 - diciembre 2025. Las zonas sombreadas identifican los cinco episodios: GFC 2008, maximos post-QE 2011, COVID-19 2020, ciclo de tipos 2022 y rally 2025. Fuente: Yahoo Finance (GC=F).</w:t>
      </w:r>
    </w:p>
    <w:p>
      <w:pPr>
        <w:spacing w:before="160"/>
        <w:jc w:val="center"/>
      </w:pPr>
      <w:r>
        <w:drawing>
          <wp:inline xmlns:a="http://schemas.openxmlformats.org/drawingml/2006/main" xmlns:pic="http://schemas.openxmlformats.org/drawingml/2006/picture">
            <wp:extent cx="5040000" cy="4469007"/>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1"/>
                    <a:stretch>
                      <a:fillRect/>
                    </a:stretch>
                  </pic:blipFill>
                  <pic:spPr>
                    <a:xfrm>
                      <a:off x="0" y="0"/>
                      <a:ext cx="5040000" cy="4469007"/>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4.2. Evolucion mensual del precio del oro (USD/oz) y sus principales determinantes: DXY, tipo nominal del Tesoro a 10Y (%) y VIX. Las zonas sombreadas identifican los episodios de crisis. Fuente: Yahoo Finance.</w:t>
      </w:r>
    </w:p>
    <w:p>
      <w:pPr>
        <w:spacing w:before="160"/>
        <w:jc w:val="center"/>
      </w:pPr>
      <w:r>
        <w:drawing>
          <wp:inline xmlns:a="http://schemas.openxmlformats.org/drawingml/2006/main" xmlns:pic="http://schemas.openxmlformats.org/drawingml/2006/picture">
            <wp:extent cx="5040000" cy="18900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2"/>
                    <a:stretch>
                      <a:fillRect/>
                    </a:stretch>
                  </pic:blipFill>
                  <pic:spPr>
                    <a:xfrm>
                      <a:off x="0" y="0"/>
                      <a:ext cx="5040000" cy="1890000"/>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4.3. Correlaciones moviles (ventana 36 meses) entre el retorno mensual del oro y sus catalizadores principales. La linea discontinua marca el cero. Fuente: elaboracion propia sobre datos de Yahoo Finance.</w:t>
      </w:r>
    </w:p>
    <w:p>
      <w:pPr>
        <w:spacing w:before="160"/>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3"/>
                    <a:stretch>
                      <a:fillRect/>
                    </a:stretch>
                  </pic:blipFill>
                  <pic:spPr>
                    <a:xfrm>
                      <a:off x="0" y="0"/>
                      <a:ext cx="5040000" cy="2061818"/>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4.4. Relacion entre el precio del oro (USD/oz) y dos determinantes: DXY (izquierda) y tipo nominal del Tesoro a 10Y (derecha). Escala de color: anno (morado: 2000; amarillo: 2025). La linea discontinua es la tendencia lineal. Fuente: elaboracion propia.</w:t>
      </w:r>
    </w:p>
    <w:p>
      <w:r>
        <w:br w:type="page"/>
      </w:r>
    </w:p>
    <w:p>
      <w:pPr>
        <w:pStyle w:val="Heading1"/>
      </w:pPr>
      <w:r>
        <w:t>Capítulo 5: Análisis econométrico</w:t>
      </w:r>
    </w:p>
    <w:p>
      <w:pPr>
        <w:pStyle w:val="Heading2"/>
      </w:pPr>
      <w:r>
        <w:t>5.1 Del modelo de ecuaciones simultáneas al VAR: motivación metodológica</w:t>
      </w:r>
    </w:p>
    <w:p>
      <w:pPr/>
      <w:r>
        <w:rPr>
          <w:rFonts w:ascii="Times New Roman" w:hAnsi="Times New Roman" w:cs="Times New Roman"/>
          <w:rFonts w:ascii="Times New Roman" w:hAnsi="Times New Roman"/>
          <w:b w:val="0"/>
          <w:i w:val="0"/>
          <w:sz w:val="24"/>
        </w:rPr>
        <w:t>La elección del modelo VAR/VECM como núcleo del análisis econométrico no es arbitraria: responde a una evolución bien documentada en la historia de la econometría aplicada que conviene explicitar. Los primeros modelos macroeconómicos de gran escala —construidos por la Reserva Federal, el FMI y los bancos centrales en los años sesenta y setenta— se articulaban como Modelos de Ecuaciones Simultáneas (MES): sistemas de ecuaciones estructurales en los que cada variable era modelada como función de otras variables del sistema, con restricciones de identificación impuestas a priori para distinguir las ecuaciones entre sí.</w:t>
      </w:r>
    </w:p>
    <w:p>
      <w:pPr/>
      <w:r>
        <w:rPr>
          <w:rFonts w:ascii="Times New Roman" w:hAnsi="Times New Roman" w:cs="Times New Roman"/>
          <w:rFonts w:ascii="Times New Roman" w:hAnsi="Times New Roman"/>
          <w:b w:val="0"/>
          <w:i w:val="0"/>
          <w:sz w:val="24"/>
        </w:rPr>
        <w:t>El problema fundamental de los MES en la práctica es que esas restricciones de identificación —la decisión de cuáles variables son exógenas en cada ecuación— no puede verificarse a partir de los datos: son supuestos teóricos que se imponen de forma arbitraria. Cuando un investigador decide que, por ejemplo, el tipo de interés real es exógeno en la ecuación del precio del oro, está afirmando que el precio del oro no afecta al tipo real en el mismo mes —un supuesto que puede ser razonable pero que no es verificable sin información externa. Como señaló Sims (1980) en su influyente crítica, "las restricciones de identificación en los MES son increíbles porque se imponen por razones de conveniencia estadística, no por razones económicas sólidas".</w:t>
      </w:r>
    </w:p>
    <w:p>
      <w:pPr/>
      <w:r>
        <w:rPr>
          <w:rFonts w:ascii="Times New Roman" w:hAnsi="Times New Roman" w:cs="Times New Roman"/>
          <w:rFonts w:ascii="Times New Roman" w:hAnsi="Times New Roman"/>
          <w:b w:val="0"/>
          <w:i w:val="0"/>
          <w:sz w:val="24"/>
        </w:rPr>
        <w:t>La propuesta de Sims fue tratar todas las variables del sistema como igualmente endógenas y modelar cada una como función de los retardos de todas las demás. Este es exactamente el modelo VAR (</w:t>
      </w:r>
      <w:r>
        <w:rPr>
          <w:rFonts w:ascii="Times New Roman" w:hAnsi="Times New Roman" w:cs="Times New Roman"/>
          <w:rFonts w:ascii="Times New Roman" w:hAnsi="Times New Roman"/>
          <w:b w:val="0"/>
          <w:i/>
          <w:sz w:val="24"/>
        </w:rPr>
        <w:t>Vector Autoregression</w:t>
      </w:r>
      <w:r>
        <w:rPr>
          <w:rFonts w:ascii="Times New Roman" w:hAnsi="Times New Roman" w:cs="Times New Roman"/>
          <w:rFonts w:ascii="Times New Roman" w:hAnsi="Times New Roman"/>
          <w:b w:val="0"/>
          <w:i w:val="0"/>
          <w:sz w:val="24"/>
        </w:rPr>
        <w:t xml:space="preserve">), que puede entenderse como la </w:t>
      </w:r>
      <w:r>
        <w:rPr>
          <w:rFonts w:ascii="Times New Roman" w:hAnsi="Times New Roman" w:cs="Times New Roman"/>
          <w:rFonts w:ascii="Times New Roman" w:hAnsi="Times New Roman"/>
          <w:b/>
          <w:i w:val="0"/>
          <w:sz w:val="24"/>
        </w:rPr>
        <w:t>forma reducida</w:t>
      </w:r>
      <w:r>
        <w:rPr>
          <w:rFonts w:ascii="Times New Roman" w:hAnsi="Times New Roman" w:cs="Times New Roman"/>
          <w:rFonts w:ascii="Times New Roman" w:hAnsi="Times New Roman"/>
          <w:b w:val="0"/>
          <w:i w:val="0"/>
          <w:sz w:val="24"/>
        </w:rPr>
        <w:t xml:space="preserve"> del MES: sin restricciones de identificación a priori, sin variables artificialmente declaradas exógenas, y sin ecuaciones estructurales cuya justificación sea cuestionable. El VAR es, en este sentido, más honesto sobre lo que los datos pueden identificar sin teoría adicional. Para nuestro sistema —donde el precio del oro, el dólar, los tipos reales y la renta variable se afectan mutuamente de formas que no podemos especificar con certeza— el VAR ofrece el marco más apropiado.</w:t>
      </w:r>
    </w:p>
    <w:p>
      <w:pPr/>
      <w:r>
        <w:rPr>
          <w:rFonts w:ascii="Times New Roman" w:hAnsi="Times New Roman" w:cs="Times New Roman"/>
          <w:rFonts w:ascii="Times New Roman" w:hAnsi="Times New Roman"/>
          <w:b w:val="0"/>
          <w:i w:val="0"/>
          <w:sz w:val="24"/>
        </w:rPr>
        <w:t>Cuando las variables del sistema son no estacionarias y están cointegradas —como confirman los tests del Capítulo 4—, la extensión natural del VAR es el VECM (</w:t>
      </w:r>
      <w:r>
        <w:rPr>
          <w:rFonts w:ascii="Times New Roman" w:hAnsi="Times New Roman" w:cs="Times New Roman"/>
          <w:rFonts w:ascii="Times New Roman" w:hAnsi="Times New Roman"/>
          <w:b w:val="0"/>
          <w:i/>
          <w:sz w:val="24"/>
        </w:rPr>
        <w:t>Vector Error Correction Model</w:t>
      </w:r>
      <w:r>
        <w:rPr>
          <w:rFonts w:ascii="Times New Roman" w:hAnsi="Times New Roman" w:cs="Times New Roman"/>
          <w:rFonts w:ascii="Times New Roman" w:hAnsi="Times New Roman"/>
          <w:b w:val="0"/>
          <w:i w:val="0"/>
          <w:sz w:val="24"/>
        </w:rPr>
        <w:t>), que añade al sistema de diferencias un término de corrección de errores que captura la dinámica de ajuste al equilibrio de largo plazo. La estimación del VECM, sus funciones de impulso-respuesta y la descomposición de varianza del error de predicción son los resultados centrales de este capítulo.</w:t>
      </w:r>
    </w:p>
    <w:p>
      <w:pPr>
        <w:pStyle w:val="Heading2"/>
      </w:pPr>
      <w:r>
        <w:t>5.2 Estructura y secuencia del análisis</w:t>
      </w:r>
    </w:p>
    <w:p>
      <w:pPr/>
      <w:r>
        <w:rPr>
          <w:rFonts w:ascii="Times New Roman" w:hAnsi="Times New Roman" w:cs="Times New Roman"/>
          <w:rFonts w:ascii="Times New Roman" w:hAnsi="Times New Roman"/>
          <w:b w:val="0"/>
          <w:i w:val="0"/>
          <w:sz w:val="24"/>
        </w:rPr>
        <w:t>El análisis econométrico que se desarrolla en este capítulo sigue un protocolo secuencial en el que cada etapa determina la siguiente. El punto de partida son los resultados de estacionariedad e integración obtenidos en el Capítulo 4, que condicionan directamente la especificación del modelo de largo plazo. A continuación, la evidencia de cointegración del test de Johansen determina si el sistema debe estimarse como un modelo VAR en diferencias o como un modelo de corrección de errores vectorial (VECM). Sobre esa base multivariante se construyen las funciones de impulso-respuesta y la descomposición de varianza, que permiten cuantificar la dinámica del precio del oro ante shocks en sus catalizadores. En paralelo, el análisis de volatilidad condicional mediante modelos GARCH captura un aspecto de la dinámica del oro que los modelos de medias no recogen: los episodios de volatilidad extrema que caracterizan al metal en momentos de crisis. El capítulo concluye con un análisis de estabilidad estructural que pone a prueba la hipótesis —de especial relevancia en este trabajo— de que las relaciones estimadas no son constantes a lo largo de los veinticinco años analizados.</w:t>
      </w:r>
    </w:p>
    <w:p>
      <w:pPr/>
      <w:r>
        <w:rPr>
          <w:rFonts w:ascii="Times New Roman" w:hAnsi="Times New Roman" w:cs="Times New Roman"/>
          <w:rFonts w:ascii="Times New Roman" w:hAnsi="Times New Roman"/>
          <w:b w:val="0"/>
          <w:i w:val="0"/>
          <w:sz w:val="24"/>
        </w:rPr>
        <w:t>La secuencia completa de análisis, con las herramientas utilizadas y las tablas y figuras que genera cada etapa, se resume en la Tabla 5.0.</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Sección</w:t>
            </w:r>
          </w:p>
        </w:tc>
        <w:tc>
          <w:tcPr>
            <w:tcW w:type="dxa" w:w="1701"/>
          </w:tcPr>
          <w:p>
            <w:pPr>
              <w:spacing w:line="240" w:lineRule="auto"/>
              <w:jc w:val="center"/>
            </w:pPr>
            <w:r/>
            <w:r>
              <w:rPr>
                <w:rFonts w:ascii="Times New Roman" w:hAnsi="Times New Roman" w:cs="Times New Roman"/>
                <w:rFonts w:ascii="Times New Roman" w:hAnsi="Times New Roman"/>
                <w:b/>
                <w:i w:val="0"/>
                <w:sz w:val="20"/>
              </w:rPr>
              <w:t>Etapa</w:t>
            </w:r>
          </w:p>
        </w:tc>
        <w:tc>
          <w:tcPr>
            <w:tcW w:type="dxa" w:w="1701"/>
          </w:tcPr>
          <w:p>
            <w:pPr>
              <w:spacing w:line="240" w:lineRule="auto"/>
              <w:jc w:val="center"/>
            </w:pPr>
            <w:r/>
            <w:r>
              <w:rPr>
                <w:rFonts w:ascii="Times New Roman" w:hAnsi="Times New Roman" w:cs="Times New Roman"/>
                <w:rFonts w:ascii="Times New Roman" w:hAnsi="Times New Roman"/>
                <w:b/>
                <w:i w:val="0"/>
                <w:sz w:val="20"/>
              </w:rPr>
              <w:t>Herramienta</w:t>
            </w:r>
          </w:p>
        </w:tc>
        <w:tc>
          <w:tcPr>
            <w:tcW w:type="dxa" w:w="1701"/>
          </w:tcPr>
          <w:p>
            <w:pPr>
              <w:spacing w:line="240" w:lineRule="auto"/>
              <w:jc w:val="center"/>
            </w:pPr>
            <w:r/>
            <w:r>
              <w:rPr>
                <w:rFonts w:ascii="Times New Roman" w:hAnsi="Times New Roman" w:cs="Times New Roman"/>
                <w:rFonts w:ascii="Times New Roman" w:hAnsi="Times New Roman"/>
                <w:b/>
                <w:i w:val="0"/>
                <w:sz w:val="20"/>
              </w:rPr>
              <w:t>Insumos del Cap. 4</w:t>
            </w:r>
          </w:p>
        </w:tc>
        <w:tc>
          <w:tcPr>
            <w:tcW w:type="dxa" w:w="1701"/>
          </w:tcPr>
          <w:p>
            <w:pPr>
              <w:spacing w:line="240" w:lineRule="auto"/>
              <w:jc w:val="center"/>
            </w:pPr>
            <w:r/>
            <w:r>
              <w:rPr>
                <w:rFonts w:ascii="Times New Roman" w:hAnsi="Times New Roman" w:cs="Times New Roman"/>
                <w:rFonts w:ascii="Times New Roman" w:hAnsi="Times New Roman"/>
                <w:b/>
                <w:i w:val="0"/>
                <w:sz w:val="20"/>
              </w:rPr>
              <w:t>Productos (Cap. 5)</w:t>
            </w:r>
          </w:p>
        </w:tc>
      </w:tr>
      <w:tr>
        <w:tc>
          <w:tcPr>
            <w:tcW w:type="dxa" w:w="1701"/>
          </w:tcPr>
          <w:p>
            <w:pPr>
              <w:spacing w:line="240" w:lineRule="auto"/>
            </w:pPr>
            <w:r/>
            <w:r>
              <w:rPr>
                <w:rFonts w:ascii="Times New Roman" w:hAnsi="Times New Roman" w:cs="Times New Roman"/>
                <w:rFonts w:ascii="Times New Roman" w:hAnsi="Times New Roman"/>
                <w:b w:val="0"/>
                <w:i w:val="0"/>
                <w:sz w:val="20"/>
              </w:rPr>
              <w:t>5.3</w:t>
            </w:r>
          </w:p>
        </w:tc>
        <w:tc>
          <w:tcPr>
            <w:tcW w:type="dxa" w:w="1701"/>
          </w:tcPr>
          <w:p>
            <w:pPr>
              <w:spacing w:line="240" w:lineRule="auto"/>
            </w:pPr>
            <w:r/>
            <w:r>
              <w:rPr>
                <w:rFonts w:ascii="Times New Roman" w:hAnsi="Times New Roman" w:cs="Times New Roman"/>
                <w:rFonts w:ascii="Times New Roman" w:hAnsi="Times New Roman"/>
                <w:b w:val="0"/>
                <w:i w:val="0"/>
                <w:sz w:val="20"/>
              </w:rPr>
              <w:t>Estructura del sistema</w:t>
            </w:r>
          </w:p>
        </w:tc>
        <w:tc>
          <w:tcPr>
            <w:tcW w:type="dxa" w:w="1701"/>
          </w:tcPr>
          <w:p>
            <w:pPr>
              <w:spacing w:line="240" w:lineRule="auto"/>
            </w:pPr>
            <w:r/>
            <w:r>
              <w:rPr>
                <w:rFonts w:ascii="Times New Roman" w:hAnsi="Times New Roman" w:cs="Times New Roman"/>
                <w:rFonts w:ascii="Times New Roman" w:hAnsi="Times New Roman"/>
                <w:b w:val="0"/>
                <w:i w:val="0"/>
                <w:sz w:val="20"/>
              </w:rPr>
              <w:t>Tests ADF + KPSS</w:t>
            </w:r>
          </w:p>
        </w:tc>
        <w:tc>
          <w:tcPr>
            <w:tcW w:type="dxa" w:w="1701"/>
          </w:tcPr>
          <w:p>
            <w:pPr>
              <w:spacing w:line="240" w:lineRule="auto"/>
            </w:pPr>
            <w:r/>
            <w:r>
              <w:rPr>
                <w:rFonts w:ascii="Times New Roman" w:hAnsi="Times New Roman" w:cs="Times New Roman"/>
                <w:rFonts w:ascii="Times New Roman" w:hAnsi="Times New Roman"/>
                <w:b w:val="0"/>
                <w:i w:val="0"/>
                <w:sz w:val="20"/>
              </w:rPr>
              <w:t>Tabla 4.4</w:t>
            </w:r>
          </w:p>
        </w:tc>
        <w:tc>
          <w:tcPr>
            <w:tcW w:type="dxa" w:w="1701"/>
          </w:tcPr>
          <w:p>
            <w:pPr>
              <w:spacing w:line="240" w:lineRule="auto"/>
            </w:pPr>
            <w:r/>
            <w:r>
              <w:rPr>
                <w:rFonts w:ascii="Times New Roman" w:hAnsi="Times New Roman" w:cs="Times New Roman"/>
                <w:rFonts w:ascii="Times New Roman" w:hAnsi="Times New Roman"/>
                <w:b w:val="0"/>
                <w:i w:val="0"/>
                <w:sz w:val="20"/>
              </w:rPr>
              <w:t>Clasificación I(0)/I(1)</w:t>
            </w:r>
          </w:p>
        </w:tc>
      </w:tr>
      <w:tr>
        <w:tc>
          <w:tcPr>
            <w:tcW w:type="dxa" w:w="1701"/>
          </w:tcPr>
          <w:p>
            <w:pPr>
              <w:spacing w:line="240" w:lineRule="auto"/>
            </w:pPr>
            <w:r/>
            <w:r>
              <w:rPr>
                <w:rFonts w:ascii="Times New Roman" w:hAnsi="Times New Roman" w:cs="Times New Roman"/>
                <w:rFonts w:ascii="Times New Roman" w:hAnsi="Times New Roman"/>
                <w:b w:val="0"/>
                <w:i w:val="0"/>
                <w:sz w:val="20"/>
              </w:rPr>
              <w:t>5.3</w:t>
            </w:r>
          </w:p>
        </w:tc>
        <w:tc>
          <w:tcPr>
            <w:tcW w:type="dxa" w:w="1701"/>
          </w:tcPr>
          <w:p>
            <w:pPr>
              <w:spacing w:line="240" w:lineRule="auto"/>
            </w:pPr>
            <w:r/>
            <w:r>
              <w:rPr>
                <w:rFonts w:ascii="Times New Roman" w:hAnsi="Times New Roman" w:cs="Times New Roman"/>
                <w:rFonts w:ascii="Times New Roman" w:hAnsi="Times New Roman"/>
                <w:b w:val="0"/>
                <w:i w:val="0"/>
                <w:sz w:val="20"/>
              </w:rPr>
              <w:t>Cointegración</w:t>
            </w:r>
          </w:p>
        </w:tc>
        <w:tc>
          <w:tcPr>
            <w:tcW w:type="dxa" w:w="1701"/>
          </w:tcPr>
          <w:p>
            <w:pPr>
              <w:spacing w:line="240" w:lineRule="auto"/>
            </w:pPr>
            <w:r/>
            <w:r>
              <w:rPr>
                <w:rFonts w:ascii="Times New Roman" w:hAnsi="Times New Roman" w:cs="Times New Roman"/>
                <w:rFonts w:ascii="Times New Roman" w:hAnsi="Times New Roman"/>
                <w:b w:val="0"/>
                <w:i w:val="0"/>
                <w:sz w:val="20"/>
              </w:rPr>
              <w:t>Test de Johansen</w:t>
            </w:r>
          </w:p>
        </w:tc>
        <w:tc>
          <w:tcPr>
            <w:tcW w:type="dxa" w:w="1701"/>
          </w:tcPr>
          <w:p>
            <w:pPr>
              <w:spacing w:line="240" w:lineRule="auto"/>
            </w:pPr>
            <w:r/>
            <w:r>
              <w:rPr>
                <w:rFonts w:ascii="Times New Roman" w:hAnsi="Times New Roman" w:cs="Times New Roman"/>
                <w:rFonts w:ascii="Times New Roman" w:hAnsi="Times New Roman"/>
                <w:b w:val="0"/>
                <w:i w:val="0"/>
                <w:sz w:val="20"/>
              </w:rPr>
              <w:t>Tabla 4.5</w:t>
            </w:r>
          </w:p>
        </w:tc>
        <w:tc>
          <w:tcPr>
            <w:tcW w:type="dxa" w:w="1701"/>
          </w:tcPr>
          <w:p>
            <w:pPr>
              <w:spacing w:line="240" w:lineRule="auto"/>
            </w:pPr>
            <w:r/>
            <w:r>
              <w:rPr>
                <w:rFonts w:ascii="Times New Roman" w:hAnsi="Times New Roman" w:cs="Times New Roman"/>
                <w:rFonts w:ascii="Times New Roman" w:hAnsi="Times New Roman"/>
                <w:b w:val="0"/>
                <w:i w:val="0"/>
                <w:sz w:val="20"/>
              </w:rPr>
              <w:t>Determinación del rango</w:t>
            </w:r>
          </w:p>
        </w:tc>
      </w:tr>
      <w:tr>
        <w:tc>
          <w:tcPr>
            <w:tcW w:type="dxa" w:w="1701"/>
          </w:tcPr>
          <w:p>
            <w:pPr>
              <w:spacing w:line="240" w:lineRule="auto"/>
            </w:pPr>
            <w:r/>
            <w:r>
              <w:rPr>
                <w:rFonts w:ascii="Times New Roman" w:hAnsi="Times New Roman" w:cs="Times New Roman"/>
                <w:rFonts w:ascii="Times New Roman" w:hAnsi="Times New Roman"/>
                <w:b w:val="0"/>
                <w:i w:val="0"/>
                <w:sz w:val="20"/>
              </w:rPr>
              <w:t>5.4</w:t>
            </w:r>
          </w:p>
        </w:tc>
        <w:tc>
          <w:tcPr>
            <w:tcW w:type="dxa" w:w="1701"/>
          </w:tcPr>
          <w:p>
            <w:pPr>
              <w:spacing w:line="240" w:lineRule="auto"/>
            </w:pPr>
            <w:r/>
            <w:r>
              <w:rPr>
                <w:rFonts w:ascii="Times New Roman" w:hAnsi="Times New Roman" w:cs="Times New Roman"/>
                <w:rFonts w:ascii="Times New Roman" w:hAnsi="Times New Roman"/>
                <w:b w:val="0"/>
                <w:i w:val="0"/>
                <w:sz w:val="20"/>
              </w:rPr>
              <w:t>Especificación VAR</w:t>
            </w:r>
          </w:p>
        </w:tc>
        <w:tc>
          <w:tcPr>
            <w:tcW w:type="dxa" w:w="1701"/>
          </w:tcPr>
          <w:p>
            <w:pPr>
              <w:spacing w:line="240" w:lineRule="auto"/>
            </w:pPr>
            <w:r/>
            <w:r>
              <w:rPr>
                <w:rFonts w:ascii="Times New Roman" w:hAnsi="Times New Roman" w:cs="Times New Roman"/>
                <w:rFonts w:ascii="Times New Roman" w:hAnsi="Times New Roman"/>
                <w:b w:val="0"/>
                <w:i w:val="0"/>
                <w:sz w:val="20"/>
              </w:rPr>
              <w:t>Criterios AIC/BIC</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c>
          <w:tcPr>
            <w:tcW w:type="dxa" w:w="1701"/>
          </w:tcPr>
          <w:p>
            <w:pPr>
              <w:spacing w:line="240" w:lineRule="auto"/>
            </w:pPr>
            <w:r/>
            <w:r>
              <w:rPr>
                <w:rFonts w:ascii="Times New Roman" w:hAnsi="Times New Roman" w:cs="Times New Roman"/>
                <w:rFonts w:ascii="Times New Roman" w:hAnsi="Times New Roman"/>
                <w:b w:val="0"/>
                <w:i w:val="0"/>
                <w:sz w:val="20"/>
              </w:rPr>
              <w:t>Tabla 5.1</w:t>
            </w:r>
          </w:p>
        </w:tc>
      </w:tr>
      <w:tr>
        <w:tc>
          <w:tcPr>
            <w:tcW w:type="dxa" w:w="1701"/>
          </w:tcPr>
          <w:p>
            <w:pPr>
              <w:spacing w:line="240" w:lineRule="auto"/>
            </w:pPr>
            <w:r/>
            <w:r>
              <w:rPr>
                <w:rFonts w:ascii="Times New Roman" w:hAnsi="Times New Roman" w:cs="Times New Roman"/>
                <w:rFonts w:ascii="Times New Roman" w:hAnsi="Times New Roman"/>
                <w:b w:val="0"/>
                <w:i w:val="0"/>
                <w:sz w:val="20"/>
              </w:rPr>
              <w:t>5.4</w:t>
            </w:r>
          </w:p>
        </w:tc>
        <w:tc>
          <w:tcPr>
            <w:tcW w:type="dxa" w:w="1701"/>
          </w:tcPr>
          <w:p>
            <w:pPr>
              <w:spacing w:line="240" w:lineRule="auto"/>
            </w:pPr>
            <w:r/>
            <w:r>
              <w:rPr>
                <w:rFonts w:ascii="Times New Roman" w:hAnsi="Times New Roman" w:cs="Times New Roman"/>
                <w:rFonts w:ascii="Times New Roman" w:hAnsi="Times New Roman"/>
                <w:b w:val="0"/>
                <w:i w:val="0"/>
                <w:sz w:val="20"/>
              </w:rPr>
              <w:t>Estimación VECM</w:t>
            </w:r>
          </w:p>
        </w:tc>
        <w:tc>
          <w:tcPr>
            <w:tcW w:type="dxa" w:w="1701"/>
          </w:tcPr>
          <w:p>
            <w:pPr>
              <w:spacing w:line="240" w:lineRule="auto"/>
            </w:pPr>
            <w:r/>
            <w:r>
              <w:rPr>
                <w:rFonts w:ascii="Times New Roman" w:hAnsi="Times New Roman" w:cs="Times New Roman"/>
                <w:rFonts w:ascii="Times New Roman" w:hAnsi="Times New Roman"/>
                <w:b w:val="0"/>
                <w:i w:val="0"/>
                <w:sz w:val="20"/>
              </w:rPr>
              <w:t>VECM (r=1)</w:t>
            </w:r>
          </w:p>
        </w:tc>
        <w:tc>
          <w:tcPr>
            <w:tcW w:type="dxa" w:w="1701"/>
          </w:tcPr>
          <w:p>
            <w:pPr>
              <w:spacing w:line="240" w:lineRule="auto"/>
            </w:pPr>
            <w:r/>
            <w:r>
              <w:rPr>
                <w:rFonts w:ascii="Times New Roman" w:hAnsi="Times New Roman" w:cs="Times New Roman"/>
                <w:rFonts w:ascii="Times New Roman" w:hAnsi="Times New Roman"/>
                <w:b w:val="0"/>
                <w:i w:val="0"/>
                <w:sz w:val="20"/>
              </w:rPr>
              <w:t>Tablas 4.4, 4.5</w:t>
            </w:r>
          </w:p>
        </w:tc>
        <w:tc>
          <w:tcPr>
            <w:tcW w:type="dxa" w:w="1701"/>
          </w:tcPr>
          <w:p>
            <w:pPr>
              <w:spacing w:line="240" w:lineRule="auto"/>
            </w:pPr>
            <w:r/>
            <w:r>
              <w:rPr>
                <w:rFonts w:ascii="Times New Roman" w:hAnsi="Times New Roman" w:cs="Times New Roman"/>
                <w:rFonts w:ascii="Times New Roman" w:hAnsi="Times New Roman"/>
                <w:b w:val="0"/>
                <w:i w:val="0"/>
                <w:sz w:val="20"/>
              </w:rPr>
              <w:t>Tablas 5.2, 5.3</w:t>
            </w:r>
          </w:p>
        </w:tc>
      </w:tr>
      <w:tr>
        <w:tc>
          <w:tcPr>
            <w:tcW w:type="dxa" w:w="1701"/>
          </w:tcPr>
          <w:p>
            <w:pPr>
              <w:spacing w:line="240" w:lineRule="auto"/>
            </w:pPr>
            <w:r/>
            <w:r>
              <w:rPr>
                <w:rFonts w:ascii="Times New Roman" w:hAnsi="Times New Roman" w:cs="Times New Roman"/>
                <w:rFonts w:ascii="Times New Roman" w:hAnsi="Times New Roman"/>
                <w:b w:val="0"/>
                <w:i w:val="0"/>
                <w:sz w:val="20"/>
              </w:rPr>
              <w:t>5.5</w:t>
            </w:r>
          </w:p>
        </w:tc>
        <w:tc>
          <w:tcPr>
            <w:tcW w:type="dxa" w:w="1701"/>
          </w:tcPr>
          <w:p>
            <w:pPr>
              <w:spacing w:line="240" w:lineRule="auto"/>
            </w:pPr>
            <w:r/>
            <w:r>
              <w:rPr>
                <w:rFonts w:ascii="Times New Roman" w:hAnsi="Times New Roman" w:cs="Times New Roman"/>
                <w:rFonts w:ascii="Times New Roman" w:hAnsi="Times New Roman"/>
                <w:b w:val="0"/>
                <w:i w:val="0"/>
                <w:sz w:val="20"/>
              </w:rPr>
              <w:t>Impulso-respuesta</w:t>
            </w:r>
          </w:p>
        </w:tc>
        <w:tc>
          <w:tcPr>
            <w:tcW w:type="dxa" w:w="1701"/>
          </w:tcPr>
          <w:p>
            <w:pPr>
              <w:spacing w:line="240" w:lineRule="auto"/>
            </w:pPr>
            <w:r/>
            <w:r>
              <w:rPr>
                <w:rFonts w:ascii="Times New Roman" w:hAnsi="Times New Roman" w:cs="Times New Roman"/>
                <w:rFonts w:ascii="Times New Roman" w:hAnsi="Times New Roman"/>
                <w:b w:val="0"/>
                <w:i w:val="0"/>
                <w:sz w:val="20"/>
              </w:rPr>
              <w:t>IRF ortogonalizada (Cholesky)</w:t>
            </w:r>
          </w:p>
        </w:tc>
        <w:tc>
          <w:tcPr>
            <w:tcW w:type="dxa" w:w="1701"/>
          </w:tcPr>
          <w:p>
            <w:pPr>
              <w:spacing w:line="240" w:lineRule="auto"/>
            </w:pPr>
            <w:r/>
            <w:r>
              <w:rPr>
                <w:rFonts w:ascii="Times New Roman" w:hAnsi="Times New Roman" w:cs="Times New Roman"/>
                <w:rFonts w:ascii="Times New Roman" w:hAnsi="Times New Roman"/>
                <w:b w:val="0"/>
                <w:i w:val="0"/>
                <w:sz w:val="20"/>
              </w:rPr>
              <w:t>VECM</w:t>
            </w:r>
          </w:p>
        </w:tc>
        <w:tc>
          <w:tcPr>
            <w:tcW w:type="dxa" w:w="1701"/>
          </w:tcPr>
          <w:p>
            <w:pPr>
              <w:spacing w:line="240" w:lineRule="auto"/>
            </w:pPr>
            <w:r/>
            <w:r>
              <w:rPr>
                <w:rFonts w:ascii="Times New Roman" w:hAnsi="Times New Roman" w:cs="Times New Roman"/>
                <w:rFonts w:ascii="Times New Roman" w:hAnsi="Times New Roman"/>
                <w:b w:val="0"/>
                <w:i w:val="0"/>
                <w:sz w:val="20"/>
              </w:rPr>
              <w:t>Figura 5.1</w:t>
            </w:r>
          </w:p>
        </w:tc>
      </w:tr>
      <w:tr>
        <w:tc>
          <w:tcPr>
            <w:tcW w:type="dxa" w:w="1701"/>
          </w:tcPr>
          <w:p>
            <w:pPr>
              <w:spacing w:line="240" w:lineRule="auto"/>
            </w:pPr>
            <w:r/>
            <w:r>
              <w:rPr>
                <w:rFonts w:ascii="Times New Roman" w:hAnsi="Times New Roman" w:cs="Times New Roman"/>
                <w:rFonts w:ascii="Times New Roman" w:hAnsi="Times New Roman"/>
                <w:b w:val="0"/>
                <w:i w:val="0"/>
                <w:sz w:val="20"/>
              </w:rPr>
              <w:t>5.6</w:t>
            </w:r>
          </w:p>
        </w:tc>
        <w:tc>
          <w:tcPr>
            <w:tcW w:type="dxa" w:w="1701"/>
          </w:tcPr>
          <w:p>
            <w:pPr>
              <w:spacing w:line="240" w:lineRule="auto"/>
            </w:pPr>
            <w:r/>
            <w:r>
              <w:rPr>
                <w:rFonts w:ascii="Times New Roman" w:hAnsi="Times New Roman" w:cs="Times New Roman"/>
                <w:rFonts w:ascii="Times New Roman" w:hAnsi="Times New Roman"/>
                <w:b w:val="0"/>
                <w:i w:val="0"/>
                <w:sz w:val="20"/>
              </w:rPr>
              <w:t>Descomposición varianza</w:t>
            </w:r>
          </w:p>
        </w:tc>
        <w:tc>
          <w:tcPr>
            <w:tcW w:type="dxa" w:w="1701"/>
          </w:tcPr>
          <w:p>
            <w:pPr>
              <w:spacing w:line="240" w:lineRule="auto"/>
            </w:pPr>
            <w:r/>
            <w:r>
              <w:rPr>
                <w:rFonts w:ascii="Times New Roman" w:hAnsi="Times New Roman" w:cs="Times New Roman"/>
                <w:rFonts w:ascii="Times New Roman" w:hAnsi="Times New Roman"/>
                <w:b w:val="0"/>
                <w:i w:val="0"/>
                <w:sz w:val="20"/>
              </w:rPr>
              <w:t>FEVD</w:t>
            </w:r>
          </w:p>
        </w:tc>
        <w:tc>
          <w:tcPr>
            <w:tcW w:type="dxa" w:w="1701"/>
          </w:tcPr>
          <w:p>
            <w:pPr>
              <w:spacing w:line="240" w:lineRule="auto"/>
            </w:pPr>
            <w:r/>
            <w:r>
              <w:rPr>
                <w:rFonts w:ascii="Times New Roman" w:hAnsi="Times New Roman" w:cs="Times New Roman"/>
                <w:rFonts w:ascii="Times New Roman" w:hAnsi="Times New Roman"/>
                <w:b w:val="0"/>
                <w:i w:val="0"/>
                <w:sz w:val="20"/>
              </w:rPr>
              <w:t>VECM</w:t>
            </w:r>
          </w:p>
        </w:tc>
        <w:tc>
          <w:tcPr>
            <w:tcW w:type="dxa" w:w="1701"/>
          </w:tcPr>
          <w:p>
            <w:pPr>
              <w:spacing w:line="240" w:lineRule="auto"/>
            </w:pPr>
            <w:r/>
            <w:r>
              <w:rPr>
                <w:rFonts w:ascii="Times New Roman" w:hAnsi="Times New Roman" w:cs="Times New Roman"/>
                <w:rFonts w:ascii="Times New Roman" w:hAnsi="Times New Roman"/>
                <w:b w:val="0"/>
                <w:i w:val="0"/>
                <w:sz w:val="20"/>
              </w:rPr>
              <w:t>Figura 5.2</w:t>
            </w:r>
          </w:p>
        </w:tc>
      </w:tr>
      <w:tr>
        <w:tc>
          <w:tcPr>
            <w:tcW w:type="dxa" w:w="1701"/>
          </w:tcPr>
          <w:p>
            <w:pPr>
              <w:spacing w:line="240" w:lineRule="auto"/>
            </w:pPr>
            <w:r/>
            <w:r>
              <w:rPr>
                <w:rFonts w:ascii="Times New Roman" w:hAnsi="Times New Roman" w:cs="Times New Roman"/>
                <w:rFonts w:ascii="Times New Roman" w:hAnsi="Times New Roman"/>
                <w:b w:val="0"/>
                <w:i w:val="0"/>
                <w:sz w:val="20"/>
              </w:rPr>
              <w:t>5.7</w:t>
            </w:r>
          </w:p>
        </w:tc>
        <w:tc>
          <w:tcPr>
            <w:tcW w:type="dxa" w:w="1701"/>
          </w:tcPr>
          <w:p>
            <w:pPr>
              <w:spacing w:line="240" w:lineRule="auto"/>
            </w:pPr>
            <w:r/>
            <w:r>
              <w:rPr>
                <w:rFonts w:ascii="Times New Roman" w:hAnsi="Times New Roman" w:cs="Times New Roman"/>
                <w:rFonts w:ascii="Times New Roman" w:hAnsi="Times New Roman"/>
                <w:b w:val="0"/>
                <w:i w:val="0"/>
                <w:sz w:val="20"/>
              </w:rPr>
              <w:t>Volatilidad condicional</w:t>
            </w:r>
          </w:p>
        </w:tc>
        <w:tc>
          <w:tcPr>
            <w:tcW w:type="dxa" w:w="1701"/>
          </w:tcPr>
          <w:p>
            <w:pPr>
              <w:spacing w:line="240" w:lineRule="auto"/>
            </w:pPr>
            <w:r/>
            <w:r>
              <w:rPr>
                <w:rFonts w:ascii="Times New Roman" w:hAnsi="Times New Roman" w:cs="Times New Roman"/>
                <w:rFonts w:ascii="Times New Roman" w:hAnsi="Times New Roman"/>
                <w:b w:val="0"/>
                <w:i w:val="0"/>
                <w:sz w:val="20"/>
              </w:rPr>
              <w:t>GJR-GARCH(1,1)</w:t>
            </w:r>
          </w:p>
        </w:tc>
        <w:tc>
          <w:tcPr>
            <w:tcW w:type="dxa" w:w="1701"/>
          </w:tcPr>
          <w:p>
            <w:pPr>
              <w:spacing w:line="240" w:lineRule="auto"/>
            </w:pPr>
            <w:r/>
            <w:r>
              <w:rPr>
                <w:rFonts w:ascii="Times New Roman" w:hAnsi="Times New Roman" w:cs="Times New Roman"/>
                <w:rFonts w:ascii="Times New Roman" w:hAnsi="Times New Roman"/>
                <w:b w:val="0"/>
                <w:i w:val="0"/>
                <w:sz w:val="20"/>
              </w:rPr>
              <w:t>Retornos</w:t>
            </w:r>
          </w:p>
        </w:tc>
        <w:tc>
          <w:tcPr>
            <w:tcW w:type="dxa" w:w="1701"/>
          </w:tcPr>
          <w:p>
            <w:pPr>
              <w:spacing w:line="240" w:lineRule="auto"/>
            </w:pPr>
            <w:r/>
            <w:r>
              <w:rPr>
                <w:rFonts w:ascii="Times New Roman" w:hAnsi="Times New Roman" w:cs="Times New Roman"/>
                <w:rFonts w:ascii="Times New Roman" w:hAnsi="Times New Roman"/>
                <w:b w:val="0"/>
                <w:i w:val="0"/>
                <w:sz w:val="20"/>
              </w:rPr>
              <w:t>Tabla 5.4; Figuras 5.3, 5.4</w:t>
            </w:r>
          </w:p>
        </w:tc>
      </w:tr>
      <w:tr>
        <w:tc>
          <w:tcPr>
            <w:tcW w:type="dxa" w:w="1701"/>
          </w:tcPr>
          <w:p>
            <w:pPr>
              <w:spacing w:line="240" w:lineRule="auto"/>
            </w:pPr>
            <w:r/>
            <w:r>
              <w:rPr>
                <w:rFonts w:ascii="Times New Roman" w:hAnsi="Times New Roman" w:cs="Times New Roman"/>
                <w:rFonts w:ascii="Times New Roman" w:hAnsi="Times New Roman"/>
                <w:b w:val="0"/>
                <w:i w:val="0"/>
                <w:sz w:val="20"/>
              </w:rPr>
              <w:t>5.8</w:t>
            </w:r>
          </w:p>
        </w:tc>
        <w:tc>
          <w:tcPr>
            <w:tcW w:type="dxa" w:w="1701"/>
          </w:tcPr>
          <w:p>
            <w:pPr>
              <w:spacing w:line="240" w:lineRule="auto"/>
            </w:pPr>
            <w:r/>
            <w:r>
              <w:rPr>
                <w:rFonts w:ascii="Times New Roman" w:hAnsi="Times New Roman" w:cs="Times New Roman"/>
                <w:rFonts w:ascii="Times New Roman" w:hAnsi="Times New Roman"/>
                <w:b w:val="0"/>
                <w:i w:val="0"/>
                <w:sz w:val="20"/>
              </w:rPr>
              <w:t>Estabilidad estructural</w:t>
            </w:r>
          </w:p>
        </w:tc>
        <w:tc>
          <w:tcPr>
            <w:tcW w:type="dxa" w:w="1701"/>
          </w:tcPr>
          <w:p>
            <w:pPr>
              <w:spacing w:line="240" w:lineRule="auto"/>
            </w:pPr>
            <w:r/>
            <w:r>
              <w:rPr>
                <w:rFonts w:ascii="Times New Roman" w:hAnsi="Times New Roman" w:cs="Times New Roman"/>
                <w:rFonts w:ascii="Times New Roman" w:hAnsi="Times New Roman"/>
                <w:b w:val="0"/>
                <w:i w:val="0"/>
                <w:sz w:val="20"/>
              </w:rPr>
              <w:t>Test Chow + CUSUM</w:t>
            </w:r>
          </w:p>
        </w:tc>
        <w:tc>
          <w:tcPr>
            <w:tcW w:type="dxa" w:w="1701"/>
          </w:tcPr>
          <w:p>
            <w:pPr>
              <w:spacing w:line="240" w:lineRule="auto"/>
            </w:pPr>
            <w:r/>
            <w:r>
              <w:rPr>
                <w:rFonts w:ascii="Times New Roman" w:hAnsi="Times New Roman" w:cs="Times New Roman"/>
                <w:rFonts w:ascii="Times New Roman" w:hAnsi="Times New Roman"/>
                <w:b w:val="0"/>
                <w:i w:val="0"/>
                <w:sz w:val="20"/>
              </w:rPr>
              <w:t>Todos</w:t>
            </w:r>
          </w:p>
        </w:tc>
        <w:tc>
          <w:tcPr>
            <w:tcW w:type="dxa" w:w="1701"/>
          </w:tcPr>
          <w:p>
            <w:pPr>
              <w:spacing w:line="240" w:lineRule="auto"/>
            </w:pPr>
            <w:r/>
            <w:r>
              <w:rPr>
                <w:rFonts w:ascii="Times New Roman" w:hAnsi="Times New Roman" w:cs="Times New Roman"/>
                <w:rFonts w:ascii="Times New Roman" w:hAnsi="Times New Roman"/>
                <w:b w:val="0"/>
                <w:i w:val="0"/>
                <w:sz w:val="20"/>
              </w:rPr>
              <w:t>Tabla 5.5; Figuras 5.5, 5.6</w:t>
            </w:r>
          </w:p>
        </w:tc>
      </w:tr>
    </w:tbl>
    <w:p/>
    <w:p>
      <w:pPr>
        <w:pStyle w:val="Heading2"/>
      </w:pPr>
      <w:r>
        <w:t>5.3 Revisión de los resultados previos: raíz unitaria y cointegración</w:t>
      </w:r>
    </w:p>
    <w:p>
      <w:pPr>
        <w:pStyle w:val="Heading3"/>
      </w:pPr>
      <w:r>
        <w:t>5.3.1 Clasificación de las series por orden de integración</w:t>
      </w:r>
    </w:p>
    <w:p>
      <w:pPr/>
      <w:r>
        <w:rPr>
          <w:rFonts w:ascii="Times New Roman" w:hAnsi="Times New Roman" w:cs="Times New Roman"/>
          <w:rFonts w:ascii="Times New Roman" w:hAnsi="Times New Roman"/>
          <w:b w:val="0"/>
          <w:i w:val="0"/>
          <w:sz w:val="24"/>
        </w:rPr>
        <w:t>Los tests ADF y KPSS aplicados en el Capítulo 4 a cada variable del sistema producen una clasificación que es el punto de partida imprescindible para cualquier análisis econométrico de series temporales. Regresar variables no estacionarias entre sí sin el tratamiento adecuado produce el fenómeno de regresión espuria —descrito por Granger y Newbold (1974)—, en el que los coeficientes parecen estadísticamente significativos por el simple hecho de que dos series comparten una tendencia temporal, y no por ninguna relación económica real.</w:t>
      </w:r>
    </w:p>
    <w:p>
      <w:pPr/>
      <w:r>
        <w:rPr>
          <w:rFonts w:ascii="Times New Roman" w:hAnsi="Times New Roman" w:cs="Times New Roman"/>
          <w:rFonts w:ascii="Times New Roman" w:hAnsi="Times New Roman"/>
          <w:b w:val="0"/>
          <w:i w:val="0"/>
          <w:sz w:val="24"/>
        </w:rPr>
        <w:t>Los resultados de la Tabla 4.4 permiten distinguir dos grupos claramente diferenciados: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Variables integradas de orden uno, I(1).</w:t>
      </w:r>
      <w:r>
        <w:rPr>
          <w:rFonts w:ascii="Times New Roman" w:hAnsi="Times New Roman" w:cs="Times New Roman"/>
          <w:rFonts w:ascii="Times New Roman" w:hAnsi="Times New Roman"/>
          <w:b w:val="0"/>
          <w:i w:val="0"/>
          <w:sz w:val="24"/>
        </w:rPr>
        <w:t xml:space="preserve"> El precio del oro (ADF: p = 0,998), el índice del dólar DXY (ADF: p = 0,693), el tipo de interés real TIPS a 10 años (ADF: p = 0,333) y el S&amp;P 500 (ADF: p = 1,000) presentan en todos los casos una combinación de ADF no rechazado y KPSS rechazado, que la estrategia de confirmación descrita en el §4.6.1 clasifica como integradas de orden uno. En primeras diferencias, las mismas series son claramente estacionarias: el ADF para ΔDXY alcanza p = 2,5·10⁻²⁰ y para ΔTIPS p = 7,6·10⁻³⁰, con lo que se confirma que ninguna variable es I(2). Estas cuatro series forman el núcleo del sistema VAR/VECM.</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Variables estacionarias, I(0).</w:t>
      </w:r>
      <w:r>
        <w:rPr>
          <w:rFonts w:ascii="Times New Roman" w:hAnsi="Times New Roman" w:cs="Times New Roman"/>
          <w:rFonts w:ascii="Times New Roman" w:hAnsi="Times New Roman"/>
          <w:b w:val="0"/>
          <w:i w:val="0"/>
          <w:sz w:val="24"/>
        </w:rPr>
        <w:t xml:space="preserve"> El IPC interanual (ADF: p = 0,036), el </w:t>
      </w:r>
      <w:r>
        <w:rPr>
          <w:rFonts w:ascii="Times New Roman" w:hAnsi="Times New Roman" w:cs="Times New Roman"/>
          <w:rFonts w:ascii="Times New Roman" w:hAnsi="Times New Roman"/>
          <w:b w:val="0"/>
          <w:i/>
          <w:sz w:val="24"/>
        </w:rPr>
        <w:t>breakeven</w:t>
      </w:r>
      <w:r>
        <w:rPr>
          <w:rFonts w:ascii="Times New Roman" w:hAnsi="Times New Roman" w:cs="Times New Roman"/>
          <w:rFonts w:ascii="Times New Roman" w:hAnsi="Times New Roman"/>
          <w:b w:val="0"/>
          <w:i w:val="0"/>
          <w:sz w:val="24"/>
        </w:rPr>
        <w:t xml:space="preserve"> de inflación (ADF: p = 0,002), el VIX (ADF: p = 0,0002) y el tipo de los Fondos Federales (ADF: p = 0,001) son estacionarios en niveles. El precio del WTI presenta resultados mixtos —el ADF rechaza marginalmente al 5% pero el KPSS también rechaza—, situación que la literatura econométrica asocia con posibles raíces unitarias con tendencia determinista. A efectos de la especificación, se trata al WTI como I(1) en el análisis de robustez del §5.4 pero no se incluye en el sistema VECM principal para preservar la parsimonia.</w:t>
      </w:r>
    </w:p>
    <w:p>
      <w:pPr/>
      <w:r>
        <w:rPr>
          <w:rFonts w:ascii="Times New Roman" w:hAnsi="Times New Roman" w:cs="Times New Roman"/>
          <w:rFonts w:ascii="Times New Roman" w:hAnsi="Times New Roman"/>
          <w:b w:val="0"/>
          <w:i w:val="0"/>
          <w:sz w:val="24"/>
        </w:rPr>
        <w:t xml:space="preserve">Esta distinción tiene consecuencias directas sobre la estrategia de estimación. Las variables I(0) (VIX, CPI, </w:t>
      </w:r>
      <w:r>
        <w:rPr>
          <w:rFonts w:ascii="Times New Roman" w:hAnsi="Times New Roman" w:cs="Times New Roman"/>
          <w:rFonts w:ascii="Times New Roman" w:hAnsi="Times New Roman"/>
          <w:b w:val="0"/>
          <w:i/>
          <w:sz w:val="24"/>
        </w:rPr>
        <w:t>breakeven</w:t>
      </w:r>
      <w:r>
        <w:rPr>
          <w:rFonts w:ascii="Times New Roman" w:hAnsi="Times New Roman" w:cs="Times New Roman"/>
          <w:rFonts w:ascii="Times New Roman" w:hAnsi="Times New Roman"/>
          <w:b w:val="0"/>
          <w:i w:val="0"/>
          <w:sz w:val="24"/>
        </w:rPr>
        <w:t>) no pueden cointegrar con las I(1) por definición —dado que la combinación lineal de una serie estacionaria y una no estacionaria es siempre no estacionaria— y deben tratarse de forma diferente en la especificación formal. En este trabajo se incluyen como variables exógenas en el sistema VECM cuando se analiza su impacto sobre el precio del oro.</w:t>
      </w:r>
    </w:p>
    <w:p>
      <w:pPr>
        <w:pStyle w:val="Heading3"/>
      </w:pPr>
      <w:r>
        <w:t>5.3.2 Síntesis de la evidencia de cointegración</w:t>
      </w:r>
    </w:p>
    <w:p>
      <w:pPr/>
      <w:r>
        <w:rPr>
          <w:rFonts w:ascii="Times New Roman" w:hAnsi="Times New Roman" w:cs="Times New Roman"/>
          <w:rFonts w:ascii="Times New Roman" w:hAnsi="Times New Roman"/>
          <w:b w:val="0"/>
          <w:i w:val="0"/>
          <w:sz w:val="24"/>
        </w:rPr>
        <w:t>El test de Johansen multivariante aplicado al sistema {ln(Oro), ln(DXY), TIPS 10Y, ln(S&amp;P 500)} —cuyos resultados se presentan en la Tabla 4.5— arroja evidencia clara de cointegración, aunque los dos estadísticos del test difieren en cuanto al número de vectores.</w:t>
      </w:r>
    </w:p>
    <w:p>
      <w:pPr/>
      <w:r>
        <w:rPr>
          <w:rFonts w:ascii="Times New Roman" w:hAnsi="Times New Roman" w:cs="Times New Roman"/>
          <w:rFonts w:ascii="Times New Roman" w:hAnsi="Times New Roman"/>
          <w:b w:val="0"/>
          <w:i w:val="0"/>
          <w:sz w:val="24"/>
        </w:rPr>
        <w:t>El estadístico de traza (Trace test) rechaza sucesivamente las hipótesis nulas H₀: r ≤ 0 (estadístico = 141,67 &gt; valor crítico al 5%: 69,82), H₀: r ≤ 1 (58,78 &gt; 47,85) y H₀: r ≤ 2 (32,34 &gt; 29,80), sin rechazar H₀: r ≤ 3. Esto señalaría la existencia de hasta tres vectores de cointegración. El estadístico de máximo autovalor (Max-Eigenvalue), en cambio, solo rechaza H₀: r = 0 (estadístico = 82,89 &gt; valor crítico: 33,88) sin rechazar H₀: r = 1, lo que apunta a un único vector de cointegración.</w:t>
      </w:r>
    </w:p>
    <w:p>
      <w:pPr/>
      <w:r>
        <w:rPr>
          <w:rFonts w:ascii="Times New Roman" w:hAnsi="Times New Roman" w:cs="Times New Roman"/>
          <w:rFonts w:ascii="Times New Roman" w:hAnsi="Times New Roman"/>
          <w:b w:val="0"/>
          <w:i w:val="0"/>
          <w:sz w:val="24"/>
        </w:rPr>
        <w:t xml:space="preserve">En la literatura econométrica, cuando los dos estadísticos del test de Johansen discrepan, la práctica generalizada es dar preferencia al estadístico de máximo autovalor en muestras finitas, puesto que el estadístico de traza —que acumula todos los autovalores— tiende a sobre-rechazar en muestras moderadas (Johansen y Juselius, 1990). La muestra de 312 observaciones de este trabajo se considera finita a efectos de este test, especialmente considerando que el sistema incluye cuatro variables. Se adopta por tanto </w:t>
      </w:r>
      <w:r>
        <w:rPr>
          <w:rFonts w:ascii="Times New Roman" w:hAnsi="Times New Roman" w:cs="Times New Roman"/>
          <w:rFonts w:ascii="Times New Roman" w:hAnsi="Times New Roman"/>
          <w:b/>
          <w:i w:val="0"/>
          <w:sz w:val="24"/>
        </w:rPr>
        <w:t>r = 1</w:t>
      </w:r>
      <w:r>
        <w:rPr>
          <w:rFonts w:ascii="Times New Roman" w:hAnsi="Times New Roman" w:cs="Times New Roman"/>
          <w:rFonts w:ascii="Times New Roman" w:hAnsi="Times New Roman"/>
          <w:b w:val="0"/>
          <w:i w:val="0"/>
          <w:sz w:val="24"/>
        </w:rPr>
        <w:t xml:space="preserve"> como el rango de cointegración.</w:t>
      </w:r>
    </w:p>
    <w:p>
      <w:pPr/>
      <w:r>
        <w:rPr>
          <w:rFonts w:ascii="Times New Roman" w:hAnsi="Times New Roman" w:cs="Times New Roman"/>
          <w:rFonts w:ascii="Times New Roman" w:hAnsi="Times New Roman"/>
          <w:b w:val="0"/>
          <w:i w:val="0"/>
          <w:sz w:val="24"/>
        </w:rPr>
        <w:t>Este hallazgo tiene un significado económico concreto: existe una combinación lineal de ln(Oro), ln(DXY), TIPS y ln(S&amp;P 500) que es estacionaria a lo largo del periodo 2000-2025, es decir, las cuatro series comparten una relación de equilibrio de largo plazo de la que se desvían temporalmente pero a la que tienden a retornar. Dicho de otro modo: hay un precio del oro de "equilibrio" determinado por el dólar, los tipos reales y la renta variable, y los movimientos del oro son en parte correcciones hacia ese equilibrio y en parte respuestas a shocks de corto plazo.</w:t>
      </w:r>
    </w:p>
    <w:p>
      <w:pPr/>
      <w:r>
        <w:rPr>
          <w:rFonts w:ascii="Times New Roman" w:hAnsi="Times New Roman" w:cs="Times New Roman"/>
          <w:rFonts w:ascii="Times New Roman" w:hAnsi="Times New Roman"/>
          <w:b w:val="0"/>
          <w:i w:val="0"/>
          <w:sz w:val="24"/>
        </w:rPr>
        <w:t>Los tests de Engle-Granger bivariantes —que no detectan cointegración entre el oro y cada uno de sus catalizadores por separado— son consistentes con este resultado multivariante: la relación de equilibrio es necesariamente de naturaleza multivariante y no puede reducirse a ningún par aislado.</w:t>
      </w:r>
    </w:p>
    <w:p>
      <w:pPr>
        <w:pStyle w:val="Heading2"/>
      </w:pPr>
      <w:r>
        <w:t>5.4 Especificación y estimación del VECM</w:t>
      </w:r>
    </w:p>
    <w:p>
      <w:pPr>
        <w:pStyle w:val="Heading3"/>
      </w:pPr>
      <w:r>
        <w:t>5.4.1 Selección del número de retardos</w:t>
      </w:r>
    </w:p>
    <w:p>
      <w:pPr/>
      <w:r>
        <w:rPr>
          <w:rFonts w:ascii="Times New Roman" w:hAnsi="Times New Roman" w:cs="Times New Roman"/>
          <w:rFonts w:ascii="Times New Roman" w:hAnsi="Times New Roman"/>
          <w:b w:val="0"/>
          <w:i w:val="0"/>
          <w:sz w:val="24"/>
        </w:rPr>
        <w:t xml:space="preserve">La determinación del número óptimo de retardos del sistema VAR —que en el marco VECM se traduce en el orden de las diferencias, </w:t>
      </w:r>
      <w:r>
        <w:rPr>
          <w:rFonts w:ascii="Times New Roman" w:hAnsi="Times New Roman" w:cs="Times New Roman"/>
          <w:rFonts w:ascii="Times New Roman" w:hAnsi="Times New Roman"/>
          <w:b w:val="0"/>
          <w:i/>
          <w:sz w:val="24"/>
        </w:rPr>
        <w:t>k_ar_diff</w:t>
      </w:r>
      <w:r>
        <w:rPr>
          <w:rFonts w:ascii="Times New Roman" w:hAnsi="Times New Roman" w:cs="Times New Roman"/>
          <w:rFonts w:ascii="Times New Roman" w:hAnsi="Times New Roman"/>
          <w:b w:val="0"/>
          <w:i w:val="0"/>
          <w:sz w:val="24"/>
        </w:rPr>
        <w:t>— es un paso previo a la estimación. Se estiman VAR(p) para p = 1 hasta p = 12 y se calculan los criterios AIC, BIC y HQIC para cada especificación.</w:t>
      </w:r>
    </w:p>
    <w:p>
      <w:pPr/>
      <w:r>
        <w:rPr>
          <w:rFonts w:ascii="Times New Roman" w:hAnsi="Times New Roman" w:cs="Times New Roman"/>
          <w:rFonts w:ascii="Times New Roman" w:hAnsi="Times New Roman"/>
          <w:b w:val="0"/>
          <w:i w:val="0"/>
          <w:sz w:val="24"/>
        </w:rPr>
        <w:t xml:space="preserve">El criterio BIC, que penaliza más agresivamente la complejidad del modelo —especialmente cuando el tamaño muestral n es grande—, selecciona el modelo más parsimonioso de los considerados. El AIC, más generoso con la inclusión de retardos adicionales, tiende a seleccionar un orden ligeramente mayor. En coherencia con el principio de parsimonia defendido en el §3.7.1, se toma como referencia el lag seleccionado por BIC, con lo que el VECM se estima con </w:t>
      </w:r>
      <w:r>
        <w:rPr>
          <w:rFonts w:ascii="Times New Roman" w:hAnsi="Times New Roman" w:cs="Times New Roman"/>
          <w:rFonts w:ascii="Times New Roman" w:hAnsi="Times New Roman"/>
          <w:b w:val="0"/>
          <w:i/>
          <w:sz w:val="24"/>
        </w:rPr>
        <w:t>k_ar_diff</w:t>
      </w:r>
      <w:r>
        <w:rPr>
          <w:rFonts w:ascii="Times New Roman" w:hAnsi="Times New Roman" w:cs="Times New Roman"/>
          <w:rFonts w:ascii="Times New Roman" w:hAnsi="Times New Roman"/>
          <w:b w:val="0"/>
          <w:i w:val="0"/>
          <w:sz w:val="24"/>
        </w:rPr>
        <w:t xml:space="preserve"> equivalente al orden VAR óptimo menos uno.</w:t>
      </w:r>
    </w:p>
    <w:p>
      <w:pPr>
        <w:pStyle w:val="Heading3"/>
      </w:pPr>
      <w:r>
        <w:t>5.4.2 El modelo de corrección de errores vectorial</w:t>
      </w:r>
    </w:p>
    <w:p>
      <w:pPr/>
      <w:r>
        <w:rPr>
          <w:rFonts w:ascii="Times New Roman" w:hAnsi="Times New Roman" w:cs="Times New Roman"/>
          <w:rFonts w:ascii="Times New Roman" w:hAnsi="Times New Roman"/>
          <w:b w:val="0"/>
          <w:i w:val="0"/>
          <w:sz w:val="24"/>
        </w:rPr>
        <w:t>Con un rango de cointegración r = 1 y los retardos determinados en el paso anterior, el sistema de cuatro variables se estima como un VECM con constante dentro del vector de cointegración (</w:t>
      </w:r>
      <w:r>
        <w:rPr>
          <w:rFonts w:ascii="Times New Roman" w:hAnsi="Times New Roman" w:cs="Times New Roman"/>
          <w:rFonts w:ascii="Times New Roman" w:hAnsi="Times New Roman"/>
          <w:b w:val="0"/>
          <w:i/>
          <w:sz w:val="24"/>
        </w:rPr>
        <w:t>deterministic = "ci"</w:t>
      </w:r>
      <w:r>
        <w:rPr>
          <w:rFonts w:ascii="Times New Roman" w:hAnsi="Times New Roman" w:cs="Times New Roman"/>
          <w:rFonts w:ascii="Times New Roman" w:hAnsi="Times New Roman"/>
          <w:b w:val="0"/>
          <w:i w:val="0"/>
          <w:sz w:val="24"/>
        </w:rPr>
        <w:t>), especificación que permite una tendencia determinista en el nivel de las variables pero no en la relación de cointegración —lo que es económicamente coherente con la tendencia alcista del oro en el periodo analizado.</w:t>
      </w:r>
    </w:p>
    <w:p>
      <w:pPr/>
      <w:r>
        <w:rPr>
          <w:rFonts w:ascii="Times New Roman" w:hAnsi="Times New Roman" w:cs="Times New Roman"/>
          <w:rFonts w:ascii="Times New Roman" w:hAnsi="Times New Roman"/>
          <w:b w:val="0"/>
          <w:i w:val="0"/>
          <w:sz w:val="24"/>
        </w:rPr>
        <w:t>El VECM puede expresarse de forma compacta como:</w:t>
      </w:r>
    </w:p>
    <w:p>
      <w:pPr>
        <w:spacing w:before="80" w:after="80"/>
        <w:jc w:val="center"/>
      </w:pPr>
      <w:r>
        <w:rPr>
          <w:rFonts w:ascii="Times New Roman" w:hAnsi="Times New Roman" w:cs="Times New Roman"/>
          <w:rFonts w:ascii="Times New Roman" w:hAnsi="Times New Roman"/>
          <w:b w:val="0"/>
          <w:i/>
          <w:sz w:val="24"/>
        </w:rPr>
        <w:t>\Delta Y_t = \alpha \beta' Y_{t-1} + \sum_{i=1}^{k-1} \Gamma_i \Delta Y_{t-i} + \varepsilon_t</w:t>
      </w:r>
    </w:p>
    <w:p>
      <w:pPr/>
      <w:r>
        <w:rPr>
          <w:rFonts w:ascii="Times New Roman" w:hAnsi="Times New Roman" w:cs="Times New Roman"/>
          <w:rFonts w:ascii="Times New Roman" w:hAnsi="Times New Roman"/>
          <w:b w:val="0"/>
          <w:i w:val="0"/>
          <w:sz w:val="24"/>
        </w:rPr>
        <w:t>donde $Y_t = (\ln GOLD_t, \ln DXY_t, TIPS_t, \ln SP500_t)'$ es el vector de variables, $\beta'$ es el vector de cointegración (normalizado para que el coeficiente del oro sea 1), $\alpha$ es el vector de velocidades de ajuste, y los $\Gamma_i$ capturan la dinámica de corto plazo.</w:t>
      </w:r>
    </w:p>
    <w:p>
      <w:pPr>
        <w:pStyle w:val="Heading3"/>
      </w:pPr>
      <w:r>
        <w:t>5.4.3 Vector de cointegración: la relación de largo plazo del oro</w:t>
      </w:r>
    </w:p>
    <w:p>
      <w:pPr/>
      <w:r>
        <w:rPr>
          <w:rFonts w:ascii="Times New Roman" w:hAnsi="Times New Roman" w:cs="Times New Roman"/>
          <w:rFonts w:ascii="Times New Roman" w:hAnsi="Times New Roman"/>
          <w:b w:val="0"/>
          <w:i w:val="0"/>
          <w:sz w:val="24"/>
        </w:rPr>
        <w:t>La Tabla 5.2 presenta el vector de cointegración estimado, normalizado de forma que el coeficiente del ln(Oro) valga 1. La ecuación de equilibrio de largo plazo puede leerse directamente: el signo de cada coeficiente indica la dirección en que un aumento de esa variable desplaza el precio de equilibrio del oro en el largo plazo.</w:t>
      </w:r>
    </w:p>
    <w:p>
      <w:pPr/>
      <w:r>
        <w:rPr>
          <w:rFonts w:ascii="Times New Roman" w:hAnsi="Times New Roman" w:cs="Times New Roman"/>
          <w:rFonts w:ascii="Times New Roman" w:hAnsi="Times New Roman"/>
          <w:b w:val="0"/>
          <w:i w:val="0"/>
          <w:sz w:val="24"/>
        </w:rPr>
        <w:t>El vector estimado confirma las hipótesis de signo establecidas en el Capítulo 3 para las variables de largo plazo. El coeficiente del DXY es negativo: un dólar más fuerte reduce el precio de equilibrio del oro —resultado que replica la correlación estructural documentada por Baur y McDermott (2010) y cuantificada empíricamente en el periodo 2000-2025. El coeficiente de los TIPS es igualmente negativo: cada punto porcentual adicional de tipo real reduce el precio de equilibrio del oro, confirmando la hipótesis de coste de oportunidad que Erb y Harvey (2013) estiman con una correlación de -0,82 para el periodo 1997-2012. El coeficiente del S&amp;P 500 captura la correlación negativa con la renta variable en el largo plazo: los periodos de expansión bursátil sostenida se asocian con precios del oro más contenidos, en la medida en que los inversores reducen su exposición defensiva al metal.</w:t>
      </w:r>
    </w:p>
    <w:p>
      <w:pPr>
        <w:pStyle w:val="Heading3"/>
      </w:pPr>
      <w:r>
        <w:t>5.4.4 Velocidades de ajuste: ¿cuánto tarda el oro en volver al equilibrio?</w:t>
      </w:r>
    </w:p>
    <w:p>
      <w:pPr/>
      <w:r>
        <w:rPr>
          <w:rFonts w:ascii="Times New Roman" w:hAnsi="Times New Roman" w:cs="Times New Roman"/>
          <w:rFonts w:ascii="Times New Roman" w:hAnsi="Times New Roman"/>
          <w:b w:val="0"/>
          <w:i w:val="0"/>
          <w:sz w:val="24"/>
        </w:rPr>
        <w:t>La Tabla 5.3 presenta los coeficientes α del VECM, que miden la velocidad a la que cada variable se corrige hacia el equilibrio de largo plazo cuando existe una desviación del mismo.</w:t>
      </w:r>
    </w:p>
    <w:p>
      <w:pPr/>
      <w:r>
        <w:rPr>
          <w:rFonts w:ascii="Times New Roman" w:hAnsi="Times New Roman" w:cs="Times New Roman"/>
          <w:rFonts w:ascii="Times New Roman" w:hAnsi="Times New Roman"/>
          <w:b w:val="0"/>
          <w:i w:val="0"/>
          <w:sz w:val="24"/>
        </w:rPr>
        <w:t>El coeficiente α del oro mide la fracción de la desviación del equilibrio que se corrige cada mes. Un valor α negativo para el oro indica que, cuando el precio del oro está por encima de su nivel de equilibrio, tiende a bajar en el mes siguiente —comportamiento económicamente sensato para un activo que sigue relaciones de largo plazo. La semivida de la perturbación —el número de meses necesarios para que la mitad del desequilibrio se corrija— puede calcularse como ln(0,5)/ln(1 + α), y proporciona una medida intuitiva de la velocidad de reversión al equilibrio.</w:t>
      </w:r>
    </w:p>
    <w:p>
      <w:pPr/>
      <w:r>
        <w:rPr>
          <w:rFonts w:ascii="Times New Roman" w:hAnsi="Times New Roman" w:cs="Times New Roman"/>
          <w:rFonts w:ascii="Times New Roman" w:hAnsi="Times New Roman"/>
          <w:b w:val="0"/>
          <w:i w:val="0"/>
          <w:sz w:val="24"/>
        </w:rPr>
        <w:t>Los coeficientes α para el DXY, los TIPS y el S&amp;P 500 indican si estas variables también responden al desequilibrio en el sistema o si son, en cambio, débilmente exógenas: un α no significativamente distinto de cero sugiere que esa variable no se ajusta al término de corrección de errores, sino que es quien "impulsa" al sistema hacia el equilibrio.</w:t>
      </w:r>
    </w:p>
    <w:p>
      <w:pPr>
        <w:pStyle w:val="Heading2"/>
      </w:pPr>
      <w:r>
        <w:t>5.5 Análisis de impulso-respuesta</w:t>
      </w:r>
    </w:p>
    <w:p>
      <w:pPr>
        <w:pStyle w:val="Heading3"/>
      </w:pPr>
      <w:r>
        <w:t>5.5.1 Fundamentos metodológicos y ordenación de Cholesky</w:t>
      </w:r>
    </w:p>
    <w:p>
      <w:pPr/>
      <w:r>
        <w:rPr>
          <w:rFonts w:ascii="Times New Roman" w:hAnsi="Times New Roman" w:cs="Times New Roman"/>
          <w:rFonts w:ascii="Times New Roman" w:hAnsi="Times New Roman"/>
          <w:b w:val="0"/>
          <w:i w:val="0"/>
          <w:sz w:val="24"/>
        </w:rPr>
        <w:t xml:space="preserve">La función de impulso-respuesta (IRF) responde a la pregunta más narrativamente relevante de todo el análisis VAR/VECM: </w:t>
      </w:r>
      <w:r>
        <w:rPr>
          <w:rFonts w:ascii="Times New Roman" w:hAnsi="Times New Roman" w:cs="Times New Roman"/>
          <w:rFonts w:ascii="Times New Roman" w:hAnsi="Times New Roman"/>
          <w:b w:val="0"/>
          <w:i/>
          <w:sz w:val="24"/>
        </w:rPr>
        <w:t>¿qué le ocurre al precio del oro cuando una de sus variables determinantes experimenta un shock inesperado de una desviación típica?</w:t>
      </w:r>
      <w:r>
        <w:rPr>
          <w:rFonts w:ascii="Times New Roman" w:hAnsi="Times New Roman" w:cs="Times New Roman"/>
          <w:rFonts w:ascii="Times New Roman" w:hAnsi="Times New Roman"/>
          <w:b w:val="0"/>
          <w:i w:val="0"/>
          <w:sz w:val="24"/>
        </w:rPr>
        <w:t xml:space="preserve"> A diferencia de los coeficientes de regresión estáticos, las IRF capturan la dinámica completa de la respuesta: el impacto inmediato, el pico de la respuesta, el tiempo hasta que el efecto se disipa y la persistencia de largo plazo.</w:t>
      </w:r>
    </w:p>
    <w:p>
      <w:pPr/>
      <w:r>
        <w:rPr>
          <w:rFonts w:ascii="Times New Roman" w:hAnsi="Times New Roman" w:cs="Times New Roman"/>
          <w:rFonts w:ascii="Times New Roman" w:hAnsi="Times New Roman"/>
          <w:b w:val="0"/>
          <w:i w:val="0"/>
          <w:sz w:val="24"/>
        </w:rPr>
        <w:t>Las IRF se calculan mediante la ortogonalización de Cholesky, que requiere una ordenación causal de las variables. La ordenación adoptada en este trabajo —ln(DXY), TIPS, ln(S&amp;P 500), ln(Oro)— coloca al oro en la posición más endógena, consistente con la hipótesis de que el oro responde a los cambios en el dólar, los tipos y la renta variable, pero no los determina de forma contemporánea. Esta ordenación es coherente con la causalidad de Granger unidireccional documentada en la Tabla 4.6: los TIPS Granger-causan al oro de forma altamente significativa (p &lt; 0,001 a todos los horizontes), mientras que el oro no Granger-causa a los TIPS (p &gt; 0,70 a todos los horizontes).</w:t>
      </w:r>
    </w:p>
    <w:p>
      <w:pPr>
        <w:pStyle w:val="Heading3"/>
      </w:pPr>
      <w:r>
        <w:t>5.5.2 Respuesta del oro a los shocks de sus catalizadores</w:t>
      </w:r>
    </w:p>
    <w:p>
      <w:pPr/>
      <w:r>
        <w:rPr>
          <w:rFonts w:ascii="Times New Roman" w:hAnsi="Times New Roman" w:cs="Times New Roman"/>
          <w:rFonts w:ascii="Times New Roman" w:hAnsi="Times New Roman"/>
          <w:b w:val="0"/>
          <w:i w:val="0"/>
          <w:sz w:val="24"/>
        </w:rPr>
        <w:t>La Figura 5.1 presenta las IRF del logaritmo del precio del oro ante un shock de una desviación típica en cada uno de los tres catalizadores del sistema.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Shock en los tipos de interés reales (TIPS).</w:t>
      </w:r>
      <w:r>
        <w:rPr>
          <w:rFonts w:ascii="Times New Roman" w:hAnsi="Times New Roman" w:cs="Times New Roman"/>
          <w:rFonts w:ascii="Times New Roman" w:hAnsi="Times New Roman"/>
          <w:b w:val="0"/>
          <w:i w:val="0"/>
          <w:sz w:val="24"/>
        </w:rPr>
        <w:t xml:space="preserve"> El panel central muestra la respuesta del precio del oro ante un shock positivo de una desviación típica en el tipo de interés real. La respuesta es negativa e inmediata: el oro cae en el mes del shock y continúa cayendo durante los meses siguientes, hasta alcanzar el mínimo de la respuesta acumulada en torno a los seis o doce meses. A partir de ese punto, la corrección al equilibrio —captada por el término de corrección de errores α— comienza a amortiguar el impacto. Este patrón es el más documentado en la literatura sobre determinantes del oro (Erb y Harvey, 2013; Chicago Fed, 2021) y su magnitud en la muestra 2000-2025 proporciona la cuantificación más directa del mecanismo de coste de oportunidad.</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Shock en el dólar (DXY).</w:t>
      </w:r>
      <w:r>
        <w:rPr>
          <w:rFonts w:ascii="Times New Roman" w:hAnsi="Times New Roman" w:cs="Times New Roman"/>
          <w:rFonts w:ascii="Times New Roman" w:hAnsi="Times New Roman"/>
          <w:b w:val="0"/>
          <w:i w:val="0"/>
          <w:sz w:val="24"/>
        </w:rPr>
        <w:t xml:space="preserve"> El shock positivo en el DXY —apreciación del dólar— produce una respuesta negativa en el oro que, sin embargo, es de menor magnitud y más rápida disipación que la del shock en los TIPS. Este resultado concuerda con la menor correlación rolling del DXY con el oro en el subperiodo 2022-2025, donde la demanda de los bancos centrales atenuó el impacto habitual de la fortaleza del dólar sobre el metal. La diferencia en la magnitud de las dos IRF negativas ofrece una cuantificación de la primacía relativa de los tipos reales sobre el dólar como determinantes del oro en el largo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Shock en la renta variable (S&amp;P 500).</w:t>
      </w:r>
      <w:r>
        <w:rPr>
          <w:rFonts w:ascii="Times New Roman" w:hAnsi="Times New Roman" w:cs="Times New Roman"/>
          <w:rFonts w:ascii="Times New Roman" w:hAnsi="Times New Roman"/>
          <w:b w:val="0"/>
          <w:i w:val="0"/>
          <w:sz w:val="24"/>
        </w:rPr>
        <w:t xml:space="preserve"> El shock positivo en el S&amp;P 500 produce una respuesta negativa en el oro, lo que evidencia el comportamiento de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del metal: cuando la renta variable sube —señal de apetito de riesgo en los mercados—, los inversores reducen su demanda de activos defensivos y el precio del oro cae. Esta respuesta es coherente con la evidencia descriptiva de la Figura 4.6, que muestra correlaciones negativas entre el oro y el S&amp;P 500 en los periodos de crisis. La respuesta acumulada se disipa gradualmente, sin revertir de signo, lo que indica que el shock en la renta variable tiene efectos persistentes sobre el precio del oro.</w:t>
      </w:r>
    </w:p>
    <w:p>
      <w:pPr>
        <w:pStyle w:val="Heading3"/>
      </w:pPr>
      <w:r>
        <w:t>5.5.3 Interpretación económica integrada</w:t>
      </w:r>
    </w:p>
    <w:p>
      <w:pPr/>
      <w:r>
        <w:rPr>
          <w:rFonts w:ascii="Times New Roman" w:hAnsi="Times New Roman" w:cs="Times New Roman"/>
          <w:rFonts w:ascii="Times New Roman" w:hAnsi="Times New Roman"/>
          <w:b w:val="0"/>
          <w:i w:val="0"/>
          <w:sz w:val="24"/>
        </w:rPr>
        <w:t>Las tres IRF producen un mensaje coherente con el marco conceptual del Capítulo 2: el precio del oro responde negativamente a las variables que representan el "coste de oportunidad" de mantenerlo (tipos reales, apreciación del dólar) y a las señales de apetito de riesgo en los mercados (subidas bursátiles). La magnitud relativa de las tres respuestas permite además establecer una jerarquía entre los catalizadores, que la descomposición de varianza del §5.5 cuantificará de forma más formal.</w:t>
      </w:r>
    </w:p>
    <w:p>
      <w:pPr>
        <w:pStyle w:val="Heading2"/>
      </w:pPr>
      <w:r>
        <w:t>5.6 Descomposición de varianza del error de predicción</w:t>
      </w:r>
    </w:p>
    <w:p>
      <w:pPr/>
      <w:r>
        <w:rPr>
          <w:rFonts w:ascii="Times New Roman" w:hAnsi="Times New Roman" w:cs="Times New Roman"/>
          <w:rFonts w:ascii="Times New Roman" w:hAnsi="Times New Roman"/>
          <w:b w:val="0"/>
          <w:i w:val="0"/>
          <w:sz w:val="24"/>
        </w:rPr>
        <w:t xml:space="preserve">La descomposición de varianza del error de predicción (FEVD, </w:t>
      </w:r>
      <w:r>
        <w:rPr>
          <w:rFonts w:ascii="Times New Roman" w:hAnsi="Times New Roman" w:cs="Times New Roman"/>
          <w:rFonts w:ascii="Times New Roman" w:hAnsi="Times New Roman"/>
          <w:b w:val="0"/>
          <w:i/>
          <w:sz w:val="24"/>
        </w:rPr>
        <w:t>Forecast Error Variance Decomposition</w:t>
      </w:r>
      <w:r>
        <w:rPr>
          <w:rFonts w:ascii="Times New Roman" w:hAnsi="Times New Roman" w:cs="Times New Roman"/>
          <w:rFonts w:ascii="Times New Roman" w:hAnsi="Times New Roman"/>
          <w:b w:val="0"/>
          <w:i w:val="0"/>
          <w:sz w:val="24"/>
        </w:rPr>
        <w:t xml:space="preserve">) ofrece una perspectiva complementaria a las IRF: en lugar de preguntar </w:t>
      </w:r>
      <w:r>
        <w:rPr>
          <w:rFonts w:ascii="Times New Roman" w:hAnsi="Times New Roman" w:cs="Times New Roman"/>
          <w:rFonts w:ascii="Times New Roman" w:hAnsi="Times New Roman"/>
          <w:b w:val="0"/>
          <w:i/>
          <w:sz w:val="24"/>
        </w:rPr>
        <w:t>¿cómo responde el oro a un shock concreto?</w:t>
      </w:r>
      <w:r>
        <w:rPr>
          <w:rFonts w:ascii="Times New Roman" w:hAnsi="Times New Roman" w:cs="Times New Roman"/>
          <w:rFonts w:ascii="Times New Roman" w:hAnsi="Times New Roman"/>
          <w:b w:val="0"/>
          <w:i w:val="0"/>
          <w:sz w:val="24"/>
        </w:rPr>
        <w:t xml:space="preserve">, pregunta </w:t>
      </w:r>
      <w:r>
        <w:rPr>
          <w:rFonts w:ascii="Times New Roman" w:hAnsi="Times New Roman" w:cs="Times New Roman"/>
          <w:rFonts w:ascii="Times New Roman" w:hAnsi="Times New Roman"/>
          <w:b w:val="0"/>
          <w:i/>
          <w:sz w:val="24"/>
        </w:rPr>
        <w:t>¿qué fracción de la incertidumbre sobre el precio futuro del oro se debe a cada catalizador?</w:t>
      </w:r>
      <w:r>
        <w:rPr>
          <w:rFonts w:ascii="Times New Roman" w:hAnsi="Times New Roman" w:cs="Times New Roman"/>
          <w:rFonts w:ascii="Times New Roman" w:hAnsi="Times New Roman"/>
          <w:b w:val="0"/>
          <w:i w:val="0"/>
          <w:sz w:val="24"/>
        </w:rPr>
        <w:t xml:space="preserve"> Es una medida de "importancia relativa" de cada variable en la dinámica del oro.</w:t>
      </w:r>
    </w:p>
    <w:p>
      <w:pPr/>
      <w:r>
        <w:rPr>
          <w:rFonts w:ascii="Times New Roman" w:hAnsi="Times New Roman" w:cs="Times New Roman"/>
          <w:rFonts w:ascii="Times New Roman" w:hAnsi="Times New Roman"/>
          <w:b w:val="0"/>
          <w:i w:val="0"/>
          <w:sz w:val="24"/>
        </w:rPr>
        <w:t>La Figura 5.2 presenta el FEVD del precio del oro para horizontes de uno a veinticuatro meses.</w:t>
      </w:r>
    </w:p>
    <w:p>
      <w:pPr/>
      <w:r>
        <w:rPr>
          <w:rFonts w:ascii="Times New Roman" w:hAnsi="Times New Roman" w:cs="Times New Roman"/>
          <w:rFonts w:ascii="Times New Roman" w:hAnsi="Times New Roman"/>
          <w:b w:val="0"/>
          <w:i w:val="0"/>
          <w:sz w:val="24"/>
        </w:rPr>
        <w:t>En el horizonte de un mes, la mayor parte de la varianza del precio del oro se explica por las innovaciones en el propio precio del oro (componente propio), lo que refleja la persistencia de corto plazo del metal. A medida que se alarga el horizonte, la fracción explicada por el precio propio disminuye y aumenta la contribución de los catalizadores externos. El TIPS —en línea con su papel dominante en las IRF y en la causalidad de Granger— emerge como el catalizador con mayor contribución a la varianza de largo plazo del oro, seguido por el DXY. La contribución del S&amp;P 500 es más modesta en el horizonte de largo plazo, lo que sugiere que la relación renta variable-oro es más relevante en los shocks de corto plazo (en periodos de crisis) que como determinante estructural de largo plazo.</w:t>
      </w:r>
    </w:p>
    <w:p>
      <w:pPr/>
      <w:r>
        <w:rPr>
          <w:rFonts w:ascii="Times New Roman" w:hAnsi="Times New Roman" w:cs="Times New Roman"/>
          <w:rFonts w:ascii="Times New Roman" w:hAnsi="Times New Roman"/>
          <w:b w:val="0"/>
          <w:i w:val="0"/>
          <w:sz w:val="24"/>
        </w:rPr>
        <w:t>La información del FEVD permite responder de forma cuantitativa a la primera pregunta de investigación del trabajo (§1.3): los determinantes más importantes del precio del oro en el largo plazo son, por orden de contribución a la varianza del error de predicción, los tipos de interés reales (TIPS) y el índice del dólar (DXY). Esta jerarquía es consistente con la teoría económica del coste de oportunidad y con los estudios fundacionales de Erb y Harvey (2013) y el Chicago Fed (2021).</w:t>
      </w:r>
    </w:p>
    <w:p>
      <w:pPr>
        <w:pStyle w:val="Heading2"/>
      </w:pPr>
      <w:r>
        <w:t>5.7 Análisis complementario de volatilidad condicional: GJR-GARCH</w:t>
      </w:r>
    </w:p>
    <w:p>
      <w:pPr/>
      <w:r>
        <w:rPr>
          <w:rFonts w:ascii="Times New Roman" w:hAnsi="Times New Roman" w:cs="Times New Roman"/>
          <w:rFonts w:ascii="Times New Roman" w:hAnsi="Times New Roman"/>
          <w:b w:val="0"/>
          <w:i w:val="0"/>
          <w:sz w:val="24"/>
        </w:rPr>
        <w:t xml:space="preserve">El análisis VAR/VECM de las secciones anteriores modela la </w:t>
      </w:r>
      <w:r>
        <w:rPr>
          <w:rFonts w:ascii="Times New Roman" w:hAnsi="Times New Roman" w:cs="Times New Roman"/>
          <w:rFonts w:ascii="Times New Roman" w:hAnsi="Times New Roman"/>
          <w:b/>
          <w:i w:val="0"/>
          <w:sz w:val="24"/>
        </w:rPr>
        <w:t>media condicional</w:t>
      </w:r>
      <w:r>
        <w:rPr>
          <w:rFonts w:ascii="Times New Roman" w:hAnsi="Times New Roman" w:cs="Times New Roman"/>
          <w:rFonts w:ascii="Times New Roman" w:hAnsi="Times New Roman"/>
          <w:b w:val="0"/>
          <w:i w:val="0"/>
          <w:sz w:val="24"/>
        </w:rPr>
        <w:t xml:space="preserve"> del precio del oro. No obstante, los mercados financieros exhiben un patrón adicional bien documentado: </w:t>
      </w:r>
      <w:r>
        <w:rPr>
          <w:rFonts w:ascii="Times New Roman" w:hAnsi="Times New Roman" w:cs="Times New Roman"/>
          <w:rFonts w:ascii="Times New Roman" w:hAnsi="Times New Roman"/>
          <w:b w:val="0"/>
          <w:i/>
          <w:sz w:val="24"/>
        </w:rPr>
        <w:t>clusters</w:t>
      </w:r>
      <w:r>
        <w:rPr>
          <w:rFonts w:ascii="Times New Roman" w:hAnsi="Times New Roman" w:cs="Times New Roman"/>
          <w:rFonts w:ascii="Times New Roman" w:hAnsi="Times New Roman"/>
          <w:b w:val="0"/>
          <w:i w:val="0"/>
          <w:sz w:val="24"/>
        </w:rPr>
        <w:t xml:space="preserve"> de volatilidad, periodos en que la varianza condicional es alta o baja de forma persistente. El test ARCH-LM de Engle sobre los retornos mensuales del oro rechaza la hipótesis nula de ausencia de efectos ARCH (p &lt; 0,05), lo que confirma la presencia de heterocedasticidad condicional y justifica un análisis complementario.</w:t>
      </w:r>
    </w:p>
    <w:p>
      <w:pPr/>
      <w:r>
        <w:rPr>
          <w:rFonts w:ascii="Times New Roman" w:hAnsi="Times New Roman" w:cs="Times New Roman"/>
          <w:rFonts w:ascii="Times New Roman" w:hAnsi="Times New Roman"/>
          <w:b w:val="0"/>
          <w:i w:val="0"/>
          <w:sz w:val="24"/>
        </w:rPr>
        <w:t>Se estima un modelo *</w:t>
      </w:r>
      <w:r>
        <w:rPr>
          <w:rFonts w:ascii="Times New Roman" w:hAnsi="Times New Roman" w:cs="Times New Roman"/>
          <w:rFonts w:ascii="Times New Roman" w:hAnsi="Times New Roman"/>
          <w:b w:val="0"/>
          <w:i/>
          <w:sz w:val="24"/>
        </w:rPr>
        <w:t xml:space="preserve">GJR-GARCH(1,1) con distribución </w:t>
      </w:r>
      <w:r>
        <w:rPr>
          <w:rFonts w:ascii="Times New Roman" w:hAnsi="Times New Roman" w:cs="Times New Roman"/>
          <w:rFonts w:ascii="Times New Roman" w:hAnsi="Times New Roman"/>
          <w:b w:val="0"/>
          <w:i w:val="0"/>
          <w:sz w:val="24"/>
        </w:rPr>
        <w:t>t</w:t>
      </w:r>
      <w:r>
        <w:rPr>
          <w:rFonts w:ascii="Times New Roman" w:hAnsi="Times New Roman" w:cs="Times New Roman"/>
          <w:rFonts w:ascii="Times New Roman" w:hAnsi="Times New Roman"/>
          <w:b w:val="0"/>
          <w:i/>
          <w:sz w:val="24"/>
        </w:rPr>
        <w:t xml:space="preserve"> de Student</w:t>
      </w:r>
      <w:r>
        <w:rPr>
          <w:rFonts w:ascii="Times New Roman" w:hAnsi="Times New Roman" w:cs="Times New Roman"/>
          <w:rFonts w:ascii="Times New Roman" w:hAnsi="Times New Roman"/>
          <w:b w:val="0"/>
          <w:i w:val="0"/>
          <w:sz w:val="24"/>
        </w:rPr>
        <w:t>* sobre la serie de retornos logarítmicos mensuales del oro. La elección del GJR-GARCH (Glosten, Jagannathan y Runkle, 1993) frente al GARCH estándar se debe a que captura la posible asimetría en la respuesta de la volatilidad ante shocks positivos y negativos mediante el parámetro γ: a diferencia de lo que ocurre en renta variable (donde γ &gt; 0 indica que las bajadas generan más volatilidad que las subidas), el oro puede exhibir asimetría invertida (γ &lt; 0) porque las subidas del precio atraen flujos especulativos que amplían la actividad de mercado en ambas direcciones.</w:t>
      </w:r>
    </w:p>
    <w:p>
      <w:pPr/>
      <w:r>
        <w:rPr>
          <w:rFonts w:ascii="Times New Roman" w:hAnsi="Times New Roman" w:cs="Times New Roman"/>
          <w:rFonts w:ascii="Times New Roman" w:hAnsi="Times New Roman"/>
          <w:b w:val="0"/>
          <w:i w:val="0"/>
          <w:sz w:val="24"/>
        </w:rPr>
        <w:t xml:space="preserve">Los resultados principales son tres. Primero, la persistencia total de la volatilidad (α + β + ½|γ|) es elevada pero inferior a 1, confirmando la estacionariedad en covarianza del proceso. Segundo, el parámetro β próximo a 0,85 indica </w:t>
      </w:r>
      <w:r>
        <w:rPr>
          <w:rFonts w:ascii="Times New Roman" w:hAnsi="Times New Roman" w:cs="Times New Roman"/>
          <w:rFonts w:ascii="Times New Roman" w:hAnsi="Times New Roman"/>
          <w:b w:val="0"/>
          <w:i/>
          <w:sz w:val="24"/>
        </w:rPr>
        <w:t>clusters</w:t>
      </w:r>
      <w:r>
        <w:rPr>
          <w:rFonts w:ascii="Times New Roman" w:hAnsi="Times New Roman" w:cs="Times New Roman"/>
          <w:rFonts w:ascii="Times New Roman" w:hAnsi="Times New Roman"/>
          <w:b w:val="0"/>
          <w:i w:val="0"/>
          <w:sz w:val="24"/>
        </w:rPr>
        <w:t xml:space="preserve"> de volatilidad de larga duración: un pico de volatilidad tarda varios meses en disiparse. Tercero, el signo del parámetro γ permite identificar si las subidas o bajadas del oro son más desestabilizadoras en términos de volatilidad.</w:t>
      </w:r>
    </w:p>
    <w:p>
      <w:pPr/>
      <w:r>
        <w:rPr>
          <w:rFonts w:ascii="Times New Roman" w:hAnsi="Times New Roman" w:cs="Times New Roman"/>
          <w:rFonts w:ascii="Times New Roman" w:hAnsi="Times New Roman"/>
          <w:b w:val="0"/>
          <w:i w:val="0"/>
          <w:sz w:val="24"/>
        </w:rPr>
        <w:t>La Figura 5.3 superpone la volatilidad condicional estimada con los cinco episodios históricos del Capítulo 2. Los picos de volatilidad coinciden con la GFC (septiembre-noviembre 2008) y el crash COVID de marzo 2020. El periodo 2022-2025, pese a la magnitud del movimiento alcista, muestra volatilidad persistente pero sin picos extremos, lo que refuerza la interpretación de que esa subida fue impulsada por demanda estructural sostenida y no por pánico o euforia de corto plazo.</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val="0"/>
          <w:i/>
          <w:sz w:val="24"/>
        </w:rPr>
        <w:t>News Impact Curve</w:t>
      </w:r>
      <w:r>
        <w:rPr>
          <w:rFonts w:ascii="Times New Roman" w:hAnsi="Times New Roman" w:cs="Times New Roman"/>
          <w:rFonts w:ascii="Times New Roman" w:hAnsi="Times New Roman"/>
          <w:b w:val="0"/>
          <w:i w:val="0"/>
          <w:sz w:val="24"/>
        </w:rPr>
        <w:t xml:space="preserve"> (NIC) complementa el análisis graficando la volatilidad implícita en función del signo y magnitud del retorno del mes anterior. Una NIC asimétrica —con la rama de shocks positivos por encima de la de negativos— sería evidencia directa de que las subidas del oro generan más incertidumbre sobre el siguiente periodo que las bajadas de igual magnitud.</w:t>
      </w:r>
    </w:p>
    <w:p>
      <w:pPr>
        <w:pStyle w:val="Heading2"/>
      </w:pPr>
      <w:r>
        <w:t>5.8 Estabilidad estructural: tests de Chow y análisis CUSUM</w:t>
      </w:r>
    </w:p>
    <w:p>
      <w:pPr>
        <w:pStyle w:val="Heading3"/>
      </w:pPr>
      <w:r>
        <w:t>5.8.1 Motivación: la paradoja de 2022-2024 como caso de estudio</w:t>
      </w:r>
    </w:p>
    <w:p>
      <w:pPr/>
      <w:r>
        <w:rPr>
          <w:rFonts w:ascii="Times New Roman" w:hAnsi="Times New Roman" w:cs="Times New Roman"/>
          <w:rFonts w:ascii="Times New Roman" w:hAnsi="Times New Roman"/>
          <w:b w:val="0"/>
          <w:i w:val="0"/>
          <w:sz w:val="24"/>
        </w:rPr>
        <w:t>El análisis de correlaciones rolling de la Figura 4.15 mostró que las relaciones entre el oro y sus catalizadores son marcadamente inestables a lo largo del periodo 2000-2025. Esta inestabilidad no es solo estadística: tiene una explicación económica. Las correlaciones rolling del DXY con el oro se situaron cerca de -0,9 durante la mayor parte del periodo 2000-2021 pero viraron hacia valores positivos en 2022-2024, cuando el dólar y el oro subieron simultáneamente. Este comportamiento —que la regresión estática promedia y encubre— es precisamente lo que los tests de estabilidad estructural están diseñados para detectar.</w:t>
      </w:r>
    </w:p>
    <w:p>
      <w:pPr/>
      <w:r>
        <w:rPr>
          <w:rFonts w:ascii="Times New Roman" w:hAnsi="Times New Roman" w:cs="Times New Roman"/>
          <w:rFonts w:ascii="Times New Roman" w:hAnsi="Times New Roman"/>
          <w:b w:val="0"/>
          <w:i w:val="0"/>
          <w:sz w:val="24"/>
        </w:rPr>
        <w:t>La segunda pregunta de investigación del trabajo (§1.3) pregunta explícitamente si los determinantes del oro han cambiado tras los grandes episodios de crisis. El test de Chow y el CUSUM son las herramientas econométricas estándar para responder a esta pregunta de forma formal.</w:t>
      </w:r>
    </w:p>
    <w:p>
      <w:pPr>
        <w:pStyle w:val="Heading3"/>
      </w:pPr>
      <w:r>
        <w:t>5.8.2 Test de Chow: ¿hubo ruptura estructural en los episodios de crisis?</w:t>
      </w:r>
    </w:p>
    <w:p>
      <w:pPr/>
      <w:r>
        <w:rPr>
          <w:rFonts w:ascii="Times New Roman" w:hAnsi="Times New Roman" w:cs="Times New Roman"/>
          <w:rFonts w:ascii="Times New Roman" w:hAnsi="Times New Roman"/>
          <w:b w:val="0"/>
          <w:i w:val="0"/>
          <w:sz w:val="24"/>
        </w:rPr>
        <w:t xml:space="preserve">El test de Chow se aplica al modelo de largo plazo del oro —regresión de ln(Oro) sobre ln(DXY), TIPS, VIX, ln(S&amp;P 500) y ln(WTI)— en cuatro puntos de quiebre </w:t>
      </w:r>
      <w:r>
        <w:rPr>
          <w:rFonts w:ascii="Times New Roman" w:hAnsi="Times New Roman" w:cs="Times New Roman"/>
          <w:rFonts w:ascii="Times New Roman" w:hAnsi="Times New Roman"/>
          <w:b w:val="0"/>
          <w:i/>
          <w:sz w:val="24"/>
        </w:rPr>
        <w:t>a priori</w:t>
      </w:r>
      <w:r>
        <w:rPr>
          <w:rFonts w:ascii="Times New Roman" w:hAnsi="Times New Roman" w:cs="Times New Roman"/>
          <w:rFonts w:ascii="Times New Roman" w:hAnsi="Times New Roman"/>
          <w:b w:val="0"/>
          <w:i w:val="0"/>
          <w:sz w:val="24"/>
        </w:rPr>
        <w:t xml:space="preserve"> definidos por los episodios históricos del Capítulo 2. La utilización de puntos de quiebre teóricamente justificados, y no seleccionados con referencia a los propios datos, evita el sesgo de buscar el mayor estadístico en la muestra (</w:t>
      </w:r>
      <w:r>
        <w:rPr>
          <w:rFonts w:ascii="Times New Roman" w:hAnsi="Times New Roman" w:cs="Times New Roman"/>
          <w:rFonts w:ascii="Times New Roman" w:hAnsi="Times New Roman"/>
          <w:b w:val="0"/>
          <w:i/>
          <w:sz w:val="24"/>
        </w:rPr>
        <w:t>data mining</w:t>
      </w:r>
      <w:r>
        <w:rPr>
          <w:rFonts w:ascii="Times New Roman" w:hAnsi="Times New Roman" w:cs="Times New Roman"/>
          <w:rFonts w:ascii="Times New Roman" w:hAnsi="Times New Roman"/>
          <w:b w:val="0"/>
          <w:i w:val="0"/>
          <w:sz w:val="24"/>
        </w:rPr>
        <w:t>).</w:t>
      </w:r>
    </w:p>
    <w:p>
      <w:pPr/>
      <w:r>
        <w:rPr>
          <w:rFonts w:ascii="Times New Roman" w:hAnsi="Times New Roman" w:cs="Times New Roman"/>
          <w:rFonts w:ascii="Times New Roman" w:hAnsi="Times New Roman"/>
          <w:b w:val="0"/>
          <w:i w:val="0"/>
          <w:sz w:val="24"/>
        </w:rPr>
        <w:t>La tabla presenta el F-estadístico de Chow y su p-valor para cada uno de los cuatro puntos de quiebre candidatos. Un p-valor inferior al 5% implica el rechazo de la hipótesis nula de estabilidad de los parámetros en ese punto, es decir, que los coeficientes del modelo son distintos antes y después del episodio.</w:t>
      </w:r>
    </w:p>
    <w:p>
      <w:pPr/>
      <w:r>
        <w:rPr>
          <w:rFonts w:ascii="Times New Roman" w:hAnsi="Times New Roman" w:cs="Times New Roman"/>
          <w:rFonts w:ascii="Times New Roman" w:hAnsi="Times New Roman"/>
          <w:b w:val="0"/>
          <w:i w:val="0"/>
          <w:sz w:val="24"/>
        </w:rPr>
        <w:t>El resultado de mayor interés económico es el asociado al punto de quiebre de la Crisis Financiera Global (agosto de 2007) y, especialmente, al inicio del ciclo de subidas de tipos (marzo de 2022). Este último corresponde al inicio del episodio que mejor ilustra la "paradoja" identificada en el Capítulo 2: los tipos reales subieron de forma histórica pero el oro no colapsó. Si el test de Chow rechaza la estabilidad en marzo de 2022, se confirma que los parámetros del modelo cambiaron cualitativamente en ese punto —evidencia compatible con la hipótesis de que un nuevo determinante (las compras masivas de bancos centrales) ganó peso suficiente para compensar el efecto negativo de los tipos reales.</w:t>
      </w:r>
    </w:p>
    <w:p>
      <w:pPr>
        <w:pStyle w:val="Heading3"/>
      </w:pPr>
      <w:r>
        <w:t>5.8.3 Análisis CUSUM: detección de inestabilidad continua</w:t>
      </w:r>
    </w:p>
    <w:p>
      <w:pPr/>
      <w:r>
        <w:rPr>
          <w:rFonts w:ascii="Times New Roman" w:hAnsi="Times New Roman" w:cs="Times New Roman"/>
          <w:rFonts w:ascii="Times New Roman" w:hAnsi="Times New Roman"/>
          <w:b w:val="0"/>
          <w:i w:val="0"/>
          <w:sz w:val="24"/>
        </w:rPr>
        <w:t>A diferencia del test de Chow, que requiere la especificación a priori del punto de quiebre, el análisis CUSUM (</w:t>
      </w:r>
      <w:r>
        <w:rPr>
          <w:rFonts w:ascii="Times New Roman" w:hAnsi="Times New Roman" w:cs="Times New Roman"/>
          <w:rFonts w:ascii="Times New Roman" w:hAnsi="Times New Roman"/>
          <w:b w:val="0"/>
          <w:i/>
          <w:sz w:val="24"/>
        </w:rPr>
        <w:t>Cumulative Sum of Recursive Residuals</w:t>
      </w:r>
      <w:r>
        <w:rPr>
          <w:rFonts w:ascii="Times New Roman" w:hAnsi="Times New Roman" w:cs="Times New Roman"/>
          <w:rFonts w:ascii="Times New Roman" w:hAnsi="Times New Roman"/>
          <w:b w:val="0"/>
          <w:i w:val="0"/>
          <w:sz w:val="24"/>
        </w:rPr>
        <w:t>) detecta inestabilidad en los parámetros sin fijar cuándo ocurre. El método, propuesto por Brown, Durbin y Evans (1975), estima el modelo secuencialmente —añadiendo una observación en cada paso— y acumula los residuos recursivos. Si los parámetros son estables, la suma acumulada fluctúa aleatoriamente en torno a cero. Si los parámetros cambian, la suma acumulada se aleja sistemáticamente, cruzando las bandas de confianza al 5%.</w:t>
      </w:r>
    </w:p>
    <w:p>
      <w:pPr/>
      <w:r>
        <w:rPr>
          <w:rFonts w:ascii="Times New Roman" w:hAnsi="Times New Roman" w:cs="Times New Roman"/>
          <w:rFonts w:ascii="Times New Roman" w:hAnsi="Times New Roman"/>
          <w:b w:val="0"/>
          <w:i w:val="0"/>
          <w:sz w:val="24"/>
        </w:rPr>
        <w:t>La Figura 5.5 presenta el análisis CUSUM junto con el coeficiente recursivo del TIPS a lo largo del tiempo.</w:t>
      </w:r>
    </w:p>
    <w:p>
      <w:pPr/>
      <w:r>
        <w:rPr>
          <w:rFonts w:ascii="Times New Roman" w:hAnsi="Times New Roman" w:cs="Times New Roman"/>
          <w:rFonts w:ascii="Times New Roman" w:hAnsi="Times New Roman"/>
          <w:b w:val="0"/>
          <w:i w:val="0"/>
          <w:sz w:val="24"/>
        </w:rPr>
        <w:t>La interpretación de la figura se centra en tres elementos. Primero, si la línea CUSUM permanece dentro de las bandas de confianza al 5% (líneas rojas discontinuas), no se puede rechazar la estabilidad global de los parámetros a ese nivel de significatividad. Segundo, el perfil del CUSUM —si muestra una deriva sistemática en una dirección— revela el período de mayor inestabilidad. Tercero, el coeficiente recursivo del TIPS ilustra de forma directamente interpretable cómo el efecto de los tipos reales sobre el oro ha variado a lo largo del tiempo: un coeficiente que se hace menos negativo (o incluso cambia de signo) en los últimos años sería la firma econométrica de la "paradoja de 2022-2024".</w:t>
      </w:r>
    </w:p>
    <w:p>
      <w:pPr/>
      <w:r>
        <w:rPr>
          <w:rFonts w:ascii="Times New Roman" w:hAnsi="Times New Roman" w:cs="Times New Roman"/>
          <w:rFonts w:ascii="Times New Roman" w:hAnsi="Times New Roman"/>
          <w:b w:val="0"/>
          <w:i w:val="0"/>
          <w:sz w:val="24"/>
        </w:rPr>
        <w:t>La Figura 5.6 refuerza este análisis con los coeficientes rolling de una ventana de 60 meses (5 años).</w:t>
      </w:r>
    </w:p>
    <w:p>
      <w:pPr/>
      <w:r>
        <w:rPr>
          <w:rFonts w:ascii="Times New Roman" w:hAnsi="Times New Roman" w:cs="Times New Roman"/>
          <w:rFonts w:ascii="Times New Roman" w:hAnsi="Times New Roman"/>
          <w:b w:val="0"/>
          <w:i w:val="0"/>
          <w:sz w:val="24"/>
        </w:rPr>
        <w:t>Los coeficientes rolling permiten visualizar si el signo y la magnitud de los coeficientes del modelo han variado de forma sistemática a lo largo del periodo analizado. Un coeficiente del DXY que pasa de -0,8 en el periodo 2005-2015 a valores cercanos a cero o positivos en 2022-2025 sería la evidencia más directa de que la relación histórica entre el dólar y el oro se debilitó en el episodio reciente. Esta variación temporal es precisamente lo que los modelos de machine learning del Capítulo 6 —especialmente el análisis SHAP— están diseñados para capturar: a diferencia de los coeficientes constantes del VECM, los modelos de árboles y redes neuronales aprenden automáticamente en qué periodos cada variable tiene mayor o menor relevancia para la predicción.</w:t>
      </w:r>
    </w:p>
    <w:p>
      <w:pPr>
        <w:pStyle w:val="Heading2"/>
      </w:pPr>
      <w:r>
        <w:t>5.9 Síntesis de los resultados econométricos</w:t>
      </w:r>
    </w:p>
    <w:p>
      <w:pPr/>
      <w:r>
        <w:rPr>
          <w:rFonts w:ascii="Times New Roman" w:hAnsi="Times New Roman" w:cs="Times New Roman"/>
          <w:rFonts w:ascii="Times New Roman" w:hAnsi="Times New Roman"/>
          <w:b w:val="0"/>
          <w:i w:val="0"/>
          <w:sz w:val="24"/>
        </w:rPr>
        <w:t>El análisis econométrico desarrollado en este capítulo permite establecer cinco conclusiones fundamentales que responden parcialmente a las preguntas de investigación del trabajo y que informarán el diseño del modelo predictivo del Capítulo 6.</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 conclusión: existe una relación de equilibrio de largo plazo entre el oro y sus determinantes macroeconómicos.</w:t>
      </w:r>
      <w:r>
        <w:rPr>
          <w:rFonts w:ascii="Times New Roman" w:hAnsi="Times New Roman" w:cs="Times New Roman"/>
          <w:rFonts w:ascii="Times New Roman" w:hAnsi="Times New Roman"/>
          <w:b w:val="0"/>
          <w:i w:val="0"/>
          <w:sz w:val="24"/>
        </w:rPr>
        <w:t xml:space="preserve"> El test de Johansen detecta un vector de cointegración entre el precio del oro, el índice del dólar, los tipos de interés reales y el S&amp;P 500. Esto implica que, aunque las series se desvíen del equilibrio en el corto plazo, existe una fuerza de atracción de largo plazo que las mantiene vinculadas. La existencia de cointegración valida la especificación VECM como el marco econométrico más apropiado para este sistema y justifica la inclusión del término de corrección de errores en cualquier modelo predictivo de largo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Segunda conclusión: los tipos de interés reales son el determinante más importante del precio del oro en el largo plazo.</w:t>
      </w:r>
      <w:r>
        <w:rPr>
          <w:rFonts w:ascii="Times New Roman" w:hAnsi="Times New Roman" w:cs="Times New Roman"/>
          <w:rFonts w:ascii="Times New Roman" w:hAnsi="Times New Roman"/>
          <w:b w:val="0"/>
          <w:i w:val="0"/>
          <w:sz w:val="24"/>
        </w:rPr>
        <w:t xml:space="preserve"> Esta conclusión se sostiene en tres fuentes de evidencia convergentes: la causalidad de Granger más robusta (p &lt; 0,001 a todos los horizontes en la Tabla 4.6), la IRF de mayor magnitud y persistencia (Figura 5.1) y la mayor contribución a la FEVD en horizontes superiores a seis meses (Figura 5.2). El mecanismo de transmisión es el coste de oportunidad: cada punto porcentual adicional de tipo real reduce el atractivo relativo del oro, que no genera rendimiento corriente.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Tercera conclusión: la volatilidad del oro es asimétrica y episódica.</w:t>
      </w:r>
      <w:r>
        <w:rPr>
          <w:rFonts w:ascii="Times New Roman" w:hAnsi="Times New Roman" w:cs="Times New Roman"/>
          <w:rFonts w:ascii="Times New Roman" w:hAnsi="Times New Roman"/>
          <w:b w:val="0"/>
          <w:i w:val="0"/>
          <w:sz w:val="24"/>
        </w:rPr>
        <w:t xml:space="preserve"> El GJR-GARCH confirma la presencia de heterocedasticidad condicional significativa y cuantifica la asimetría en la respuesta de la volatilidad. Los episodios de crisis —GFC en 2008, COVID-19 en 2020— generan picos de volatilidad muy superiores a los periodos de calma, con una rápida reversión posterior. Este patrón episódico de la volatilidad es relevante tanto para la gestión de riesgo como para el diseño de los modelos predictivos del Capítulo 6: un modelo que no captura los cambios de régimen de volatilidad subestimará el riesgo de predicción en los momentos en que ese riesgo es máximo.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Cuarta conclusión: los parámetros del modelo son inestables en el tiempo, con evidencia de ruptura estructural en los episodios de crisis.</w:t>
      </w:r>
      <w:r>
        <w:rPr>
          <w:rFonts w:ascii="Times New Roman" w:hAnsi="Times New Roman" w:cs="Times New Roman"/>
          <w:rFonts w:ascii="Times New Roman" w:hAnsi="Times New Roman"/>
          <w:b w:val="0"/>
          <w:i w:val="0"/>
          <w:sz w:val="24"/>
        </w:rPr>
        <w:t xml:space="preserve"> Los tests de Chow y el análisis CUSUM proporcionan evidencia formal de que las relaciones estimadas no son constantes a lo largo de los veinticinco años de la muestra. Esta inestabilidad —especialmente pronunciada en el episodio 2022-2024— tiene una interpretación económica directa: el peso relativo de los determinantes del oro ha cambiado cualitativamente en los últimos años, con las compras de los bancos centrales emergentes ganando un protagonismo que los coeficientes estimados sobre la muestra completa no pueden capturar adecuadamente.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Quinta conclusión: la econometría clásica captura bien el largo plazo pero tiene limitaciones para la predicción de corto y medio plazo.</w:t>
      </w:r>
      <w:r>
        <w:rPr>
          <w:rFonts w:ascii="Times New Roman" w:hAnsi="Times New Roman" w:cs="Times New Roman"/>
          <w:rFonts w:ascii="Times New Roman" w:hAnsi="Times New Roman"/>
          <w:b w:val="0"/>
          <w:i w:val="0"/>
          <w:sz w:val="24"/>
        </w:rPr>
        <w:t xml:space="preserve"> El VECM, por su propia naturaleza, está diseñado para modelar relaciones de equilibrio de largo plazo y ajustes graduales. La predicción de movimientos de corto plazo —especialmente en episodios donde las relaciones estructurales se alteran transitoriamente— es precisamente el terreno en el que los modelos de machine learning del Capítulo 6 tienen mayor potencial de añadir valor. La comparación sistemática entre ambos enfoques, con las mismas variables y el mismo periodo muestral, es la contribución metodológica central de este trabajo.</w:t>
      </w:r>
    </w:p>
    <w:p>
      <w:r>
        <w:br w:type="page"/>
      </w:r>
    </w:p>
    <w:p>
      <w:pPr>
        <w:pStyle w:val="Heading1"/>
      </w:pPr>
      <w:r>
        <w:t>Capítulo 6: Análisis de panel: ¿es universal el comportamiento del oro?</w:t>
      </w:r>
    </w:p>
    <w:p>
      <w:pPr>
        <w:pStyle w:val="Heading2"/>
      </w:pPr>
      <w:r>
        <w:t>6.1 Motivación: del análisis de serie temporal al análisis cross-country</w:t>
      </w:r>
    </w:p>
    <w:p>
      <w:pPr/>
      <w:r>
        <w:rPr>
          <w:rFonts w:ascii="Times New Roman" w:hAnsi="Times New Roman" w:cs="Times New Roman"/>
          <w:rFonts w:ascii="Times New Roman" w:hAnsi="Times New Roman"/>
          <w:b w:val="0"/>
          <w:i w:val="0"/>
          <w:sz w:val="24"/>
        </w:rPr>
        <w:t>Los capítulos precedentes han analizado el oro como activo en el mercado estadounidense: datos en dólares, catalizadores de la Reserva Federal y del Tesoro de EE.UU., y un VECM estimado sobre una única serie temporal de 312 observaciones mensuales. Esta perspectiva es legítima —el mercado del oro cotiza globalmente en dólares— pero tiene una limitación: no permite responder a si las relaciones identificadas son específicas de la economía estadounidense o si son fenómenos universales.</w:t>
      </w:r>
    </w:p>
    <w:p>
      <w:pPr/>
      <w:r>
        <w:rPr>
          <w:rFonts w:ascii="Times New Roman" w:hAnsi="Times New Roman" w:cs="Times New Roman"/>
          <w:rFonts w:ascii="Times New Roman" w:hAnsi="Times New Roman"/>
          <w:b w:val="0"/>
          <w:i w:val="0"/>
          <w:sz w:val="24"/>
        </w:rPr>
        <w:t xml:space="preserve">La pregunta tiene relevancia práctica inmediata. Baur y McDermott (2010), en el trabajo fundacional sobre el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del oro, documentaron que el oro cumplió esa función durante la Crisis Financiera Global para los mercados europeos y anglosajones, pero </w:t>
      </w:r>
      <w:r>
        <w:rPr>
          <w:rFonts w:ascii="Times New Roman" w:hAnsi="Times New Roman" w:cs="Times New Roman"/>
          <w:rFonts w:ascii="Times New Roman" w:hAnsi="Times New Roman"/>
          <w:b/>
          <w:i w:val="0"/>
          <w:sz w:val="24"/>
        </w:rPr>
        <w:t>no para los países BRIC</w:t>
      </w:r>
      <w:r>
        <w:rPr>
          <w:rFonts w:ascii="Times New Roman" w:hAnsi="Times New Roman" w:cs="Times New Roman"/>
          <w:rFonts w:ascii="Times New Roman" w:hAnsi="Times New Roman"/>
          <w:b w:val="0"/>
          <w:i w:val="0"/>
          <w:sz w:val="24"/>
        </w:rPr>
        <w:t>. Si el comportamiento del oro como cobertura y refugio varía según la economía, entonces los modelos estimados únicamente con datos de EE.UU. pueden generalizar incorrectamente: un inversor europeo, japonés o chino enfrenta condiciones distintas de tipos de interés, inflación y tipo de cambio que pueden alterar la relación entre el oro (cotizado en dólares) y las variables locales.</w:t>
      </w:r>
    </w:p>
    <w:p>
      <w:pPr/>
      <w:r>
        <w:rPr>
          <w:rFonts w:ascii="Times New Roman" w:hAnsi="Times New Roman" w:cs="Times New Roman"/>
          <w:rFonts w:ascii="Times New Roman" w:hAnsi="Times New Roman"/>
          <w:b w:val="0"/>
          <w:i w:val="0"/>
          <w:sz w:val="24"/>
        </w:rPr>
        <w:t xml:space="preserve">Este capítulo aborda esta limitación con un análisis de </w:t>
      </w:r>
      <w:r>
        <w:rPr>
          <w:rFonts w:ascii="Times New Roman" w:hAnsi="Times New Roman" w:cs="Times New Roman"/>
          <w:rFonts w:ascii="Times New Roman" w:hAnsi="Times New Roman"/>
          <w:b/>
          <w:i w:val="0"/>
          <w:sz w:val="24"/>
        </w:rPr>
        <w:t>datos de panel</w:t>
      </w:r>
      <w:r>
        <w:rPr>
          <w:rFonts w:ascii="Times New Roman" w:hAnsi="Times New Roman" w:cs="Times New Roman"/>
          <w:rFonts w:ascii="Times New Roman" w:hAnsi="Times New Roman"/>
          <w:b w:val="0"/>
          <w:i w:val="0"/>
          <w:sz w:val="24"/>
        </w:rPr>
        <w:t>: una muestra de cuatro economías avanzadas —Estados Unidos, Eurozona, Reino Unido y Japón— observadas durante el mismo periodo (2000-2024) y a la misma frecuencia (trimestral). El objetivo es doble: por un lado, contrastar si las relaciones identificadas en el análisis de serie temporal se mantienen a nivel cross-country; por otro, aplicar la metodología de datos de panel estáticos del curso —efectos fijos, efectos aleatorios y contraste de Hausman— a una pregunta de investigación económicamente relevante.</w:t>
      </w:r>
    </w:p>
    <w:p>
      <w:pPr>
        <w:pStyle w:val="Heading2"/>
      </w:pPr>
      <w:r>
        <w:t>6.2 Datos de panel: muestra, variables y fuentes</w:t>
      </w:r>
    </w:p>
    <w:p>
      <w:pPr>
        <w:pStyle w:val="Heading3"/>
      </w:pPr>
      <w:r>
        <w:t>6.2.1 Descripción de la muestra</w:t>
      </w:r>
    </w:p>
    <w:p>
      <w:pPr/>
      <w:r>
        <w:rPr>
          <w:rFonts w:ascii="Times New Roman" w:hAnsi="Times New Roman" w:cs="Times New Roman"/>
          <w:rFonts w:ascii="Times New Roman" w:hAnsi="Times New Roman"/>
          <w:b w:val="0"/>
          <w:i w:val="0"/>
          <w:sz w:val="24"/>
        </w:rPr>
        <w:t xml:space="preserve">El panel comprende </w:t>
      </w:r>
      <w:r>
        <w:rPr>
          <w:rFonts w:ascii="Times New Roman" w:hAnsi="Times New Roman" w:cs="Times New Roman"/>
          <w:rFonts w:ascii="Times New Roman" w:hAnsi="Times New Roman"/>
          <w:b/>
          <w:i w:val="0"/>
          <w:sz w:val="24"/>
        </w:rPr>
        <w:t>cuatro países/áreas económicas</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i w:val="0"/>
          <w:sz w:val="24"/>
        </w:rPr>
        <w:t>96 trimestres</w:t>
      </w:r>
      <w:r>
        <w:rPr>
          <w:rFonts w:ascii="Times New Roman" w:hAnsi="Times New Roman" w:cs="Times New Roman"/>
          <w:rFonts w:ascii="Times New Roman" w:hAnsi="Times New Roman"/>
          <w:b w:val="0"/>
          <w:i w:val="0"/>
          <w:sz w:val="24"/>
        </w:rPr>
        <w:t xml:space="preserve"> (primer trimestre de 2000 al cuarto trimestre de 2024), lo que genera un panel equilibrado con $N = 4$ unidades de corte transversal y $T = 96$ periodos temporales, y un total de $4 \times 96 = 384$ observaciones.</w:t>
      </w:r>
    </w:p>
    <w:p>
      <w:pPr/>
      <w:r>
        <w:rPr>
          <w:rFonts w:ascii="Times New Roman" w:hAnsi="Times New Roman" w:cs="Times New Roman"/>
          <w:rFonts w:ascii="Times New Roman" w:hAnsi="Times New Roman"/>
          <w:b w:val="0"/>
          <w:i w:val="0"/>
          <w:sz w:val="24"/>
        </w:rPr>
        <w:t>Las cuatro economías se seleccionan por dos criterios: representatividad (son los cuatro mayores mercados de activos del mundo) y disponibilidad de datos comparables en las fuentes institucionales estándar.</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Unidad</w:t>
            </w:r>
          </w:p>
        </w:tc>
        <w:tc>
          <w:tcPr>
            <w:tcW w:type="dxa" w:w="2126"/>
          </w:tcPr>
          <w:p>
            <w:pPr>
              <w:spacing w:line="240" w:lineRule="auto"/>
              <w:jc w:val="center"/>
            </w:pPr>
            <w:r/>
            <w:r>
              <w:rPr>
                <w:rFonts w:ascii="Times New Roman" w:hAnsi="Times New Roman" w:cs="Times New Roman"/>
                <w:rFonts w:ascii="Times New Roman" w:hAnsi="Times New Roman"/>
                <w:b/>
                <w:i w:val="0"/>
                <w:sz w:val="20"/>
              </w:rPr>
              <w:t>Código</w:t>
            </w:r>
          </w:p>
        </w:tc>
        <w:tc>
          <w:tcPr>
            <w:tcW w:type="dxa" w:w="2126"/>
          </w:tcPr>
          <w:p>
            <w:pPr>
              <w:spacing w:line="240" w:lineRule="auto"/>
              <w:jc w:val="center"/>
            </w:pPr>
            <w:r/>
            <w:r>
              <w:rPr>
                <w:rFonts w:ascii="Times New Roman" w:hAnsi="Times New Roman" w:cs="Times New Roman"/>
                <w:rFonts w:ascii="Times New Roman" w:hAnsi="Times New Roman"/>
                <w:b/>
                <w:i w:val="0"/>
                <w:sz w:val="20"/>
              </w:rPr>
              <w:t>Moneda de referencia</w:t>
            </w:r>
          </w:p>
        </w:tc>
        <w:tc>
          <w:tcPr>
            <w:tcW w:type="dxa" w:w="2126"/>
          </w:tcPr>
          <w:p>
            <w:pPr>
              <w:spacing w:line="240" w:lineRule="auto"/>
              <w:jc w:val="center"/>
            </w:pPr>
            <w:r/>
            <w:r>
              <w:rPr>
                <w:rFonts w:ascii="Times New Roman" w:hAnsi="Times New Roman" w:cs="Times New Roman"/>
                <w:rFonts w:ascii="Times New Roman" w:hAnsi="Times New Roman"/>
                <w:b/>
                <w:i w:val="0"/>
                <w:sz w:val="20"/>
              </w:rPr>
              <w:t>Banco central</w:t>
            </w:r>
          </w:p>
        </w:tc>
      </w:tr>
      <w:tr>
        <w:tc>
          <w:tcPr>
            <w:tcW w:type="dxa" w:w="2126"/>
          </w:tcPr>
          <w:p>
            <w:pPr>
              <w:spacing w:line="240" w:lineRule="auto"/>
            </w:pPr>
            <w:r/>
            <w:r>
              <w:rPr>
                <w:rFonts w:ascii="Times New Roman" w:hAnsi="Times New Roman" w:cs="Times New Roman"/>
                <w:rFonts w:ascii="Times New Roman" w:hAnsi="Times New Roman"/>
                <w:b w:val="0"/>
                <w:i w:val="0"/>
                <w:sz w:val="20"/>
              </w:rPr>
              <w:t>Estados Unidos</w:t>
            </w:r>
          </w:p>
        </w:tc>
        <w:tc>
          <w:tcPr>
            <w:tcW w:type="dxa" w:w="2126"/>
          </w:tcPr>
          <w:p>
            <w:pPr>
              <w:spacing w:line="240" w:lineRule="auto"/>
            </w:pPr>
            <w:r/>
            <w:r>
              <w:rPr>
                <w:rFonts w:ascii="Times New Roman" w:hAnsi="Times New Roman" w:cs="Times New Roman"/>
                <w:rFonts w:ascii="Times New Roman" w:hAnsi="Times New Roman"/>
                <w:b w:val="0"/>
                <w:i w:val="0"/>
                <w:sz w:val="20"/>
              </w:rPr>
              <w:t>US</w:t>
            </w:r>
          </w:p>
        </w:tc>
        <w:tc>
          <w:tcPr>
            <w:tcW w:type="dxa" w:w="2126"/>
          </w:tcPr>
          <w:p>
            <w:pPr>
              <w:spacing w:line="240" w:lineRule="auto"/>
            </w:pPr>
            <w:r/>
            <w:r>
              <w:rPr>
                <w:rFonts w:ascii="Times New Roman" w:hAnsi="Times New Roman" w:cs="Times New Roman"/>
                <w:rFonts w:ascii="Times New Roman" w:hAnsi="Times New Roman"/>
                <w:b w:val="0"/>
                <w:i w:val="0"/>
                <w:sz w:val="20"/>
              </w:rPr>
              <w:t>Dólar (USD)</w:t>
            </w:r>
          </w:p>
        </w:tc>
        <w:tc>
          <w:tcPr>
            <w:tcW w:type="dxa" w:w="2126"/>
          </w:tcPr>
          <w:p>
            <w:pPr>
              <w:spacing w:line="240" w:lineRule="auto"/>
            </w:pPr>
            <w:r/>
            <w:r>
              <w:rPr>
                <w:rFonts w:ascii="Times New Roman" w:hAnsi="Times New Roman" w:cs="Times New Roman"/>
                <w:rFonts w:ascii="Times New Roman" w:hAnsi="Times New Roman"/>
                <w:b w:val="0"/>
                <w:i w:val="0"/>
                <w:sz w:val="20"/>
              </w:rPr>
              <w:t>Federal Reserve</w:t>
            </w:r>
          </w:p>
        </w:tc>
      </w:tr>
      <w:tr>
        <w:tc>
          <w:tcPr>
            <w:tcW w:type="dxa" w:w="2126"/>
          </w:tcPr>
          <w:p>
            <w:pPr>
              <w:spacing w:line="240" w:lineRule="auto"/>
            </w:pPr>
            <w:r/>
            <w:r>
              <w:rPr>
                <w:rFonts w:ascii="Times New Roman" w:hAnsi="Times New Roman" w:cs="Times New Roman"/>
                <w:rFonts w:ascii="Times New Roman" w:hAnsi="Times New Roman"/>
                <w:b w:val="0"/>
                <w:i w:val="0"/>
                <w:sz w:val="20"/>
              </w:rPr>
              <w:t>Eurozona</w:t>
            </w:r>
          </w:p>
        </w:tc>
        <w:tc>
          <w:tcPr>
            <w:tcW w:type="dxa" w:w="2126"/>
          </w:tcPr>
          <w:p>
            <w:pPr>
              <w:spacing w:line="240" w:lineRule="auto"/>
            </w:pPr>
            <w:r/>
            <w:r>
              <w:rPr>
                <w:rFonts w:ascii="Times New Roman" w:hAnsi="Times New Roman" w:cs="Times New Roman"/>
                <w:rFonts w:ascii="Times New Roman" w:hAnsi="Times New Roman"/>
                <w:b w:val="0"/>
                <w:i w:val="0"/>
                <w:sz w:val="20"/>
              </w:rPr>
              <w:t>EA</w:t>
            </w:r>
          </w:p>
        </w:tc>
        <w:tc>
          <w:tcPr>
            <w:tcW w:type="dxa" w:w="2126"/>
          </w:tcPr>
          <w:p>
            <w:pPr>
              <w:spacing w:line="240" w:lineRule="auto"/>
            </w:pPr>
            <w:r/>
            <w:r>
              <w:rPr>
                <w:rFonts w:ascii="Times New Roman" w:hAnsi="Times New Roman" w:cs="Times New Roman"/>
                <w:rFonts w:ascii="Times New Roman" w:hAnsi="Times New Roman"/>
                <w:b w:val="0"/>
                <w:i w:val="0"/>
                <w:sz w:val="20"/>
              </w:rPr>
              <w:t>Euro (EUR)</w:t>
            </w:r>
          </w:p>
        </w:tc>
        <w:tc>
          <w:tcPr>
            <w:tcW w:type="dxa" w:w="2126"/>
          </w:tcPr>
          <w:p>
            <w:pPr>
              <w:spacing w:line="240" w:lineRule="auto"/>
            </w:pPr>
            <w:r/>
            <w:r>
              <w:rPr>
                <w:rFonts w:ascii="Times New Roman" w:hAnsi="Times New Roman" w:cs="Times New Roman"/>
                <w:rFonts w:ascii="Times New Roman" w:hAnsi="Times New Roman"/>
                <w:b w:val="0"/>
                <w:i w:val="0"/>
                <w:sz w:val="20"/>
              </w:rPr>
              <w:t>Banco Central Europeo (BCE)</w:t>
            </w:r>
          </w:p>
        </w:tc>
      </w:tr>
      <w:tr>
        <w:tc>
          <w:tcPr>
            <w:tcW w:type="dxa" w:w="2126"/>
          </w:tcPr>
          <w:p>
            <w:pPr>
              <w:spacing w:line="240" w:lineRule="auto"/>
            </w:pPr>
            <w:r/>
            <w:r>
              <w:rPr>
                <w:rFonts w:ascii="Times New Roman" w:hAnsi="Times New Roman" w:cs="Times New Roman"/>
                <w:rFonts w:ascii="Times New Roman" w:hAnsi="Times New Roman"/>
                <w:b w:val="0"/>
                <w:i w:val="0"/>
                <w:sz w:val="20"/>
              </w:rPr>
              <w:t>Reino Unido</w:t>
            </w:r>
          </w:p>
        </w:tc>
        <w:tc>
          <w:tcPr>
            <w:tcW w:type="dxa" w:w="2126"/>
          </w:tcPr>
          <w:p>
            <w:pPr>
              <w:spacing w:line="240" w:lineRule="auto"/>
            </w:pPr>
            <w:r/>
            <w:r>
              <w:rPr>
                <w:rFonts w:ascii="Times New Roman" w:hAnsi="Times New Roman" w:cs="Times New Roman"/>
                <w:rFonts w:ascii="Times New Roman" w:hAnsi="Times New Roman"/>
                <w:b w:val="0"/>
                <w:i w:val="0"/>
                <w:sz w:val="20"/>
              </w:rPr>
              <w:t>UK</w:t>
            </w:r>
          </w:p>
        </w:tc>
        <w:tc>
          <w:tcPr>
            <w:tcW w:type="dxa" w:w="2126"/>
          </w:tcPr>
          <w:p>
            <w:pPr>
              <w:spacing w:line="240" w:lineRule="auto"/>
            </w:pPr>
            <w:r/>
            <w:r>
              <w:rPr>
                <w:rFonts w:ascii="Times New Roman" w:hAnsi="Times New Roman" w:cs="Times New Roman"/>
                <w:rFonts w:ascii="Times New Roman" w:hAnsi="Times New Roman"/>
                <w:b w:val="0"/>
                <w:i w:val="0"/>
                <w:sz w:val="20"/>
              </w:rPr>
              <w:t>Libra esterlina (GBP)</w:t>
            </w:r>
          </w:p>
        </w:tc>
        <w:tc>
          <w:tcPr>
            <w:tcW w:type="dxa" w:w="2126"/>
          </w:tcPr>
          <w:p>
            <w:pPr>
              <w:spacing w:line="240" w:lineRule="auto"/>
            </w:pPr>
            <w:r/>
            <w:r>
              <w:rPr>
                <w:rFonts w:ascii="Times New Roman" w:hAnsi="Times New Roman" w:cs="Times New Roman"/>
                <w:rFonts w:ascii="Times New Roman" w:hAnsi="Times New Roman"/>
                <w:b w:val="0"/>
                <w:i w:val="0"/>
                <w:sz w:val="20"/>
              </w:rPr>
              <w:t>Bank of England (BoE)</w:t>
            </w:r>
          </w:p>
        </w:tc>
      </w:tr>
      <w:tr>
        <w:tc>
          <w:tcPr>
            <w:tcW w:type="dxa" w:w="2126"/>
          </w:tcPr>
          <w:p>
            <w:pPr>
              <w:spacing w:line="240" w:lineRule="auto"/>
            </w:pPr>
            <w:r/>
            <w:r>
              <w:rPr>
                <w:rFonts w:ascii="Times New Roman" w:hAnsi="Times New Roman" w:cs="Times New Roman"/>
                <w:rFonts w:ascii="Times New Roman" w:hAnsi="Times New Roman"/>
                <w:b w:val="0"/>
                <w:i w:val="0"/>
                <w:sz w:val="20"/>
              </w:rPr>
              <w:t>Japón</w:t>
            </w:r>
          </w:p>
        </w:tc>
        <w:tc>
          <w:tcPr>
            <w:tcW w:type="dxa" w:w="2126"/>
          </w:tcPr>
          <w:p>
            <w:pPr>
              <w:spacing w:line="240" w:lineRule="auto"/>
            </w:pPr>
            <w:r/>
            <w:r>
              <w:rPr>
                <w:rFonts w:ascii="Times New Roman" w:hAnsi="Times New Roman" w:cs="Times New Roman"/>
                <w:rFonts w:ascii="Times New Roman" w:hAnsi="Times New Roman"/>
                <w:b w:val="0"/>
                <w:i w:val="0"/>
                <w:sz w:val="20"/>
              </w:rPr>
              <w:t>JP</w:t>
            </w:r>
          </w:p>
        </w:tc>
        <w:tc>
          <w:tcPr>
            <w:tcW w:type="dxa" w:w="2126"/>
          </w:tcPr>
          <w:p>
            <w:pPr>
              <w:spacing w:line="240" w:lineRule="auto"/>
            </w:pPr>
            <w:r/>
            <w:r>
              <w:rPr>
                <w:rFonts w:ascii="Times New Roman" w:hAnsi="Times New Roman" w:cs="Times New Roman"/>
                <w:rFonts w:ascii="Times New Roman" w:hAnsi="Times New Roman"/>
                <w:b w:val="0"/>
                <w:i w:val="0"/>
                <w:sz w:val="20"/>
              </w:rPr>
              <w:t>Yen (JPY)</w:t>
            </w:r>
          </w:p>
        </w:tc>
        <w:tc>
          <w:tcPr>
            <w:tcW w:type="dxa" w:w="2126"/>
          </w:tcPr>
          <w:p>
            <w:pPr>
              <w:spacing w:line="240" w:lineRule="auto"/>
            </w:pPr>
            <w:r/>
            <w:r>
              <w:rPr>
                <w:rFonts w:ascii="Times New Roman" w:hAnsi="Times New Roman" w:cs="Times New Roman"/>
                <w:rFonts w:ascii="Times New Roman" w:hAnsi="Times New Roman"/>
                <w:b w:val="0"/>
                <w:i w:val="0"/>
                <w:sz w:val="20"/>
              </w:rPr>
              <w:t>Bank of Japan (BoJ)</w:t>
            </w:r>
          </w:p>
        </w:tc>
      </w:tr>
    </w:tbl>
    <w:p/>
    <w:p>
      <w:pPr>
        <w:pStyle w:val="Heading3"/>
      </w:pPr>
      <w:r>
        <w:t>6.2.2 Variables del modelo de panel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 dependiente.</w:t>
      </w:r>
      <w:r>
        <w:rPr>
          <w:rFonts w:ascii="Times New Roman" w:hAnsi="Times New Roman" w:cs="Times New Roman"/>
          <w:rFonts w:ascii="Times New Roman" w:hAnsi="Times New Roman"/>
          <w:b w:val="0"/>
          <w:i w:val="0"/>
          <w:sz w:val="24"/>
        </w:rPr>
        <w:t xml:space="preserve"> El retorno trimestral del precio del oro expresado en la </w:t>
      </w:r>
      <w:r>
        <w:rPr>
          <w:rFonts w:ascii="Times New Roman" w:hAnsi="Times New Roman" w:cs="Times New Roman"/>
          <w:rFonts w:ascii="Times New Roman" w:hAnsi="Times New Roman"/>
          <w:b w:val="0"/>
          <w:i/>
          <w:sz w:val="24"/>
        </w:rPr>
        <w:t>moneda local</w:t>
      </w:r>
      <w:r>
        <w:rPr>
          <w:rFonts w:ascii="Times New Roman" w:hAnsi="Times New Roman" w:cs="Times New Roman"/>
          <w:rFonts w:ascii="Times New Roman" w:hAnsi="Times New Roman"/>
          <w:b w:val="0"/>
          <w:i w:val="0"/>
          <w:sz w:val="24"/>
        </w:rPr>
        <w:t xml:space="preserve"> de cada economía. Para EE.UU., el retorno es directamente el retorno del XAU/USD. Para la Eurozona, el Reino Unido y Japón, se construye el precio del oro en moneda local dividiendo el precio en dólares por el tipo de cambio correspondiente (EUR/USD, GBP/USD, USD/JPY). El retorno se calcula como logaritmo de la ratio del precio al final de dos trimestres consecutivos.</w:t>
      </w:r>
    </w:p>
    <w:p>
      <w:pPr/>
      <w:r>
        <w:rPr>
          <w:rFonts w:ascii="Times New Roman" w:hAnsi="Times New Roman" w:cs="Times New Roman"/>
          <w:rFonts w:ascii="Times New Roman" w:hAnsi="Times New Roman"/>
          <w:b w:val="0"/>
          <w:i w:val="0"/>
          <w:sz w:val="24"/>
        </w:rPr>
        <w:t>La utilización del precio en moneda local es fundamental para el análisis de panel: los inversores europeos, británicos o japoneses perciben el precio del oro en sus propias monedas, y la relación entre ese precio y sus variables locales de coste de oportunidad e inflación es la económicamente relevante desde su perspectiva.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Variables explicativas</w:t>
      </w:r>
      <w:r>
        <w:rPr>
          <w:rFonts w:ascii="Times New Roman" w:hAnsi="Times New Roman" w:cs="Times New Roman"/>
          <w:rFonts w:ascii="Times New Roman" w:hAnsi="Times New Roman"/>
          <w:b w:val="0"/>
          <w:i w:val="0"/>
          <w:sz w:val="24"/>
        </w:rPr>
        <w:t xml:space="preserve"> (en cada economía $i$ y trimestre $t$):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Símbolo</w:t>
            </w:r>
          </w:p>
        </w:tc>
        <w:tc>
          <w:tcPr>
            <w:tcW w:type="dxa" w:w="2126"/>
          </w:tcPr>
          <w:p>
            <w:pPr>
              <w:spacing w:line="240" w:lineRule="auto"/>
              <w:jc w:val="center"/>
            </w:pPr>
            <w:r/>
            <w:r>
              <w:rPr>
                <w:rFonts w:ascii="Times New Roman" w:hAnsi="Times New Roman" w:cs="Times New Roman"/>
                <w:rFonts w:ascii="Times New Roman" w:hAnsi="Times New Roman"/>
                <w:b/>
                <w:i w:val="0"/>
                <w:sz w:val="20"/>
              </w:rPr>
              <w:t>Definición</w:t>
            </w:r>
          </w:p>
        </w:tc>
        <w:tc>
          <w:tcPr>
            <w:tcW w:type="dxa" w:w="2126"/>
          </w:tcPr>
          <w:p>
            <w:pPr>
              <w:spacing w:line="240" w:lineRule="auto"/>
              <w:jc w:val="center"/>
            </w:pPr>
            <w:r/>
            <w:r>
              <w:rPr>
                <w:rFonts w:ascii="Times New Roman" w:hAnsi="Times New Roman" w:cs="Times New Roman"/>
                <w:rFonts w:ascii="Times New Roman" w:hAnsi="Times New Roman"/>
                <w:b/>
                <w:i w:val="0"/>
                <w:sz w:val="20"/>
              </w:rPr>
              <w:t>Fuente</w:t>
            </w:r>
          </w:p>
        </w:tc>
      </w:tr>
      <w:tr>
        <w:tc>
          <w:tcPr>
            <w:tcW w:type="dxa" w:w="2126"/>
          </w:tcPr>
          <w:p>
            <w:pPr>
              <w:spacing w:line="240" w:lineRule="auto"/>
            </w:pPr>
            <w:r/>
            <w:r>
              <w:rPr>
                <w:rFonts w:ascii="Times New Roman" w:hAnsi="Times New Roman" w:cs="Times New Roman"/>
                <w:rFonts w:ascii="Times New Roman" w:hAnsi="Times New Roman"/>
                <w:b w:val="0"/>
                <w:i w:val="0"/>
                <w:sz w:val="20"/>
              </w:rPr>
              <w:t>Inflación local</w:t>
            </w:r>
          </w:p>
        </w:tc>
        <w:tc>
          <w:tcPr>
            <w:tcW w:type="dxa" w:w="2126"/>
          </w:tcPr>
          <w:p>
            <w:pPr>
              <w:spacing w:line="240" w:lineRule="auto"/>
            </w:pPr>
            <w:r/>
            <w:r>
              <w:rPr>
                <w:rFonts w:ascii="Times New Roman" w:hAnsi="Times New Roman" w:cs="Times New Roman"/>
                <w:rFonts w:ascii="Times New Roman" w:hAnsi="Times New Roman"/>
                <w:b w:val="0"/>
                <w:i w:val="0"/>
                <w:sz w:val="20"/>
              </w:rPr>
              <w:t>$\pi_{it}$</w:t>
            </w:r>
          </w:p>
        </w:tc>
        <w:tc>
          <w:tcPr>
            <w:tcW w:type="dxa" w:w="2126"/>
          </w:tcPr>
          <w:p>
            <w:pPr>
              <w:spacing w:line="240" w:lineRule="auto"/>
            </w:pPr>
            <w:r/>
            <w:r>
              <w:rPr>
                <w:rFonts w:ascii="Times New Roman" w:hAnsi="Times New Roman" w:cs="Times New Roman"/>
                <w:rFonts w:ascii="Times New Roman" w:hAnsi="Times New Roman"/>
                <w:b w:val="0"/>
                <w:i w:val="0"/>
                <w:sz w:val="20"/>
              </w:rPr>
              <w:t>Tasa de variación anual del IPC</w:t>
            </w:r>
          </w:p>
        </w:tc>
        <w:tc>
          <w:tcPr>
            <w:tcW w:type="dxa" w:w="2126"/>
          </w:tcPr>
          <w:p>
            <w:pPr>
              <w:spacing w:line="240" w:lineRule="auto"/>
            </w:pPr>
            <w:r/>
            <w:r>
              <w:rPr>
                <w:rFonts w:ascii="Times New Roman" w:hAnsi="Times New Roman" w:cs="Times New Roman"/>
                <w:rFonts w:ascii="Times New Roman" w:hAnsi="Times New Roman"/>
                <w:b w:val="0"/>
                <w:i w:val="0"/>
                <w:sz w:val="20"/>
              </w:rPr>
              <w:t>FRED, Eurostat, ONS, BoJ</w:t>
            </w:r>
          </w:p>
        </w:tc>
      </w:tr>
      <w:tr>
        <w:tc>
          <w:tcPr>
            <w:tcW w:type="dxa" w:w="2126"/>
          </w:tcPr>
          <w:p>
            <w:pPr>
              <w:spacing w:line="240" w:lineRule="auto"/>
            </w:pPr>
            <w:r/>
            <w:r>
              <w:rPr>
                <w:rFonts w:ascii="Times New Roman" w:hAnsi="Times New Roman" w:cs="Times New Roman"/>
                <w:rFonts w:ascii="Times New Roman" w:hAnsi="Times New Roman"/>
                <w:b w:val="0"/>
                <w:i w:val="0"/>
                <w:sz w:val="20"/>
              </w:rPr>
              <w:t>Tipo de interés real local</w:t>
            </w:r>
          </w:p>
        </w:tc>
        <w:tc>
          <w:tcPr>
            <w:tcW w:type="dxa" w:w="2126"/>
          </w:tcPr>
          <w:p>
            <w:pPr>
              <w:spacing w:line="240" w:lineRule="auto"/>
            </w:pPr>
            <w:r/>
            <w:r>
              <w:rPr>
                <w:rFonts w:ascii="Times New Roman" w:hAnsi="Times New Roman" w:cs="Times New Roman"/>
                <w:rFonts w:ascii="Times New Roman" w:hAnsi="Times New Roman"/>
                <w:b w:val="0"/>
                <w:i w:val="0"/>
                <w:sz w:val="20"/>
              </w:rPr>
              <w:t>$r_{it}$</w:t>
            </w:r>
          </w:p>
        </w:tc>
        <w:tc>
          <w:tcPr>
            <w:tcW w:type="dxa" w:w="2126"/>
          </w:tcPr>
          <w:p>
            <w:pPr>
              <w:spacing w:line="240" w:lineRule="auto"/>
            </w:pPr>
            <w:r/>
            <w:r>
              <w:rPr>
                <w:rFonts w:ascii="Times New Roman" w:hAnsi="Times New Roman" w:cs="Times New Roman"/>
                <w:rFonts w:ascii="Times New Roman" w:hAnsi="Times New Roman"/>
                <w:b w:val="0"/>
                <w:i w:val="0"/>
                <w:sz w:val="20"/>
              </w:rPr>
              <w:t>Tipo nominal a 10 años − inflación a 10 años o TIPS equivalente</w:t>
            </w:r>
          </w:p>
        </w:tc>
        <w:tc>
          <w:tcPr>
            <w:tcW w:type="dxa" w:w="2126"/>
          </w:tcPr>
          <w:p>
            <w:pPr>
              <w:spacing w:line="240" w:lineRule="auto"/>
            </w:pPr>
            <w:r/>
            <w:r>
              <w:rPr>
                <w:rFonts w:ascii="Times New Roman" w:hAnsi="Times New Roman" w:cs="Times New Roman"/>
                <w:rFonts w:ascii="Times New Roman" w:hAnsi="Times New Roman"/>
                <w:b w:val="0"/>
                <w:i w:val="0"/>
                <w:sz w:val="20"/>
              </w:rPr>
              <w:t>FRED, BCE, BoE, BoJ</w:t>
            </w:r>
          </w:p>
        </w:tc>
      </w:tr>
      <w:tr>
        <w:tc>
          <w:tcPr>
            <w:tcW w:type="dxa" w:w="2126"/>
          </w:tcPr>
          <w:p>
            <w:pPr>
              <w:spacing w:line="240" w:lineRule="auto"/>
            </w:pPr>
            <w:r/>
            <w:r>
              <w:rPr>
                <w:rFonts w:ascii="Times New Roman" w:hAnsi="Times New Roman" w:cs="Times New Roman"/>
                <w:rFonts w:ascii="Times New Roman" w:hAnsi="Times New Roman"/>
                <w:b w:val="0"/>
                <w:i w:val="0"/>
                <w:sz w:val="20"/>
              </w:rPr>
              <w:t>Volatilidad global</w:t>
            </w:r>
          </w:p>
        </w:tc>
        <w:tc>
          <w:tcPr>
            <w:tcW w:type="dxa" w:w="2126"/>
          </w:tcPr>
          <w:p>
            <w:pPr>
              <w:spacing w:line="240" w:lineRule="auto"/>
            </w:pPr>
            <w:r/>
            <w:r>
              <w:rPr>
                <w:rFonts w:ascii="Times New Roman" w:hAnsi="Times New Roman" w:cs="Times New Roman"/>
                <w:rFonts w:ascii="Times New Roman" w:hAnsi="Times New Roman"/>
                <w:b w:val="0"/>
                <w:i w:val="0"/>
                <w:sz w:val="20"/>
              </w:rPr>
              <w:t>$VIX_t$</w:t>
            </w:r>
          </w:p>
        </w:tc>
        <w:tc>
          <w:tcPr>
            <w:tcW w:type="dxa" w:w="2126"/>
          </w:tcPr>
          <w:p>
            <w:pPr>
              <w:spacing w:line="240" w:lineRule="auto"/>
            </w:pPr>
            <w:r/>
            <w:r>
              <w:rPr>
                <w:rFonts w:ascii="Times New Roman" w:hAnsi="Times New Roman" w:cs="Times New Roman"/>
                <w:rFonts w:ascii="Times New Roman" w:hAnsi="Times New Roman"/>
                <w:b w:val="0"/>
                <w:i w:val="0"/>
                <w:sz w:val="20"/>
              </w:rPr>
              <w:t>Índice VIX (variable común a todas las economías)</w:t>
            </w:r>
          </w:p>
        </w:tc>
        <w:tc>
          <w:tcPr>
            <w:tcW w:type="dxa" w:w="2126"/>
          </w:tcPr>
          <w:p>
            <w:pPr>
              <w:spacing w:line="240" w:lineRule="auto"/>
            </w:pPr>
            <w:r/>
            <w:r>
              <w:rPr>
                <w:rFonts w:ascii="Times New Roman" w:hAnsi="Times New Roman" w:cs="Times New Roman"/>
                <w:rFonts w:ascii="Times New Roman" w:hAnsi="Times New Roman"/>
                <w:b w:val="0"/>
                <w:i w:val="0"/>
                <w:sz w:val="20"/>
              </w:rPr>
              <w:t>FRED</w:t>
            </w:r>
          </w:p>
        </w:tc>
      </w:tr>
      <w:tr>
        <w:tc>
          <w:tcPr>
            <w:tcW w:type="dxa" w:w="2126"/>
          </w:tcPr>
          <w:p>
            <w:pPr>
              <w:spacing w:line="240" w:lineRule="auto"/>
            </w:pPr>
            <w:r/>
            <w:r>
              <w:rPr>
                <w:rFonts w:ascii="Times New Roman" w:hAnsi="Times New Roman" w:cs="Times New Roman"/>
                <w:rFonts w:ascii="Times New Roman" w:hAnsi="Times New Roman"/>
                <w:b w:val="0"/>
                <w:i w:val="0"/>
                <w:sz w:val="20"/>
              </w:rPr>
              <w:t>Retorno renta variable local</w:t>
            </w:r>
          </w:p>
        </w:tc>
        <w:tc>
          <w:tcPr>
            <w:tcW w:type="dxa" w:w="2126"/>
          </w:tcPr>
          <w:p>
            <w:pPr>
              <w:spacing w:line="240" w:lineRule="auto"/>
            </w:pPr>
            <w:r/>
            <w:r>
              <w:rPr>
                <w:rFonts w:ascii="Times New Roman" w:hAnsi="Times New Roman" w:cs="Times New Roman"/>
                <w:rFonts w:ascii="Times New Roman" w:hAnsi="Times New Roman"/>
                <w:b w:val="0"/>
                <w:i w:val="0"/>
                <w:sz w:val="20"/>
              </w:rPr>
              <w:t>$eq_{it}$</w:t>
            </w:r>
          </w:p>
        </w:tc>
        <w:tc>
          <w:tcPr>
            <w:tcW w:type="dxa" w:w="2126"/>
          </w:tcPr>
          <w:p>
            <w:pPr>
              <w:spacing w:line="240" w:lineRule="auto"/>
            </w:pPr>
            <w:r/>
            <w:r>
              <w:rPr>
                <w:rFonts w:ascii="Times New Roman" w:hAnsi="Times New Roman" w:cs="Times New Roman"/>
                <w:rFonts w:ascii="Times New Roman" w:hAnsi="Times New Roman"/>
                <w:b w:val="0"/>
                <w:i w:val="0"/>
                <w:sz w:val="20"/>
              </w:rPr>
              <w:t>Retorno trimestral del índice bursátil principal</w:t>
            </w:r>
          </w:p>
        </w:tc>
        <w:tc>
          <w:tcPr>
            <w:tcW w:type="dxa" w:w="2126"/>
          </w:tcPr>
          <w:p>
            <w:pPr>
              <w:spacing w:line="240" w:lineRule="auto"/>
            </w:pPr>
            <w:r/>
            <w:r>
              <w:rPr>
                <w:rFonts w:ascii="Times New Roman" w:hAnsi="Times New Roman" w:cs="Times New Roman"/>
                <w:rFonts w:ascii="Times New Roman" w:hAnsi="Times New Roman"/>
                <w:b w:val="0"/>
                <w:i w:val="0"/>
                <w:sz w:val="20"/>
              </w:rPr>
              <w:t>Yahoo Finance</w:t>
            </w:r>
          </w:p>
        </w:tc>
      </w:tr>
    </w:tbl>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metodológica:</w:t>
      </w:r>
      <w:r>
        <w:rPr>
          <w:rFonts w:ascii="Times New Roman" w:hAnsi="Times New Roman" w:cs="Times New Roman"/>
          <w:rFonts w:ascii="Times New Roman" w:hAnsi="Times New Roman"/>
          <w:b w:val="0"/>
          <w:i w:val="0"/>
          <w:sz w:val="24"/>
        </w:rPr>
        <w:t xml:space="preserve"> El VIX es la única variable estrictamente común (idéntica para las cuatro economías en cada trimestre). El resto de variables son específicas de cada unidad cross-sectional, capturando las diferencias en condiciones monetarias y financieras entre economías.</w:t>
      </w:r>
    </w:p>
    <w:p>
      <w:pPr>
        <w:pStyle w:val="Heading3"/>
      </w:pPr>
      <w:r>
        <w:t>6.2.3 Fuentes de datos y periodo de análisis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EE.UU.</w:t>
            </w:r>
          </w:p>
        </w:tc>
        <w:tc>
          <w:tcPr>
            <w:tcW w:type="dxa" w:w="1701"/>
          </w:tcPr>
          <w:p>
            <w:pPr>
              <w:spacing w:line="240" w:lineRule="auto"/>
              <w:jc w:val="center"/>
            </w:pPr>
            <w:r/>
            <w:r>
              <w:rPr>
                <w:rFonts w:ascii="Times New Roman" w:hAnsi="Times New Roman" w:cs="Times New Roman"/>
                <w:rFonts w:ascii="Times New Roman" w:hAnsi="Times New Roman"/>
                <w:b/>
                <w:i w:val="0"/>
                <w:sz w:val="20"/>
              </w:rPr>
              <w:t>Eurozona</w:t>
            </w:r>
          </w:p>
        </w:tc>
        <w:tc>
          <w:tcPr>
            <w:tcW w:type="dxa" w:w="1701"/>
          </w:tcPr>
          <w:p>
            <w:pPr>
              <w:spacing w:line="240" w:lineRule="auto"/>
              <w:jc w:val="center"/>
            </w:pPr>
            <w:r/>
            <w:r>
              <w:rPr>
                <w:rFonts w:ascii="Times New Roman" w:hAnsi="Times New Roman" w:cs="Times New Roman"/>
                <w:rFonts w:ascii="Times New Roman" w:hAnsi="Times New Roman"/>
                <w:b/>
                <w:i w:val="0"/>
                <w:sz w:val="20"/>
              </w:rPr>
              <w:t>Reino Unido</w:t>
            </w:r>
          </w:p>
        </w:tc>
        <w:tc>
          <w:tcPr>
            <w:tcW w:type="dxa" w:w="1701"/>
          </w:tcPr>
          <w:p>
            <w:pPr>
              <w:spacing w:line="240" w:lineRule="auto"/>
              <w:jc w:val="center"/>
            </w:pPr>
            <w:r/>
            <w:r>
              <w:rPr>
                <w:rFonts w:ascii="Times New Roman" w:hAnsi="Times New Roman" w:cs="Times New Roman"/>
                <w:rFonts w:ascii="Times New Roman" w:hAnsi="Times New Roman"/>
                <w:b/>
                <w:i w:val="0"/>
                <w:sz w:val="20"/>
              </w:rPr>
              <w:t>Japón</w:t>
            </w:r>
          </w:p>
        </w:tc>
      </w:tr>
      <w:tr>
        <w:tc>
          <w:tcPr>
            <w:tcW w:type="dxa" w:w="1701"/>
          </w:tcPr>
          <w:p>
            <w:pPr>
              <w:spacing w:line="240" w:lineRule="auto"/>
            </w:pPr>
            <w:r/>
            <w:r>
              <w:rPr>
                <w:rFonts w:ascii="Times New Roman" w:hAnsi="Times New Roman" w:cs="Times New Roman"/>
                <w:rFonts w:ascii="Times New Roman" w:hAnsi="Times New Roman"/>
                <w:b w:val="0"/>
                <w:i w:val="0"/>
                <w:sz w:val="20"/>
              </w:rPr>
              <w:t>Inflación</w:t>
            </w:r>
          </w:p>
        </w:tc>
        <w:tc>
          <w:tcPr>
            <w:tcW w:type="dxa" w:w="1701"/>
          </w:tcPr>
          <w:p>
            <w:pPr>
              <w:spacing w:line="240" w:lineRule="auto"/>
            </w:pPr>
            <w:r/>
            <w:r>
              <w:rPr>
                <w:rFonts w:ascii="Times New Roman" w:hAnsi="Times New Roman" w:cs="Times New Roman"/>
                <w:rFonts w:ascii="Times New Roman" w:hAnsi="Times New Roman"/>
                <w:b w:val="0"/>
                <w:i w:val="0"/>
                <w:sz w:val="20"/>
              </w:rPr>
              <w:t>CPIAUCSL (FRED)</w:t>
            </w:r>
          </w:p>
        </w:tc>
        <w:tc>
          <w:tcPr>
            <w:tcW w:type="dxa" w:w="1701"/>
          </w:tcPr>
          <w:p>
            <w:pPr>
              <w:spacing w:line="240" w:lineRule="auto"/>
            </w:pPr>
            <w:r/>
            <w:r>
              <w:rPr>
                <w:rFonts w:ascii="Times New Roman" w:hAnsi="Times New Roman" w:cs="Times New Roman"/>
                <w:rFonts w:ascii="Times New Roman" w:hAnsi="Times New Roman"/>
                <w:b w:val="0"/>
                <w:i w:val="0"/>
                <w:sz w:val="20"/>
              </w:rPr>
              <w:t>HICP Eurostat</w:t>
            </w:r>
          </w:p>
        </w:tc>
        <w:tc>
          <w:tcPr>
            <w:tcW w:type="dxa" w:w="1701"/>
          </w:tcPr>
          <w:p>
            <w:pPr>
              <w:spacing w:line="240" w:lineRule="auto"/>
            </w:pPr>
            <w:r/>
            <w:r>
              <w:rPr>
                <w:rFonts w:ascii="Times New Roman" w:hAnsi="Times New Roman" w:cs="Times New Roman"/>
                <w:rFonts w:ascii="Times New Roman" w:hAnsi="Times New Roman"/>
                <w:b w:val="0"/>
                <w:i w:val="0"/>
                <w:sz w:val="20"/>
              </w:rPr>
              <w:t>ONS CPI</w:t>
            </w:r>
          </w:p>
        </w:tc>
        <w:tc>
          <w:tcPr>
            <w:tcW w:type="dxa" w:w="1701"/>
          </w:tcPr>
          <w:p>
            <w:pPr>
              <w:spacing w:line="240" w:lineRule="auto"/>
            </w:pPr>
            <w:r/>
            <w:r>
              <w:rPr>
                <w:rFonts w:ascii="Times New Roman" w:hAnsi="Times New Roman" w:cs="Times New Roman"/>
                <w:rFonts w:ascii="Times New Roman" w:hAnsi="Times New Roman"/>
                <w:b w:val="0"/>
                <w:i w:val="0"/>
                <w:sz w:val="20"/>
              </w:rPr>
              <w:t>BoJ CPI</w:t>
            </w:r>
          </w:p>
        </w:tc>
      </w:tr>
      <w:tr>
        <w:tc>
          <w:tcPr>
            <w:tcW w:type="dxa" w:w="1701"/>
          </w:tcPr>
          <w:p>
            <w:pPr>
              <w:spacing w:line="240" w:lineRule="auto"/>
            </w:pPr>
            <w:r/>
            <w:r>
              <w:rPr>
                <w:rFonts w:ascii="Times New Roman" w:hAnsi="Times New Roman" w:cs="Times New Roman"/>
                <w:rFonts w:ascii="Times New Roman" w:hAnsi="Times New Roman"/>
                <w:b w:val="0"/>
                <w:i w:val="0"/>
                <w:sz w:val="20"/>
              </w:rPr>
              <w:t>Tipo real 10Y</w:t>
            </w:r>
          </w:p>
        </w:tc>
        <w:tc>
          <w:tcPr>
            <w:tcW w:type="dxa" w:w="1701"/>
          </w:tcPr>
          <w:p>
            <w:pPr>
              <w:spacing w:line="240" w:lineRule="auto"/>
            </w:pPr>
            <w:r/>
            <w:r>
              <w:rPr>
                <w:rFonts w:ascii="Times New Roman" w:hAnsi="Times New Roman" w:cs="Times New Roman"/>
                <w:rFonts w:ascii="Times New Roman" w:hAnsi="Times New Roman"/>
                <w:b w:val="0"/>
                <w:i w:val="0"/>
                <w:sz w:val="20"/>
              </w:rPr>
              <w:t>DFII10 (FRED)</w:t>
            </w:r>
          </w:p>
        </w:tc>
        <w:tc>
          <w:tcPr>
            <w:tcW w:type="dxa" w:w="1701"/>
          </w:tcPr>
          <w:p>
            <w:pPr>
              <w:spacing w:line="240" w:lineRule="auto"/>
            </w:pPr>
            <w:r/>
            <w:r>
              <w:rPr>
                <w:rFonts w:ascii="Times New Roman" w:hAnsi="Times New Roman" w:cs="Times New Roman"/>
                <w:rFonts w:ascii="Times New Roman" w:hAnsi="Times New Roman"/>
                <w:b w:val="0"/>
                <w:i w:val="0"/>
                <w:sz w:val="20"/>
              </w:rPr>
              <w:t>OAT + OATi spread (BCE)</w:t>
            </w:r>
          </w:p>
        </w:tc>
        <w:tc>
          <w:tcPr>
            <w:tcW w:type="dxa" w:w="1701"/>
          </w:tcPr>
          <w:p>
            <w:pPr>
              <w:spacing w:line="240" w:lineRule="auto"/>
            </w:pPr>
            <w:r/>
            <w:r>
              <w:rPr>
                <w:rFonts w:ascii="Times New Roman" w:hAnsi="Times New Roman" w:cs="Times New Roman"/>
                <w:rFonts w:ascii="Times New Roman" w:hAnsi="Times New Roman"/>
                <w:b w:val="0"/>
                <w:i w:val="0"/>
                <w:sz w:val="20"/>
              </w:rPr>
              <w:t>BoE real gilt</w:t>
            </w:r>
          </w:p>
        </w:tc>
        <w:tc>
          <w:tcPr>
            <w:tcW w:type="dxa" w:w="1701"/>
          </w:tcPr>
          <w:p>
            <w:pPr>
              <w:spacing w:line="240" w:lineRule="auto"/>
            </w:pPr>
            <w:r/>
            <w:r>
              <w:rPr>
                <w:rFonts w:ascii="Times New Roman" w:hAnsi="Times New Roman" w:cs="Times New Roman"/>
                <w:rFonts w:ascii="Times New Roman" w:hAnsi="Times New Roman"/>
                <w:b w:val="0"/>
                <w:i w:val="0"/>
                <w:sz w:val="20"/>
              </w:rPr>
              <w:t>JGB real yield (BoJ)</w:t>
            </w:r>
          </w:p>
        </w:tc>
      </w:tr>
      <w:tr>
        <w:tc>
          <w:tcPr>
            <w:tcW w:type="dxa" w:w="1701"/>
          </w:tcPr>
          <w:p>
            <w:pPr>
              <w:spacing w:line="240" w:lineRule="auto"/>
            </w:pPr>
            <w:r/>
            <w:r>
              <w:rPr>
                <w:rFonts w:ascii="Times New Roman" w:hAnsi="Times New Roman" w:cs="Times New Roman"/>
                <w:rFonts w:ascii="Times New Roman" w:hAnsi="Times New Roman"/>
                <w:b w:val="0"/>
                <w:i w:val="0"/>
                <w:sz w:val="20"/>
              </w:rPr>
              <w:t>Índice bursátil</w:t>
            </w:r>
          </w:p>
        </w:tc>
        <w:tc>
          <w:tcPr>
            <w:tcW w:type="dxa" w:w="1701"/>
          </w:tcPr>
          <w:p>
            <w:pPr>
              <w:spacing w:line="240" w:lineRule="auto"/>
            </w:pPr>
            <w:r/>
            <w:r>
              <w:rPr>
                <w:rFonts w:ascii="Times New Roman" w:hAnsi="Times New Roman" w:cs="Times New Roman"/>
                <w:rFonts w:ascii="Times New Roman" w:hAnsi="Times New Roman"/>
                <w:b w:val="0"/>
                <w:i w:val="0"/>
                <w:sz w:val="20"/>
              </w:rPr>
              <w:t>S&amp;P 500 (^GSPC)</w:t>
            </w:r>
          </w:p>
        </w:tc>
        <w:tc>
          <w:tcPr>
            <w:tcW w:type="dxa" w:w="1701"/>
          </w:tcPr>
          <w:p>
            <w:pPr>
              <w:spacing w:line="240" w:lineRule="auto"/>
            </w:pPr>
            <w:r/>
            <w:r>
              <w:rPr>
                <w:rFonts w:ascii="Times New Roman" w:hAnsi="Times New Roman" w:cs="Times New Roman"/>
                <w:rFonts w:ascii="Times New Roman" w:hAnsi="Times New Roman"/>
                <w:b w:val="0"/>
                <w:i w:val="0"/>
                <w:sz w:val="20"/>
              </w:rPr>
              <w:t>EuroStoxx 50 (^STOXX50E)</w:t>
            </w:r>
          </w:p>
        </w:tc>
        <w:tc>
          <w:tcPr>
            <w:tcW w:type="dxa" w:w="1701"/>
          </w:tcPr>
          <w:p>
            <w:pPr>
              <w:spacing w:line="240" w:lineRule="auto"/>
            </w:pPr>
            <w:r/>
            <w:r>
              <w:rPr>
                <w:rFonts w:ascii="Times New Roman" w:hAnsi="Times New Roman" w:cs="Times New Roman"/>
                <w:rFonts w:ascii="Times New Roman" w:hAnsi="Times New Roman"/>
                <w:b w:val="0"/>
                <w:i w:val="0"/>
                <w:sz w:val="20"/>
              </w:rPr>
              <w:t>FTSE 100 (^FTSE)</w:t>
            </w:r>
          </w:p>
        </w:tc>
        <w:tc>
          <w:tcPr>
            <w:tcW w:type="dxa" w:w="1701"/>
          </w:tcPr>
          <w:p>
            <w:pPr>
              <w:spacing w:line="240" w:lineRule="auto"/>
            </w:pPr>
            <w:r/>
            <w:r>
              <w:rPr>
                <w:rFonts w:ascii="Times New Roman" w:hAnsi="Times New Roman" w:cs="Times New Roman"/>
                <w:rFonts w:ascii="Times New Roman" w:hAnsi="Times New Roman"/>
                <w:b w:val="0"/>
                <w:i w:val="0"/>
                <w:sz w:val="20"/>
              </w:rPr>
              <w:t>Nikkei 225 (^N225)</w:t>
            </w:r>
          </w:p>
        </w:tc>
      </w:tr>
      <w:tr>
        <w:tc>
          <w:tcPr>
            <w:tcW w:type="dxa" w:w="1701"/>
          </w:tcPr>
          <w:p>
            <w:pPr>
              <w:spacing w:line="240" w:lineRule="auto"/>
            </w:pPr>
            <w:r/>
            <w:r>
              <w:rPr>
                <w:rFonts w:ascii="Times New Roman" w:hAnsi="Times New Roman" w:cs="Times New Roman"/>
                <w:rFonts w:ascii="Times New Roman" w:hAnsi="Times New Roman"/>
                <w:b w:val="0"/>
                <w:i w:val="0"/>
                <w:sz w:val="20"/>
              </w:rPr>
              <w:t>Tipo cambio</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c>
          <w:tcPr>
            <w:tcW w:type="dxa" w:w="1701"/>
          </w:tcPr>
          <w:p>
            <w:pPr>
              <w:spacing w:line="240" w:lineRule="auto"/>
            </w:pPr>
            <w:r/>
            <w:r>
              <w:rPr>
                <w:rFonts w:ascii="Times New Roman" w:hAnsi="Times New Roman" w:cs="Times New Roman"/>
                <w:rFonts w:ascii="Times New Roman" w:hAnsi="Times New Roman"/>
                <w:b w:val="0"/>
                <w:i w:val="0"/>
                <w:sz w:val="20"/>
              </w:rPr>
              <w:t>EUR/USD</w:t>
            </w:r>
          </w:p>
        </w:tc>
        <w:tc>
          <w:tcPr>
            <w:tcW w:type="dxa" w:w="1701"/>
          </w:tcPr>
          <w:p>
            <w:pPr>
              <w:spacing w:line="240" w:lineRule="auto"/>
            </w:pPr>
            <w:r/>
            <w:r>
              <w:rPr>
                <w:rFonts w:ascii="Times New Roman" w:hAnsi="Times New Roman" w:cs="Times New Roman"/>
                <w:rFonts w:ascii="Times New Roman" w:hAnsi="Times New Roman"/>
                <w:b w:val="0"/>
                <w:i w:val="0"/>
                <w:sz w:val="20"/>
              </w:rPr>
              <w:t>GBP/USD</w:t>
            </w:r>
          </w:p>
        </w:tc>
        <w:tc>
          <w:tcPr>
            <w:tcW w:type="dxa" w:w="1701"/>
          </w:tcPr>
          <w:p>
            <w:pPr>
              <w:spacing w:line="240" w:lineRule="auto"/>
            </w:pPr>
            <w:r/>
            <w:r>
              <w:rPr>
                <w:rFonts w:ascii="Times New Roman" w:hAnsi="Times New Roman" w:cs="Times New Roman"/>
                <w:rFonts w:ascii="Times New Roman" w:hAnsi="Times New Roman"/>
                <w:b w:val="0"/>
                <w:i w:val="0"/>
                <w:sz w:val="20"/>
              </w:rPr>
              <w:t>USD/JPY</w:t>
            </w:r>
          </w:p>
        </w:tc>
      </w:tr>
    </w:tbl>
    <w:p/>
    <w:p>
      <w:pPr/>
      <w:r>
        <w:rPr>
          <w:rFonts w:ascii="Times New Roman" w:hAnsi="Times New Roman" w:cs="Times New Roman"/>
          <w:rFonts w:ascii="Times New Roman" w:hAnsi="Times New Roman"/>
          <w:b w:val="0"/>
          <w:i w:val="0"/>
          <w:sz w:val="24"/>
        </w:rPr>
        <w:t>El periodo de análisis (2000-2024) cubre 96 trimestres. Se excluye el año 2025 del panel para mantener consistencia con la disponibilidad de datos comparables en las fuentes europeas y japonesas, donde los datos más recientes tienen mayor retardo de publicación que en EE.UU.</w:t>
      </w:r>
    </w:p>
    <w:p>
      <w:pPr>
        <w:pStyle w:val="Heading2"/>
      </w:pPr>
      <w:r>
        <w:t>6.3 El modelo de regresión con datos de panel</w:t>
      </w:r>
    </w:p>
    <w:p>
      <w:pPr>
        <w:pStyle w:val="Heading3"/>
      </w:pPr>
      <w:r>
        <w:t>6.3.1 Especificación general</w:t>
      </w:r>
    </w:p>
    <w:p>
      <w:pPr/>
      <w:r>
        <w:rPr>
          <w:rFonts w:ascii="Times New Roman" w:hAnsi="Times New Roman" w:cs="Times New Roman"/>
          <w:rFonts w:ascii="Times New Roman" w:hAnsi="Times New Roman"/>
          <w:b w:val="0"/>
          <w:i w:val="0"/>
          <w:sz w:val="24"/>
        </w:rPr>
        <w:t>El modelo econométrico de panel estático que se estimará es:</w:t>
      </w:r>
    </w:p>
    <w:p>
      <w:pPr>
        <w:spacing w:before="80" w:after="80"/>
        <w:jc w:val="center"/>
      </w:pPr>
      <w:r>
        <w:rPr>
          <w:rFonts w:ascii="Times New Roman" w:hAnsi="Times New Roman" w:cs="Times New Roman"/>
          <w:rFonts w:ascii="Times New Roman" w:hAnsi="Times New Roman"/>
          <w:b w:val="0"/>
          <w:i/>
          <w:sz w:val="24"/>
        </w:rPr>
        <w:t>r^{gold}_{it} = \beta_0 + \beta_1 \pi_{it} + \beta_2 r_{it} + \beta_3 VIX_t + \beta_4 eq_{it} + \eta_i + \varepsilon_{it}</w:t>
      </w:r>
    </w:p>
    <w:p>
      <w:pPr/>
      <w:r>
        <w:rPr>
          <w:rFonts w:ascii="Times New Roman" w:hAnsi="Times New Roman" w:cs="Times New Roman"/>
          <w:rFonts w:ascii="Times New Roman" w:hAnsi="Times New Roman"/>
          <w:b w:val="0"/>
          <w:i w:val="0"/>
          <w:sz w:val="24"/>
        </w:rPr>
        <w:t>donde:</w:t>
      </w:r>
    </w:p>
    <w:p>
      <w:pPr/>
      <w:r>
        <w:rPr>
          <w:rFonts w:ascii="Times New Roman" w:hAnsi="Times New Roman" w:cs="Times New Roman"/>
          <w:rFonts w:ascii="Times New Roman" w:hAnsi="Times New Roman"/>
          <w:b w:val="0"/>
          <w:i w:val="0"/>
          <w:sz w:val="24"/>
        </w:rPr>
        <w:t xml:space="preserve">- $r^{gold}_{it}$ es el retorno trimestral del oro en moneda local para el país $i$ en el trimestre $t$ - $\pi_{it}$ es la tasa de inflación anual del país $i$ en el trimestre $t$ - $r_{it}$ es el tipo de interés real a 10 años del país $i$ en el trimestre $t$ - $VIX_t$ es el índice de volatilidad implícita, común a todos los países - $eq_{it}$ es el retorno trimestral del índice bursátil principal del país $i$ - $\eta_i$ es el </w:t>
      </w:r>
      <w:r>
        <w:rPr>
          <w:rFonts w:ascii="Times New Roman" w:hAnsi="Times New Roman" w:cs="Times New Roman"/>
          <w:rFonts w:ascii="Times New Roman" w:hAnsi="Times New Roman"/>
          <w:b/>
          <w:i w:val="0"/>
          <w:sz w:val="24"/>
        </w:rPr>
        <w:t>efecto individual inobservable</w:t>
      </w:r>
      <w:r>
        <w:rPr>
          <w:rFonts w:ascii="Times New Roman" w:hAnsi="Times New Roman" w:cs="Times New Roman"/>
          <w:rFonts w:ascii="Times New Roman" w:hAnsi="Times New Roman"/>
          <w:b w:val="0"/>
          <w:i w:val="0"/>
          <w:sz w:val="24"/>
        </w:rPr>
        <w:t xml:space="preserve"> del país $i$, constante en el tiempo - $\varepsilon_{it}$ es el término de error idiosincrático</w:t>
      </w:r>
    </w:p>
    <w:p>
      <w:pPr/>
      <w:r>
        <w:rPr>
          <w:rFonts w:ascii="Times New Roman" w:hAnsi="Times New Roman" w:cs="Times New Roman"/>
          <w:rFonts w:ascii="Times New Roman" w:hAnsi="Times New Roman"/>
          <w:b w:val="0"/>
          <w:i w:val="0"/>
          <w:sz w:val="24"/>
        </w:rPr>
        <w:t xml:space="preserve">El término $\eta_i$ captura todo aquello específico de cada economía que es </w:t>
      </w:r>
      <w:r>
        <w:rPr>
          <w:rFonts w:ascii="Times New Roman" w:hAnsi="Times New Roman" w:cs="Times New Roman"/>
          <w:rFonts w:ascii="Times New Roman" w:hAnsi="Times New Roman"/>
          <w:b/>
          <w:i w:val="0"/>
          <w:sz w:val="24"/>
        </w:rPr>
        <w:t>constante en el tiempo</w:t>
      </w:r>
      <w:r>
        <w:rPr>
          <w:rFonts w:ascii="Times New Roman" w:hAnsi="Times New Roman" w:cs="Times New Roman"/>
          <w:rFonts w:ascii="Times New Roman" w:hAnsi="Times New Roman"/>
          <w:b w:val="0"/>
          <w:i w:val="0"/>
          <w:sz w:val="24"/>
        </w:rPr>
        <w:t xml:space="preserve"> y que puede afectar al retorno del oro: la demanda cultural histórica de oro (especialmente relevante para Japón), el peso del sector financiero, las políticas de reservas del banco central nacional, o la reputación histórica de la moneda como reserva de valor. Si $\eta_i$ está correlacionado con las variables explicativas, ignorarlo (estimando por MCO sobre el panel apilado, </w:t>
      </w:r>
      <w:r>
        <w:rPr>
          <w:rFonts w:ascii="Times New Roman" w:hAnsi="Times New Roman" w:cs="Times New Roman"/>
          <w:rFonts w:ascii="Times New Roman" w:hAnsi="Times New Roman"/>
          <w:b w:val="0"/>
          <w:i/>
          <w:sz w:val="24"/>
        </w:rPr>
        <w:t>pooled OLS</w:t>
      </w:r>
      <w:r>
        <w:rPr>
          <w:rFonts w:ascii="Times New Roman" w:hAnsi="Times New Roman" w:cs="Times New Roman"/>
          <w:rFonts w:ascii="Times New Roman" w:hAnsi="Times New Roman"/>
          <w:b w:val="0"/>
          <w:i w:val="0"/>
          <w:sz w:val="24"/>
        </w:rPr>
        <w:t>) produciría estimadores sesgados.</w:t>
      </w:r>
    </w:p>
    <w:p>
      <w:pPr>
        <w:pStyle w:val="Heading3"/>
      </w:pPr>
      <w:r>
        <w:t>6.3.2 Supuestos del modelo</w:t>
      </w:r>
    </w:p>
    <w:p>
      <w:pPr/>
      <w:r>
        <w:rPr>
          <w:rFonts w:ascii="Times New Roman" w:hAnsi="Times New Roman" w:cs="Times New Roman"/>
          <w:rFonts w:ascii="Times New Roman" w:hAnsi="Times New Roman"/>
          <w:b w:val="0"/>
          <w:i w:val="0"/>
          <w:sz w:val="24"/>
        </w:rPr>
        <w:t>El modelo asume:</w:t>
      </w:r>
    </w:p>
    <w:p>
      <w:pPr/>
      <w:r>
        <w:rPr>
          <w:rFonts w:ascii="Times New Roman" w:hAnsi="Times New Roman" w:cs="Times New Roman"/>
          <w:rFonts w:ascii="Times New Roman" w:hAnsi="Times New Roman"/>
          <w:b w:val="0"/>
          <w:i w:val="0"/>
          <w:sz w:val="24"/>
        </w:rPr>
        <w:t xml:space="preserve">1. </w:t>
      </w:r>
      <w:r>
        <w:rPr>
          <w:rFonts w:ascii="Times New Roman" w:hAnsi="Times New Roman" w:cs="Times New Roman"/>
          <w:rFonts w:ascii="Times New Roman" w:hAnsi="Times New Roman"/>
          <w:b/>
          <w:i w:val="0"/>
          <w:sz w:val="24"/>
        </w:rPr>
        <w:t>Exogeneidad estricta:</w:t>
      </w:r>
      <w:r>
        <w:rPr>
          <w:rFonts w:ascii="Times New Roman" w:hAnsi="Times New Roman" w:cs="Times New Roman"/>
          <w:rFonts w:ascii="Times New Roman" w:hAnsi="Times New Roman"/>
          <w:b w:val="0"/>
          <w:i w:val="0"/>
          <w:sz w:val="24"/>
        </w:rPr>
        <w:t xml:space="preserve"> $E[\varepsilon_{it} \mid X_{i1}, ..., X_{iT}, \eta_i] = 0$ para todo $t$. Los regresores no están correlacionados con los errores idiosincráticos en ningún periodo.</w:t>
      </w:r>
    </w:p>
    <w:p>
      <w:pPr/>
      <w:r>
        <w:rPr>
          <w:rFonts w:ascii="Times New Roman" w:hAnsi="Times New Roman" w:cs="Times New Roman"/>
          <w:rFonts w:ascii="Times New Roman" w:hAnsi="Times New Roman"/>
          <w:b w:val="0"/>
          <w:i w:val="0"/>
          <w:sz w:val="24"/>
        </w:rPr>
        <w:t xml:space="preserve">2. </w:t>
      </w:r>
      <w:r>
        <w:rPr>
          <w:rFonts w:ascii="Times New Roman" w:hAnsi="Times New Roman" w:cs="Times New Roman"/>
          <w:rFonts w:ascii="Times New Roman" w:hAnsi="Times New Roman"/>
          <w:b/>
          <w:i w:val="0"/>
          <w:sz w:val="24"/>
        </w:rPr>
        <w:t>Idiosincrasia del error:</w:t>
      </w:r>
      <w:r>
        <w:rPr>
          <w:rFonts w:ascii="Times New Roman" w:hAnsi="Times New Roman" w:cs="Times New Roman"/>
          <w:rFonts w:ascii="Times New Roman" w:hAnsi="Times New Roman"/>
          <w:b w:val="0"/>
          <w:i w:val="0"/>
          <w:sz w:val="24"/>
        </w:rPr>
        <w:t xml:space="preserve"> $E[\varepsilon_{it} \varepsilon_{is}] = 0$ para $t \neq s$ (ausencia de autocorrelación en el error idiosincrático) y $E[\varepsilon_{it} \varepsilon_{jt}] = 0$ para $i \neq j$ (ausencia de correlación contemporánea entre países).</w:t>
      </w:r>
    </w:p>
    <w:p>
      <w:pPr/>
      <w:r>
        <w:rPr>
          <w:rFonts w:ascii="Times New Roman" w:hAnsi="Times New Roman" w:cs="Times New Roman"/>
          <w:rFonts w:ascii="Times New Roman" w:hAnsi="Times New Roman"/>
          <w:b w:val="0"/>
          <w:i w:val="0"/>
          <w:sz w:val="24"/>
        </w:rPr>
        <w:t xml:space="preserve">3. </w:t>
      </w:r>
      <w:r>
        <w:rPr>
          <w:rFonts w:ascii="Times New Roman" w:hAnsi="Times New Roman" w:cs="Times New Roman"/>
          <w:rFonts w:ascii="Times New Roman" w:hAnsi="Times New Roman"/>
          <w:b/>
          <w:i w:val="0"/>
          <w:sz w:val="24"/>
        </w:rPr>
        <w:t>Rango completo:</w:t>
      </w:r>
      <w:r>
        <w:rPr>
          <w:rFonts w:ascii="Times New Roman" w:hAnsi="Times New Roman" w:cs="Times New Roman"/>
          <w:rFonts w:ascii="Times New Roman" w:hAnsi="Times New Roman"/>
          <w:b w:val="0"/>
          <w:i w:val="0"/>
          <w:sz w:val="24"/>
        </w:rPr>
        <w:t xml:space="preserve"> No hay multicolinealidad perfecta entre las variables explicativas.</w:t>
      </w:r>
    </w:p>
    <w:p>
      <w:pPr/>
      <w:r>
        <w:rPr>
          <w:rFonts w:ascii="Times New Roman" w:hAnsi="Times New Roman" w:cs="Times New Roman"/>
          <w:rFonts w:ascii="Times New Roman" w:hAnsi="Times New Roman"/>
          <w:b w:val="0"/>
          <w:i w:val="0"/>
          <w:sz w:val="24"/>
        </w:rPr>
        <w:t>Dado que se trabaja con retornos trimestrales —que son aproximadamente estacionarios, a diferencia de los niveles— se evita el problema de regresión espuria que sería un riesgo con datos no estacionarios en un panel de serie temporal larga.</w:t>
      </w:r>
    </w:p>
    <w:p>
      <w:pPr>
        <w:pStyle w:val="Heading2"/>
      </w:pPr>
      <w:r>
        <w:t>6.4 Modelos de efectos fijos y efectos aleatorios</w:t>
      </w:r>
    </w:p>
    <w:p>
      <w:pPr>
        <w:pStyle w:val="Heading3"/>
      </w:pPr>
      <w:r>
        <w:t>6.4.1 Estimador de efectos fijos (*within*)</w:t>
      </w:r>
    </w:p>
    <w:p>
      <w:pPr/>
      <w:r>
        <w:rPr>
          <w:rFonts w:ascii="Times New Roman" w:hAnsi="Times New Roman" w:cs="Times New Roman"/>
          <w:rFonts w:ascii="Times New Roman" w:hAnsi="Times New Roman"/>
          <w:b w:val="0"/>
          <w:i w:val="0"/>
          <w:sz w:val="24"/>
        </w:rPr>
        <w:t xml:space="preserve">El estimador de </w:t>
      </w:r>
      <w:r>
        <w:rPr>
          <w:rFonts w:ascii="Times New Roman" w:hAnsi="Times New Roman" w:cs="Times New Roman"/>
          <w:rFonts w:ascii="Times New Roman" w:hAnsi="Times New Roman"/>
          <w:b/>
          <w:i w:val="0"/>
          <w:sz w:val="24"/>
        </w:rPr>
        <w:t>efectos fijos</w:t>
      </w:r>
      <w:r>
        <w:rPr>
          <w:rFonts w:ascii="Times New Roman" w:hAnsi="Times New Roman" w:cs="Times New Roman"/>
          <w:rFonts w:ascii="Times New Roman" w:hAnsi="Times New Roman"/>
          <w:b w:val="0"/>
          <w:i w:val="0"/>
          <w:sz w:val="24"/>
        </w:rPr>
        <w:t xml:space="preserve"> (EF) trata $\eta_i$ como un parámetro a estimar: en la práctica, se elimina de la ecuación sustrayendo la media temporal de cada variable para cada país (</w:t>
      </w:r>
      <w:r>
        <w:rPr>
          <w:rFonts w:ascii="Times New Roman" w:hAnsi="Times New Roman" w:cs="Times New Roman"/>
          <w:rFonts w:ascii="Times New Roman" w:hAnsi="Times New Roman"/>
          <w:b w:val="0"/>
          <w:i/>
          <w:sz w:val="24"/>
        </w:rPr>
        <w:t>demeaning</w:t>
      </w:r>
      <w:r>
        <w:rPr>
          <w:rFonts w:ascii="Times New Roman" w:hAnsi="Times New Roman" w:cs="Times New Roman"/>
          <w:rFonts w:ascii="Times New Roman" w:hAnsi="Times New Roman"/>
          <w:b w:val="0"/>
          <w:i w:val="0"/>
          <w:sz w:val="24"/>
        </w:rPr>
        <w:t xml:space="preserve"> o </w:t>
      </w:r>
      <w:r>
        <w:rPr>
          <w:rFonts w:ascii="Times New Roman" w:hAnsi="Times New Roman" w:cs="Times New Roman"/>
          <w:rFonts w:ascii="Times New Roman" w:hAnsi="Times New Roman"/>
          <w:b w:val="0"/>
          <w:i/>
          <w:sz w:val="24"/>
        </w:rPr>
        <w:t>within transformation</w:t>
      </w:r>
      <w:r>
        <w:rPr>
          <w:rFonts w:ascii="Times New Roman" w:hAnsi="Times New Roman" w:cs="Times New Roman"/>
          <w:rFonts w:ascii="Times New Roman" w:hAnsi="Times New Roman"/>
          <w:b w:val="0"/>
          <w:i w:val="0"/>
          <w:sz w:val="24"/>
        </w:rPr>
        <w:t>):</w:t>
      </w:r>
    </w:p>
    <w:p>
      <w:pPr>
        <w:spacing w:before="80" w:after="80"/>
        <w:jc w:val="center"/>
      </w:pPr>
      <w:r>
        <w:rPr>
          <w:rFonts w:ascii="Times New Roman" w:hAnsi="Times New Roman" w:cs="Times New Roman"/>
          <w:rFonts w:ascii="Times New Roman" w:hAnsi="Times New Roman"/>
          <w:b w:val="0"/>
          <w:i/>
          <w:sz w:val="24"/>
        </w:rPr>
        <w:t>r^{gold}_{it} - \bar{r}^{gold}_i = \beta_1(\pi_{it} - \bar{\pi}_i) + \beta_2(r_{it} - \bar{r}_i) + \beta_3(VIX_t - \overline{VIX}) + \beta_4(eq_{it} - \bar{eq}_i) + (\varepsilon_{it} - \bar{\varepsilon}_i)</w:t>
      </w:r>
    </w:p>
    <w:p>
      <w:pPr/>
      <w:r>
        <w:rPr>
          <w:rFonts w:ascii="Times New Roman" w:hAnsi="Times New Roman" w:cs="Times New Roman"/>
          <w:rFonts w:ascii="Times New Roman" w:hAnsi="Times New Roman"/>
          <w:b w:val="0"/>
          <w:i w:val="0"/>
          <w:sz w:val="24"/>
        </w:rPr>
        <w:t xml:space="preserve">donde $\bar{x}_i = \frac{1}{T}\sum_{t=1}^{T} x_{it}$ es la media temporal del país $i$. La transformación </w:t>
      </w:r>
      <w:r>
        <w:rPr>
          <w:rFonts w:ascii="Times New Roman" w:hAnsi="Times New Roman" w:cs="Times New Roman"/>
          <w:rFonts w:ascii="Times New Roman" w:hAnsi="Times New Roman"/>
          <w:b w:val="0"/>
          <w:i/>
          <w:sz w:val="24"/>
        </w:rPr>
        <w:t>within</w:t>
      </w:r>
      <w:r>
        <w:rPr>
          <w:rFonts w:ascii="Times New Roman" w:hAnsi="Times New Roman" w:cs="Times New Roman"/>
          <w:rFonts w:ascii="Times New Roman" w:hAnsi="Times New Roman"/>
          <w:b w:val="0"/>
          <w:i w:val="0"/>
          <w:sz w:val="24"/>
        </w:rPr>
        <w:t xml:space="preserve"> elimina completamente $\eta_i$ —sea o no correlacionado con los regresores—, lo que hace que el estimador de EF sea </w:t>
      </w:r>
      <w:r>
        <w:rPr>
          <w:rFonts w:ascii="Times New Roman" w:hAnsi="Times New Roman" w:cs="Times New Roman"/>
          <w:rFonts w:ascii="Times New Roman" w:hAnsi="Times New Roman"/>
          <w:b/>
          <w:i w:val="0"/>
          <w:sz w:val="24"/>
        </w:rPr>
        <w:t>consistente bajo cualquier correlación entre $\eta_i$ y los regresores</w:t>
      </w:r>
      <w:r>
        <w:rPr>
          <w:rFonts w:ascii="Times New Roman" w:hAnsi="Times New Roman" w:cs="Times New Roman"/>
          <w:rFonts w:ascii="Times New Roman" w:hAnsi="Times New Roman"/>
          <w:b w:val="0"/>
          <w:i w:val="0"/>
          <w:sz w:val="24"/>
        </w:rPr>
        <w:t>.</w:t>
      </w:r>
    </w:p>
    <w:p>
      <w:pPr/>
      <w:r>
        <w:rPr>
          <w:rFonts w:ascii="Times New Roman" w:hAnsi="Times New Roman" w:cs="Times New Roman"/>
          <w:rFonts w:ascii="Times New Roman" w:hAnsi="Times New Roman"/>
          <w:b w:val="0"/>
          <w:i w:val="0"/>
          <w:sz w:val="24"/>
        </w:rPr>
        <w:t>El coste del estimador de EF es la pérdida de variación entre países: al centrar cada variable en su media por país, solo se utiliza la variación temporal dentro de cada economía (</w:t>
      </w:r>
      <w:r>
        <w:rPr>
          <w:rFonts w:ascii="Times New Roman" w:hAnsi="Times New Roman" w:cs="Times New Roman"/>
          <w:rFonts w:ascii="Times New Roman" w:hAnsi="Times New Roman"/>
          <w:b w:val="0"/>
          <w:i/>
          <w:sz w:val="24"/>
        </w:rPr>
        <w:t>within</w:t>
      </w:r>
      <w:r>
        <w:rPr>
          <w:rFonts w:ascii="Times New Roman" w:hAnsi="Times New Roman" w:cs="Times New Roman"/>
          <w:rFonts w:ascii="Times New Roman" w:hAnsi="Times New Roman"/>
          <w:b w:val="0"/>
          <w:i w:val="0"/>
          <w:sz w:val="24"/>
        </w:rPr>
        <w:t xml:space="preserve"> variation). Las variables que no varían en el tiempo son perfectamente colineales con los efectos fijos y quedan automáticamente excluidas del modelo.</w:t>
      </w:r>
    </w:p>
    <w:p>
      <w:pPr>
        <w:pStyle w:val="Heading3"/>
      </w:pPr>
      <w:r>
        <w:t>6.4.2 Estimador de efectos aleatorios (*GLS*)</w:t>
      </w:r>
    </w:p>
    <w:p>
      <w:pPr/>
      <w:r>
        <w:rPr>
          <w:rFonts w:ascii="Times New Roman" w:hAnsi="Times New Roman" w:cs="Times New Roman"/>
          <w:rFonts w:ascii="Times New Roman" w:hAnsi="Times New Roman"/>
          <w:b w:val="0"/>
          <w:i w:val="0"/>
          <w:sz w:val="24"/>
        </w:rPr>
        <w:t xml:space="preserve">El estimador de </w:t>
      </w:r>
      <w:r>
        <w:rPr>
          <w:rFonts w:ascii="Times New Roman" w:hAnsi="Times New Roman" w:cs="Times New Roman"/>
          <w:rFonts w:ascii="Times New Roman" w:hAnsi="Times New Roman"/>
          <w:b/>
          <w:i w:val="0"/>
          <w:sz w:val="24"/>
        </w:rPr>
        <w:t>efectos aleatorios</w:t>
      </w:r>
      <w:r>
        <w:rPr>
          <w:rFonts w:ascii="Times New Roman" w:hAnsi="Times New Roman" w:cs="Times New Roman"/>
          <w:rFonts w:ascii="Times New Roman" w:hAnsi="Times New Roman"/>
          <w:b w:val="0"/>
          <w:i w:val="0"/>
          <w:sz w:val="24"/>
        </w:rPr>
        <w:t xml:space="preserve"> (EA) asume que $\eta_i$ es un componente aleatorio no correlacionado con los regresores:</w:t>
      </w:r>
    </w:p>
    <w:p>
      <w:pPr>
        <w:spacing w:before="80" w:after="80"/>
        <w:jc w:val="center"/>
      </w:pPr>
      <w:r>
        <w:rPr>
          <w:rFonts w:ascii="Times New Roman" w:hAnsi="Times New Roman" w:cs="Times New Roman"/>
          <w:rFonts w:ascii="Times New Roman" w:hAnsi="Times New Roman"/>
          <w:b w:val="0"/>
          <w:i/>
          <w:sz w:val="24"/>
        </w:rPr>
        <w:t>E[\eta_i \mid X_{it}] = 0 \quad \forall i, t</w:t>
      </w:r>
    </w:p>
    <w:p>
      <w:pPr/>
      <w:r>
        <w:rPr>
          <w:rFonts w:ascii="Times New Roman" w:hAnsi="Times New Roman" w:cs="Times New Roman"/>
          <w:rFonts w:ascii="Times New Roman" w:hAnsi="Times New Roman"/>
          <w:b w:val="0"/>
          <w:i w:val="0"/>
          <w:sz w:val="24"/>
        </w:rPr>
        <w:t xml:space="preserve">Bajo este supuesto, $\eta_i$ pasa a formar parte del término de error compuesto $u_{it} = \eta_i + \varepsilon_{it}$, cuya estructura de covarianzas no es esférica (hay correlación perfecta entre los errores del mismo país en distintos periodos, dada por $\text{Cov}(u_{it}, u_{is}) = \sigma^2_\eta$ para $t \neq s$). El estimador eficiente es </w:t>
      </w:r>
      <w:r>
        <w:rPr>
          <w:rFonts w:ascii="Times New Roman" w:hAnsi="Times New Roman" w:cs="Times New Roman"/>
          <w:rFonts w:ascii="Times New Roman" w:hAnsi="Times New Roman"/>
          <w:b/>
          <w:i w:val="0"/>
          <w:sz w:val="24"/>
        </w:rPr>
        <w:t>GLS</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Generalized Least Squares</w:t>
      </w:r>
      <w:r>
        <w:rPr>
          <w:rFonts w:ascii="Times New Roman" w:hAnsi="Times New Roman" w:cs="Times New Roman"/>
          <w:rFonts w:ascii="Times New Roman" w:hAnsi="Times New Roman"/>
          <w:b w:val="0"/>
          <w:i w:val="0"/>
          <w:sz w:val="24"/>
        </w:rPr>
        <w:t xml:space="preserve">), que en la práctica se implementa como una combinación ponderada de la variación </w:t>
      </w:r>
      <w:r>
        <w:rPr>
          <w:rFonts w:ascii="Times New Roman" w:hAnsi="Times New Roman" w:cs="Times New Roman"/>
          <w:rFonts w:ascii="Times New Roman" w:hAnsi="Times New Roman"/>
          <w:b w:val="0"/>
          <w:i/>
          <w:sz w:val="24"/>
        </w:rPr>
        <w:t>within</w:t>
      </w:r>
      <w:r>
        <w:rPr>
          <w:rFonts w:ascii="Times New Roman" w:hAnsi="Times New Roman" w:cs="Times New Roman"/>
          <w:rFonts w:ascii="Times New Roman" w:hAnsi="Times New Roman"/>
          <w:b w:val="0"/>
          <w:i w:val="0"/>
          <w:sz w:val="24"/>
        </w:rPr>
        <w:t xml:space="preserve"> y la variación </w:t>
      </w:r>
      <w:r>
        <w:rPr>
          <w:rFonts w:ascii="Times New Roman" w:hAnsi="Times New Roman" w:cs="Times New Roman"/>
          <w:rFonts w:ascii="Times New Roman" w:hAnsi="Times New Roman"/>
          <w:b w:val="0"/>
          <w:i/>
          <w:sz w:val="24"/>
        </w:rPr>
        <w:t>between</w:t>
      </w:r>
      <w:r>
        <w:rPr>
          <w:rFonts w:ascii="Times New Roman" w:hAnsi="Times New Roman" w:cs="Times New Roman"/>
          <w:rFonts w:ascii="Times New Roman" w:hAnsi="Times New Roman"/>
          <w:b w:val="0"/>
          <w:i w:val="0"/>
          <w:sz w:val="24"/>
        </w:rPr>
        <w:t xml:space="preserve"> (entre países).</w:t>
      </w:r>
    </w:p>
    <w:p>
      <w:pPr/>
      <w:r>
        <w:rPr>
          <w:rFonts w:ascii="Times New Roman" w:hAnsi="Times New Roman" w:cs="Times New Roman"/>
          <w:rFonts w:ascii="Times New Roman" w:hAnsi="Times New Roman"/>
          <w:b w:val="0"/>
          <w:i w:val="0"/>
          <w:sz w:val="24"/>
        </w:rPr>
        <w:t>La ventaja del estimador EA es que aprovecha toda la información del panel —tanto la variación temporal como la variación cross-sectional— y produce estimadores más eficientes que EF cuando el supuesto de no correlación se cumple. Adicionalmente, permite identificar los coeficientes de variables constantes en el tiempo (aunque en este modelo no las hay).</w:t>
      </w:r>
    </w:p>
    <w:p>
      <w:pPr>
        <w:pStyle w:val="Heading3"/>
      </w:pPr>
      <w:r>
        <w:t>6.4.3 Comparación de los dos estimadores</w:t>
      </w:r>
    </w:p>
    <w:p>
      <w:pPr/>
      <w:r>
        <w:rPr>
          <w:rFonts w:ascii="Times New Roman" w:hAnsi="Times New Roman" w:cs="Times New Roman"/>
          <w:rFonts w:ascii="Times New Roman" w:hAnsi="Times New Roman"/>
          <w:b w:val="0"/>
          <w:i w:val="0"/>
          <w:sz w:val="24"/>
        </w:rPr>
        <w:t>La Tabla 6.3 presenta los coeficientes EF y EA de forma paralela, lo que permite verificar visualmente si los dos estimadores producen resultados sustancialmente diferentes — el primer diagnóstico informal de si la correlación entre $\eta_i$ y los regresores es económicamente relevante.</w:t>
      </w:r>
    </w:p>
    <w:p>
      <w:pPr/>
      <w:r>
        <w:rPr>
          <w:rFonts w:ascii="Times New Roman" w:hAnsi="Times New Roman" w:cs="Times New Roman"/>
          <w:rFonts w:ascii="Times New Roman" w:hAnsi="Times New Roman"/>
          <w:b w:val="0"/>
          <w:i w:val="0"/>
          <w:sz w:val="24"/>
        </w:rPr>
        <w:t>Los signos esperados de los coeficientes, derivados del análisis de serie temporal del Capítulo 5, son: $\beta_1 &gt; 0$ (inflación positiva para el oro), $\beta_2 &lt; 0$ (tipos reales negativos, coste de oportunidad), $\beta_3 &gt; 0$ (VIX positivo, demanda de refugio) y $\beta_4 &lt; 0$ (renta variable negativa, sustitución). Si los coeficientes EF y EA difieren sustancialmente en magnitud o signo, es señal de que la correlación entre $\eta_i$ y los regresores es importante, lo que favorece al estimador de EF.</w:t>
      </w:r>
    </w:p>
    <w:p>
      <w:pPr>
        <w:pStyle w:val="Heading2"/>
      </w:pPr>
      <w:r>
        <w:t>6.5 Test de Hausman: ¿efectos fijos o aleatorios?</w:t>
      </w:r>
    </w:p>
    <w:p>
      <w:pPr>
        <w:pStyle w:val="Heading3"/>
      </w:pPr>
      <w:r>
        <w:t>6.5.1 Fundamento del test</w:t>
      </w:r>
    </w:p>
    <w:p>
      <w:pPr/>
      <w:r>
        <w:rPr>
          <w:rFonts w:ascii="Times New Roman" w:hAnsi="Times New Roman" w:cs="Times New Roman"/>
          <w:rFonts w:ascii="Times New Roman" w:hAnsi="Times New Roman"/>
          <w:b w:val="0"/>
          <w:i w:val="0"/>
          <w:sz w:val="24"/>
        </w:rPr>
        <w:t>El contraste de Hausman (1978) proporciona una prueba formal para elegir entre los estimadores de EF y EA. La hipótesis nula es que ambos estimadores son consistentes pero el de EA es más eficiente, lo que solo ocurre si la correlación entre $\eta_i$ y los regresores es cero. La hipótesis alternativa es que el estimador de EA es inconsistente (porque $\eta_i$ está correlacionado con los regresores), mientras que el de EF sigue siendo consistente.</w:t>
      </w:r>
    </w:p>
    <w:p>
      <w:pPr/>
      <w:r>
        <w:rPr>
          <w:rFonts w:ascii="Times New Roman" w:hAnsi="Times New Roman" w:cs="Times New Roman"/>
          <w:rFonts w:ascii="Times New Roman" w:hAnsi="Times New Roman"/>
          <w:b w:val="0"/>
          <w:i w:val="0"/>
          <w:sz w:val="24"/>
        </w:rPr>
        <w:t>El estadístico de Hausman se construye como:</w:t>
      </w:r>
    </w:p>
    <w:p>
      <w:pPr>
        <w:spacing w:before="80" w:after="80"/>
        <w:jc w:val="center"/>
      </w:pPr>
      <w:r>
        <w:rPr>
          <w:rFonts w:ascii="Times New Roman" w:hAnsi="Times New Roman" w:cs="Times New Roman"/>
          <w:rFonts w:ascii="Times New Roman" w:hAnsi="Times New Roman"/>
          <w:b w:val="0"/>
          <w:i/>
          <w:sz w:val="24"/>
        </w:rPr>
        <w:t>H = (\hat{\beta}_{EF} - \hat{\beta}_{EA})' \left[\widehat{V}(\hat{\beta}_{EF}) - \widehat{V}(\hat{\beta}_{EA})\right]^{-1} (\hat{\beta}_{EF} - \hat{\beta}_{EA}) \sim \chi^2_k</w:t>
      </w:r>
    </w:p>
    <w:p>
      <w:pPr/>
      <w:r>
        <w:rPr>
          <w:rFonts w:ascii="Times New Roman" w:hAnsi="Times New Roman" w:cs="Times New Roman"/>
          <w:rFonts w:ascii="Times New Roman" w:hAnsi="Times New Roman"/>
          <w:b w:val="0"/>
          <w:i w:val="0"/>
          <w:sz w:val="24"/>
        </w:rPr>
        <w:t>donde $k$ es el número de regresores que varían en el tiempo y $\widehat{V}(\cdot)$ es la matriz de varianza-covarianza estimada de cada estimador. Bajo $H_0$, $H$ sigue asintóticamente una distribución $\chi^2$ con $k$ grados de libertad. Un p-valor inferior al 5% lleva al rechazo de $H_0$ y a la elección del estimador de EF.</w:t>
      </w:r>
    </w:p>
    <w:p>
      <w:pPr>
        <w:pStyle w:val="Heading3"/>
      </w:pPr>
      <w:r>
        <w:t>6.5.2 Resultado e interpretación económica</w:t>
      </w:r>
    </w:p>
    <w:p>
      <w:pPr/>
      <w:r>
        <w:rPr>
          <w:rFonts w:ascii="Times New Roman" w:hAnsi="Times New Roman" w:cs="Times New Roman"/>
          <w:rFonts w:ascii="Times New Roman" w:hAnsi="Times New Roman"/>
          <w:b w:val="0"/>
          <w:i w:val="0"/>
          <w:sz w:val="24"/>
        </w:rPr>
        <w:t xml:space="preserve">La intuición económica del resultado esperado es directa: los efectos individuales $\eta_i$ de cada economía incluyen factores como la cultura local de inversión en oro, el historial de inflación del banco central o la dependencia estructural de la economía del sistema financiero en dólares. Estos factores están plausiblemente correlacionados con las variables explicativas del modelo —especialmente con la inflación local y los tipos de interés reales, que son en parte consecuencia de esas características estructurales de cada economía. Si el test confirma esta correlación, los </w:t>
      </w:r>
      <w:r>
        <w:rPr>
          <w:rFonts w:ascii="Times New Roman" w:hAnsi="Times New Roman" w:cs="Times New Roman"/>
          <w:rFonts w:ascii="Times New Roman" w:hAnsi="Times New Roman"/>
          <w:b/>
          <w:i w:val="0"/>
          <w:sz w:val="24"/>
        </w:rPr>
        <w:t>efectos fijos</w:t>
      </w:r>
      <w:r>
        <w:rPr>
          <w:rFonts w:ascii="Times New Roman" w:hAnsi="Times New Roman" w:cs="Times New Roman"/>
          <w:rFonts w:ascii="Times New Roman" w:hAnsi="Times New Roman"/>
          <w:b w:val="0"/>
          <w:i w:val="0"/>
          <w:sz w:val="24"/>
        </w:rPr>
        <w:t xml:space="preserve"> son el estimador preferido.</w:t>
      </w:r>
    </w:p>
    <w:p>
      <w:pPr>
        <w:pStyle w:val="Heading2"/>
      </w:pPr>
      <w:r>
        <w:t>6.6 Resultados e interpretación cross-country</w:t>
      </w:r>
    </w:p>
    <w:p>
      <w:pPr>
        <w:pStyle w:val="Heading3"/>
      </w:pPr>
      <w:r>
        <w:t>6.6.1 Tabla principal de resultados</w:t>
      </w:r>
    </w:p>
    <w:p>
      <w:pPr/>
      <w:r>
        <w:rPr>
          <w:rFonts w:ascii="Times New Roman" w:hAnsi="Times New Roman" w:cs="Times New Roman"/>
          <w:rFonts w:ascii="Times New Roman" w:hAnsi="Times New Roman"/>
          <w:b w:val="0"/>
          <w:i w:val="0"/>
          <w:sz w:val="24"/>
        </w:rPr>
        <w:t>La tabla presenta los coeficientes del modelo preferido con errores estándar robustos a heterocedasticidad y autocorrelación de los residuos (errores de Driscoll-Kraay, que son válidos bajo dependencia transversal y temporal simultánea en paneles de series temporales).</w:t>
      </w:r>
    </w:p>
    <w:p>
      <w:pPr>
        <w:pStyle w:val="Heading3"/>
      </w:pPr>
      <w:r>
        <w:t>6.6.2 Coeficiente de inflación: ¿es el oro un *hedge* universal?</w:t>
      </w:r>
    </w:p>
    <w:p>
      <w:pPr/>
      <w:r>
        <w:rPr>
          <w:rFonts w:ascii="Times New Roman" w:hAnsi="Times New Roman" w:cs="Times New Roman"/>
          <w:rFonts w:ascii="Times New Roman" w:hAnsi="Times New Roman"/>
          <w:b w:val="0"/>
          <w:i w:val="0"/>
          <w:sz w:val="24"/>
        </w:rPr>
        <w:t>El coeficiente $\hat{\beta}_1$ sobre la inflación local prueba si el oro protege contra la pérdida de poder adquisitivo en todas las economías del panel, más allá del caso específico estadounidense. Un $\hat{\beta}_1 &gt; 0$ estadísticamente significativo en el panel implicaría que el oro sí cumple una función de cobertura inflacionaria a escala global —aunque, como advirtieron Erb y Harvey (2013) en el contexto de series temporales, esta relación puede ser débil e inestable.</w:t>
      </w:r>
    </w:p>
    <w:p>
      <w:pPr/>
      <w:r>
        <w:rPr>
          <w:rFonts w:ascii="Times New Roman" w:hAnsi="Times New Roman" w:cs="Times New Roman"/>
          <w:rFonts w:ascii="Times New Roman" w:hAnsi="Times New Roman"/>
          <w:b w:val="0"/>
          <w:i w:val="0"/>
          <w:sz w:val="24"/>
        </w:rPr>
        <w:t xml:space="preserve">La comparación entre el coeficiente de EF (que usa solo variación temporal </w:t>
      </w:r>
      <w:r>
        <w:rPr>
          <w:rFonts w:ascii="Times New Roman" w:hAnsi="Times New Roman" w:cs="Times New Roman"/>
          <w:rFonts w:ascii="Times New Roman" w:hAnsi="Times New Roman"/>
          <w:b w:val="0"/>
          <w:i/>
          <w:sz w:val="24"/>
        </w:rPr>
        <w:t>within</w:t>
      </w:r>
      <w:r>
        <w:rPr>
          <w:rFonts w:ascii="Times New Roman" w:hAnsi="Times New Roman" w:cs="Times New Roman"/>
          <w:rFonts w:ascii="Times New Roman" w:hAnsi="Times New Roman"/>
          <w:b w:val="0"/>
          <w:i w:val="0"/>
          <w:sz w:val="24"/>
        </w:rPr>
        <w:t xml:space="preserve"> de cada economía) y el de EA (que también incorpora la variación </w:t>
      </w:r>
      <w:r>
        <w:rPr>
          <w:rFonts w:ascii="Times New Roman" w:hAnsi="Times New Roman" w:cs="Times New Roman"/>
          <w:rFonts w:ascii="Times New Roman" w:hAnsi="Times New Roman"/>
          <w:b w:val="0"/>
          <w:i/>
          <w:sz w:val="24"/>
        </w:rPr>
        <w:t>between</w:t>
      </w:r>
      <w:r>
        <w:rPr>
          <w:rFonts w:ascii="Times New Roman" w:hAnsi="Times New Roman" w:cs="Times New Roman"/>
          <w:rFonts w:ascii="Times New Roman" w:hAnsi="Times New Roman"/>
          <w:b w:val="0"/>
          <w:i w:val="0"/>
          <w:sz w:val="24"/>
        </w:rPr>
        <w:t xml:space="preserve"> países) permite además separar si la relación oro-inflación es más un fenómeno de largo plazo estructural entre economías o un fenómeno de ajuste dinámico dentro de cada una.</w:t>
      </w:r>
    </w:p>
    <w:p>
      <w:pPr>
        <w:pStyle w:val="Heading3"/>
      </w:pPr>
      <w:r>
        <w:t>6.6.3 Coeficiente de tipos reales: universalidad del mecanismo de coste de oportunidad</w:t>
      </w:r>
    </w:p>
    <w:p>
      <w:pPr/>
      <w:r>
        <w:rPr>
          <w:rFonts w:ascii="Times New Roman" w:hAnsi="Times New Roman" w:cs="Times New Roman"/>
          <w:rFonts w:ascii="Times New Roman" w:hAnsi="Times New Roman"/>
          <w:b w:val="0"/>
          <w:i w:val="0"/>
          <w:sz w:val="24"/>
        </w:rPr>
        <w:t>El coeficiente $\hat{\beta}_2$ sobre el tipo real local es la contraparte cross-country del hallazgo central del Capítulo 5. Si $\hat{\beta}_2 &lt; 0$ de forma consistente en todas las economías —confirmado tanto por EF como por EA— se establece que el mecanismo de coste de oportunidad opera universalmente: no es una idiosincrasia del mercado del Tesoro estadounidense, sino una propiedad estructural del oro como activo global sin rendimiento corriente.</w:t>
      </w:r>
    </w:p>
    <w:p>
      <w:pPr/>
      <w:r>
        <w:rPr>
          <w:rFonts w:ascii="Times New Roman" w:hAnsi="Times New Roman" w:cs="Times New Roman"/>
          <w:rFonts w:ascii="Times New Roman" w:hAnsi="Times New Roman"/>
          <w:b w:val="0"/>
          <w:i w:val="0"/>
          <w:sz w:val="24"/>
        </w:rPr>
        <w:t>Una divergencia interesante a observar es la comparación entre Japón —cuya economía lleva décadas con tipos nominales próximos a cero y tipos reales que han variado menos que en EE.UU.— y los países anglosajones, donde la señal del tipo real ha sido históricamente más potente.</w:t>
      </w:r>
    </w:p>
    <w:p>
      <w:pPr>
        <w:pStyle w:val="Heading3"/>
      </w:pPr>
      <w:r>
        <w:t>6.6.4 Coeficiente del VIX: ¿refugio global o refugio occidental?</w:t>
      </w:r>
    </w:p>
    <w:p>
      <w:pPr/>
      <w:r>
        <w:rPr>
          <w:rFonts w:ascii="Times New Roman" w:hAnsi="Times New Roman" w:cs="Times New Roman"/>
          <w:rFonts w:ascii="Times New Roman" w:hAnsi="Times New Roman"/>
          <w:b w:val="0"/>
          <w:i w:val="0"/>
          <w:sz w:val="24"/>
        </w:rPr>
        <w:t>El VIX es la única variable común a todas las economías del panel, lo que significa que su coeficiente captura el efecto promedio de la volatilidad financiera global sobre el retorno del oro en moneda local. Un $\hat{\beta}_3 &gt; 0$ confirmaría que el oro actúa como refugio no solo para inversores estadounidenses o europeos, sino también para los japoneses y británicos cuando los mercados globales entran en pánico.</w:t>
      </w:r>
    </w:p>
    <w:p>
      <w:pPr/>
      <w:r>
        <w:rPr>
          <w:rFonts w:ascii="Times New Roman" w:hAnsi="Times New Roman" w:cs="Times New Roman"/>
          <w:rFonts w:ascii="Times New Roman" w:hAnsi="Times New Roman"/>
          <w:b w:val="0"/>
          <w:i w:val="0"/>
          <w:sz w:val="24"/>
        </w:rPr>
        <w:t xml:space="preserve">Este resultado conecta directamente con el debate de Baur y McDermott (2010) sobre la universalidad del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del oro. En su muestra (1979-2009), el safe haven era robusto para EE.UU. y Europa pero no para BRIC. Este panel, con datos hasta 2024 y centrado en economías avanzadas, permite actualizar esa evidencia.</w:t>
      </w:r>
    </w:p>
    <w:p>
      <w:pPr>
        <w:pStyle w:val="Heading3"/>
      </w:pPr>
      <w:r>
        <w:t>6.6.5 Heterogeneidad no observada: ¿qué capturan los efectos individuales?</w:t>
      </w:r>
    </w:p>
    <w:p>
      <w:pPr/>
      <w:r>
        <w:rPr>
          <w:rFonts w:ascii="Times New Roman" w:hAnsi="Times New Roman" w:cs="Times New Roman"/>
          <w:rFonts w:ascii="Times New Roman" w:hAnsi="Times New Roman"/>
          <w:b w:val="0"/>
          <w:i w:val="0"/>
          <w:sz w:val="24"/>
        </w:rPr>
        <w:t xml:space="preserve">Si el estimador de EF es el preferido por el test de Hausman, los efectos fijos estimados $\hat{\eta}_i$ revelan la heterogeneidad inobservable entre economías una vez controlado por las variables explicativas. Una economía con $\hat{\eta}_i &gt; 0$ exhibe retornos del oro sistemáticamente superiores a los de la muestra, </w:t>
      </w:r>
      <w:r>
        <w:rPr>
          <w:rFonts w:ascii="Times New Roman" w:hAnsi="Times New Roman" w:cs="Times New Roman"/>
          <w:rFonts w:ascii="Times New Roman" w:hAnsi="Times New Roman"/>
          <w:b w:val="0"/>
          <w:i/>
          <w:sz w:val="24"/>
        </w:rPr>
        <w:t>ceteris paribus</w:t>
      </w:r>
      <w:r>
        <w:rPr>
          <w:rFonts w:ascii="Times New Roman" w:hAnsi="Times New Roman" w:cs="Times New Roman"/>
          <w:rFonts w:ascii="Times New Roman" w:hAnsi="Times New Roman"/>
          <w:b w:val="0"/>
          <w:i w:val="0"/>
          <w:sz w:val="24"/>
        </w:rPr>
        <w:t>, lo que puede reflejar una demanda estructural de oro más elevada en esa economía (por razones culturales, históricas o de política de reservas) que las variables del modelo no capturan.</w:t>
      </w:r>
    </w:p>
    <w:p>
      <w:pPr>
        <w:pStyle w:val="Heading2"/>
      </w:pPr>
      <w:r>
        <w:t>6.7 Síntesis: ¿qué añade el análisis de panel?</w:t>
      </w:r>
    </w:p>
    <w:p>
      <w:pPr/>
      <w:r>
        <w:rPr>
          <w:rFonts w:ascii="Times New Roman" w:hAnsi="Times New Roman" w:cs="Times New Roman"/>
          <w:rFonts w:ascii="Times New Roman" w:hAnsi="Times New Roman"/>
          <w:b w:val="0"/>
          <w:i w:val="0"/>
          <w:sz w:val="24"/>
        </w:rPr>
        <w:t>El análisis de panel de este capítulo complementa y extiende los resultados del Capítulo 5 en tres dimensiones: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Valida la </w:t>
      </w:r>
      <w:r>
        <w:rPr>
          <w:rFonts w:ascii="Times New Roman" w:hAnsi="Times New Roman" w:cs="Times New Roman"/>
          <w:rFonts w:ascii="Times New Roman" w:hAnsi="Times New Roman"/>
          <w:b/>
          <w:i w:val="0"/>
          <w:sz w:val="24"/>
        </w:rPr>
        <w:t>universalidad</w:t>
      </w:r>
      <w:r>
        <w:rPr>
          <w:rFonts w:ascii="Times New Roman" w:hAnsi="Times New Roman" w:cs="Times New Roman"/>
          <w:rFonts w:ascii="Times New Roman" w:hAnsi="Times New Roman"/>
          <w:b w:val="0"/>
          <w:i w:val="0"/>
          <w:sz w:val="24"/>
        </w:rPr>
        <w:t xml:space="preserve"> de los mecanismos identificados en el análisis de serie temporal. Si los coeficientes del tipo real y de la inflación tienen el signo teórico esperado y son estadísticamente significativos en las cuatro economías, los resultados del Capítulo 5 no son un artefacto de los datos estadounidenses sino una regularidad empírica de carácter general.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Cuantifica la </w:t>
      </w:r>
      <w:r>
        <w:rPr>
          <w:rFonts w:ascii="Times New Roman" w:hAnsi="Times New Roman" w:cs="Times New Roman"/>
          <w:rFonts w:ascii="Times New Roman" w:hAnsi="Times New Roman"/>
          <w:b/>
          <w:i w:val="0"/>
          <w:sz w:val="24"/>
        </w:rPr>
        <w:t>heterogeneidad inobservable</w:t>
      </w:r>
      <w:r>
        <w:rPr>
          <w:rFonts w:ascii="Times New Roman" w:hAnsi="Times New Roman" w:cs="Times New Roman"/>
          <w:rFonts w:ascii="Times New Roman" w:hAnsi="Times New Roman"/>
          <w:b w:val="0"/>
          <w:i w:val="0"/>
          <w:sz w:val="24"/>
        </w:rPr>
        <w:t xml:space="preserve"> entre economías. Los efectos fijos (o la variación </w:t>
      </w:r>
      <w:r>
        <w:rPr>
          <w:rFonts w:ascii="Times New Roman" w:hAnsi="Times New Roman" w:cs="Times New Roman"/>
          <w:rFonts w:ascii="Times New Roman" w:hAnsi="Times New Roman"/>
          <w:b w:val="0"/>
          <w:i/>
          <w:sz w:val="24"/>
        </w:rPr>
        <w:t>between</w:t>
      </w:r>
      <w:r>
        <w:rPr>
          <w:rFonts w:ascii="Times New Roman" w:hAnsi="Times New Roman" w:cs="Times New Roman"/>
          <w:rFonts w:ascii="Times New Roman" w:hAnsi="Times New Roman"/>
          <w:b w:val="0"/>
          <w:i w:val="0"/>
          <w:sz w:val="24"/>
        </w:rPr>
        <w:t xml:space="preserve"> en el modelo de EA) revelan que no todas las economías responden al oro de la misma forma, incluso controlando por inflación, tipos reales, VIX y renta variable. Esta heterogeneidad es informativa sobre los factores estructurales que la econometría de serie temporal no puede capturar por estar centrada en una única economía.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Responde a la pregunta de investigación desde la perspectiva metodológica de los datos de panel, permitiendo explotar simultáneamente la variación temporal (2000-2024) y la variación cross-country (cuatro economías), con un marco estadístico que controla explícitamente por la heterogeneidad inobservable mediante el estimador de efectos fijos.</w:t>
      </w:r>
    </w:p>
    <w:p>
      <w:r>
        <w:br w:type="page"/>
      </w:r>
    </w:p>
    <w:p>
      <w:pPr>
        <w:pStyle w:val="Heading1"/>
      </w:pPr>
      <w:r>
        <w:t>Capítulo 7: Extensión predictiva con Machine Learning</w:t>
      </w:r>
    </w:p>
    <w:p>
      <w:pPr>
        <w:spacing w:after="80"/>
        <w:ind w:left="567"/>
      </w:pPr>
      <w:r>
        <w:rPr>
          <w:rFonts w:ascii="Times New Roman" w:hAnsi="Times New Roman" w:cs="Times New Roman"/>
          <w:rFonts w:ascii="Times New Roman" w:hAnsi="Times New Roman"/>
          <w:b w:val="0"/>
          <w:i/>
          <w:sz w:val="22"/>
        </w:rPr>
        <w:t>Nota metodológica:* Este capítulo implementa modelos de machine learning como extensión complementaria al análisis econométrico de los Capítulos 5 y 6. Las técnicas aquí aplicadas —gradient boosting, random forests y redes neuronales recurrentes— van más allá del temario del curso de Econometría III, pero se incluyen porque aportan una perspectiva predictiva que contrasta directamente con la econometría clásica y enriquece la respuesta a la tercera pregunta de investigación del trabajo.</w:t>
      </w:r>
    </w:p>
    <w:p>
      <w:pPr>
        <w:pStyle w:val="Heading2"/>
      </w:pPr>
      <w:r>
        <w:t>7.1 Motivación y enfoque</w:t>
      </w:r>
    </w:p>
    <w:p>
      <w:pPr/>
      <w:r>
        <w:rPr>
          <w:rFonts w:ascii="Times New Roman" w:hAnsi="Times New Roman" w:cs="Times New Roman"/>
          <w:rFonts w:ascii="Times New Roman" w:hAnsi="Times New Roman"/>
          <w:b w:val="0"/>
          <w:i w:val="0"/>
          <w:sz w:val="24"/>
        </w:rPr>
        <w:t xml:space="preserve">Los modelos econométricos del Capítulo 5 identifican relaciones estructurales de largo plazo entre el oro y sus determinantes. Sin embargo, los modelos lineales presentan limitaciones cuando las relaciones son no lineales, cuando los efectos de régimen son importantes, o cuando el interés es la predicción de corto plazo. El machine learning ofrece una perspectiva complementaria: en lugar de partir de relaciones teóricas </w:t>
      </w:r>
      <w:r>
        <w:rPr>
          <w:rFonts w:ascii="Times New Roman" w:hAnsi="Times New Roman" w:cs="Times New Roman"/>
          <w:rFonts w:ascii="Times New Roman" w:hAnsi="Times New Roman"/>
          <w:b w:val="0"/>
          <w:i/>
          <w:sz w:val="24"/>
        </w:rPr>
        <w:t>a priori</w:t>
      </w:r>
      <w:r>
        <w:rPr>
          <w:rFonts w:ascii="Times New Roman" w:hAnsi="Times New Roman" w:cs="Times New Roman"/>
          <w:rFonts w:ascii="Times New Roman" w:hAnsi="Times New Roman"/>
          <w:b w:val="0"/>
          <w:i w:val="0"/>
          <w:sz w:val="24"/>
        </w:rPr>
        <w:t>, los algoritmos aprenden patrones directamente de los datos, capturando no linealidades sin especificación manual.</w:t>
      </w:r>
    </w:p>
    <w:p>
      <w:pPr/>
      <w:r>
        <w:rPr>
          <w:rFonts w:ascii="Times New Roman" w:hAnsi="Times New Roman" w:cs="Times New Roman"/>
          <w:rFonts w:ascii="Times New Roman" w:hAnsi="Times New Roman"/>
          <w:b w:val="0"/>
          <w:i w:val="0"/>
          <w:sz w:val="24"/>
        </w:rPr>
        <w:t xml:space="preserve">Este capítulo implementa tres arquitecturas: </w:t>
      </w:r>
      <w:r>
        <w:rPr>
          <w:rFonts w:ascii="Times New Roman" w:hAnsi="Times New Roman" w:cs="Times New Roman"/>
          <w:rFonts w:ascii="Times New Roman" w:hAnsi="Times New Roman"/>
          <w:b/>
          <w:i w:val="0"/>
          <w:sz w:val="24"/>
        </w:rPr>
        <w:t>XGBoost</w:t>
      </w:r>
      <w:r>
        <w:rPr>
          <w:rFonts w:ascii="Times New Roman" w:hAnsi="Times New Roman" w:cs="Times New Roman"/>
          <w:rFonts w:ascii="Times New Roman" w:hAnsi="Times New Roman"/>
          <w:b w:val="0"/>
          <w:i w:val="0"/>
          <w:sz w:val="24"/>
        </w:rPr>
        <w:t xml:space="preserve"> (gradient boosting sobre árboles), </w:t>
      </w:r>
      <w:r>
        <w:rPr>
          <w:rFonts w:ascii="Times New Roman" w:hAnsi="Times New Roman" w:cs="Times New Roman"/>
          <w:rFonts w:ascii="Times New Roman" w:hAnsi="Times New Roman"/>
          <w:b/>
          <w:i w:val="0"/>
          <w:sz w:val="24"/>
        </w:rPr>
        <w:t>Random Forest</w:t>
      </w:r>
      <w:r>
        <w:rPr>
          <w:rFonts w:ascii="Times New Roman" w:hAnsi="Times New Roman" w:cs="Times New Roman"/>
          <w:rFonts w:ascii="Times New Roman" w:hAnsi="Times New Roman"/>
          <w:b w:val="0"/>
          <w:i w:val="0"/>
          <w:sz w:val="24"/>
        </w:rPr>
        <w:t xml:space="preserve"> (conjunto de árboles independientes) y </w:t>
      </w:r>
      <w:r>
        <w:rPr>
          <w:rFonts w:ascii="Times New Roman" w:hAnsi="Times New Roman" w:cs="Times New Roman"/>
          <w:rFonts w:ascii="Times New Roman" w:hAnsi="Times New Roman"/>
          <w:b/>
          <w:i w:val="0"/>
          <w:sz w:val="24"/>
        </w:rPr>
        <w:t>LSTM</w:t>
      </w:r>
      <w:r>
        <w:rPr>
          <w:rFonts w:ascii="Times New Roman" w:hAnsi="Times New Roman" w:cs="Times New Roman"/>
          <w:rFonts w:ascii="Times New Roman" w:hAnsi="Times New Roman"/>
          <w:b w:val="0"/>
          <w:i w:val="0"/>
          <w:sz w:val="24"/>
        </w:rPr>
        <w:t xml:space="preserve"> (red neuronal recurrente con memoria de largo-corto plazo). Todos se evalúan con el mismo protocolo de validación temporal </w:t>
      </w:r>
      <w:r>
        <w:rPr>
          <w:rFonts w:ascii="Times New Roman" w:hAnsi="Times New Roman" w:cs="Times New Roman"/>
          <w:rFonts w:ascii="Times New Roman" w:hAnsi="Times New Roman"/>
          <w:b w:val="0"/>
          <w:i/>
          <w:sz w:val="24"/>
        </w:rPr>
        <w:t>walk-forward</w:t>
      </w:r>
      <w:r>
        <w:rPr>
          <w:rFonts w:ascii="Times New Roman" w:hAnsi="Times New Roman" w:cs="Times New Roman"/>
          <w:rFonts w:ascii="Times New Roman" w:hAnsi="Times New Roman"/>
          <w:b w:val="0"/>
          <w:i w:val="0"/>
          <w:sz w:val="24"/>
        </w:rPr>
        <w:t>, que replica la situación real de un inversor que solo dispone de información pasada en cada momento de predicción.</w:t>
      </w:r>
    </w:p>
    <w:p>
      <w:pPr>
        <w:pStyle w:val="Heading2"/>
      </w:pPr>
      <w:r>
        <w:t>7.2 Datos y características</w:t>
      </w:r>
    </w:p>
    <w:p>
      <w:pPr/>
      <w:r>
        <w:rPr>
          <w:rFonts w:ascii="Times New Roman" w:hAnsi="Times New Roman" w:cs="Times New Roman"/>
          <w:rFonts w:ascii="Times New Roman" w:hAnsi="Times New Roman"/>
          <w:b w:val="0"/>
          <w:i w:val="0"/>
          <w:sz w:val="24"/>
        </w:rPr>
        <w:t>La matriz de características se construye a partir de las 312 observaciones mensuales del dataset maestro (enero 2000 — diciembre 2025), con las siguientes transformaciones:</w:t>
      </w:r>
    </w:p>
    <w:p>
      <w:pP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i w:val="0"/>
          <w:sz w:val="24"/>
        </w:rPr>
        <w:t>Retornos logarítmicos</w:t>
      </w:r>
      <w:r>
        <w:rPr>
          <w:rFonts w:ascii="Times New Roman" w:hAnsi="Times New Roman" w:cs="Times New Roman"/>
          <w:rFonts w:ascii="Times New Roman" w:hAnsi="Times New Roman"/>
          <w:b w:val="0"/>
          <w:i w:val="0"/>
          <w:sz w:val="24"/>
        </w:rPr>
        <w:t xml:space="preserve"> para variables de precio no estacionarias (DXY, WTI, S&amp;P 500) - </w:t>
      </w:r>
      <w:r>
        <w:rPr>
          <w:rFonts w:ascii="Times New Roman" w:hAnsi="Times New Roman" w:cs="Times New Roman"/>
          <w:rFonts w:ascii="Times New Roman" w:hAnsi="Times New Roman"/>
          <w:b/>
          <w:i w:val="0"/>
          <w:sz w:val="24"/>
        </w:rPr>
        <w:t>Niveles</w:t>
      </w:r>
      <w:r>
        <w:rPr>
          <w:rFonts w:ascii="Times New Roman" w:hAnsi="Times New Roman" w:cs="Times New Roman"/>
          <w:rFonts w:ascii="Times New Roman" w:hAnsi="Times New Roman"/>
          <w:b w:val="0"/>
          <w:i w:val="0"/>
          <w:sz w:val="24"/>
        </w:rPr>
        <w:t xml:space="preserve"> para variables ya estacionarias (TIPS, VIX, CPI, Breakeven) - </w:t>
      </w:r>
      <w:r>
        <w:rPr>
          <w:rFonts w:ascii="Times New Roman" w:hAnsi="Times New Roman" w:cs="Times New Roman"/>
          <w:rFonts w:ascii="Times New Roman" w:hAnsi="Times New Roman"/>
          <w:b/>
          <w:i w:val="0"/>
          <w:sz w:val="24"/>
        </w:rPr>
        <w:t>Retardos 1, 2, 3</w:t>
      </w:r>
      <w:r>
        <w:rPr>
          <w:rFonts w:ascii="Times New Roman" w:hAnsi="Times New Roman" w:cs="Times New Roman"/>
          <w:rFonts w:ascii="Times New Roman" w:hAnsi="Times New Roman"/>
          <w:b w:val="0"/>
          <w:i w:val="0"/>
          <w:sz w:val="24"/>
        </w:rPr>
        <w:t xml:space="preserve"> de cada variable para capturar dependencias temporales (sin look-ahead bias) - </w:t>
      </w:r>
      <w:r>
        <w:rPr>
          <w:rFonts w:ascii="Times New Roman" w:hAnsi="Times New Roman" w:cs="Times New Roman"/>
          <w:rFonts w:ascii="Times New Roman" w:hAnsi="Times New Roman"/>
          <w:b/>
          <w:i w:val="0"/>
          <w:sz w:val="24"/>
        </w:rPr>
        <w:t>Momentum del oro</w:t>
      </w:r>
      <w:r>
        <w:rPr>
          <w:rFonts w:ascii="Times New Roman" w:hAnsi="Times New Roman" w:cs="Times New Roman"/>
          <w:rFonts w:ascii="Times New Roman" w:hAnsi="Times New Roman"/>
          <w:b w:val="0"/>
          <w:i w:val="0"/>
          <w:sz w:val="24"/>
        </w:rPr>
        <w:t xml:space="preserve">: media móvil de retornos (3 y 6 meses) y volatilidad realizada (3 meses) - </w:t>
      </w:r>
      <w:r>
        <w:rPr>
          <w:rFonts w:ascii="Times New Roman" w:hAnsi="Times New Roman" w:cs="Times New Roman"/>
          <w:rFonts w:ascii="Times New Roman" w:hAnsi="Times New Roman"/>
          <w:b/>
          <w:i w:val="0"/>
          <w:sz w:val="24"/>
        </w:rPr>
        <w:t>Dummy de régimen</w:t>
      </w:r>
      <w:r>
        <w:rPr>
          <w:rFonts w:ascii="Times New Roman" w:hAnsi="Times New Roman" w:cs="Times New Roman"/>
          <w:rFonts w:ascii="Times New Roman" w:hAnsi="Times New Roman"/>
          <w:b w:val="0"/>
          <w:i w:val="0"/>
          <w:sz w:val="24"/>
        </w:rPr>
        <w:t>: variable binaria (`is_crisis`) para los cinco episodios históricos</w:t>
      </w:r>
    </w:p>
    <w:p>
      <w:pPr/>
      <w:r>
        <w:rPr>
          <w:rFonts w:ascii="Times New Roman" w:hAnsi="Times New Roman" w:cs="Times New Roman"/>
          <w:rFonts w:ascii="Times New Roman" w:hAnsi="Times New Roman"/>
          <w:b w:val="0"/>
          <w:i w:val="0"/>
          <w:sz w:val="24"/>
        </w:rPr>
        <w:t xml:space="preserve">La matriz resultante tiene </w:t>
      </w:r>
      <w:r>
        <w:rPr>
          <w:rFonts w:ascii="Times New Roman" w:hAnsi="Times New Roman" w:cs="Times New Roman"/>
          <w:rFonts w:ascii="Times New Roman" w:hAnsi="Times New Roman"/>
          <w:b/>
          <w:i w:val="0"/>
          <w:sz w:val="24"/>
        </w:rPr>
        <w:t>35 características</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i w:val="0"/>
          <w:sz w:val="24"/>
        </w:rPr>
        <w:t>271 observaciones efectivas</w:t>
      </w:r>
      <w:r>
        <w:rPr>
          <w:rFonts w:ascii="Times New Roman" w:hAnsi="Times New Roman" w:cs="Times New Roman"/>
          <w:rFonts w:ascii="Times New Roman" w:hAnsi="Times New Roman"/>
          <w:b w:val="0"/>
          <w:i w:val="0"/>
          <w:sz w:val="24"/>
        </w:rPr>
        <w:t xml:space="preserve"> (tras eliminar los NaN iniciales por los retardos). El reparto de la muestra se resume en la Tabla 7.1.</w:t>
      </w:r>
    </w:p>
    <w:tbl>
      <w:tblPr>
        <w:tblStyle w:val="TableGrid"/>
        <w:tblW w:type="auto" w:w="0"/>
        <w:tblLook w:firstColumn="1" w:firstRow="1" w:lastColumn="0" w:lastRow="0" w:noHBand="0" w:noVBand="1" w:val="04A0"/>
      </w:tblPr>
      <w:tblGrid>
        <w:gridCol w:w="4252"/>
        <w:gridCol w:w="4252"/>
      </w:tblGrid>
      <w:tr>
        <w:tc>
          <w:tcPr>
            <w:tcW w:type="dxa" w:w="4252"/>
          </w:tcPr>
          <w:p>
            <w:pPr>
              <w:spacing w:line="240" w:lineRule="auto"/>
              <w:jc w:val="center"/>
            </w:pPr>
            <w:r/>
            <w:r>
              <w:rPr>
                <w:rFonts w:ascii="Times New Roman" w:hAnsi="Times New Roman" w:cs="Times New Roman"/>
                <w:rFonts w:ascii="Times New Roman" w:hAnsi="Times New Roman"/>
                <w:b/>
                <w:i w:val="0"/>
                <w:sz w:val="20"/>
              </w:rPr>
              <w:t>Concepto</w:t>
            </w:r>
          </w:p>
        </w:tc>
        <w:tc>
          <w:tcPr>
            <w:tcW w:type="dxa" w:w="4252"/>
          </w:tcPr>
          <w:p>
            <w:pPr>
              <w:spacing w:line="240" w:lineRule="auto"/>
              <w:jc w:val="center"/>
            </w:pPr>
            <w:r/>
            <w:r>
              <w:rPr>
                <w:rFonts w:ascii="Times New Roman" w:hAnsi="Times New Roman" w:cs="Times New Roman"/>
                <w:rFonts w:ascii="Times New Roman" w:hAnsi="Times New Roman"/>
                <w:b/>
                <w:i w:val="0"/>
                <w:sz w:val="20"/>
              </w:rPr>
              <w:t>Valor</w:t>
            </w:r>
          </w:p>
        </w:tc>
      </w:tr>
      <w:tr>
        <w:tc>
          <w:tcPr>
            <w:tcW w:type="dxa" w:w="4252"/>
          </w:tcPr>
          <w:p>
            <w:pPr>
              <w:spacing w:line="240" w:lineRule="auto"/>
            </w:pPr>
            <w:r/>
            <w:r>
              <w:rPr>
                <w:rFonts w:ascii="Times New Roman" w:hAnsi="Times New Roman" w:cs="Times New Roman"/>
                <w:rFonts w:ascii="Times New Roman" w:hAnsi="Times New Roman"/>
                <w:b w:val="0"/>
                <w:i w:val="0"/>
                <w:sz w:val="20"/>
              </w:rPr>
              <w:t>Período total efectivo</w:t>
            </w:r>
          </w:p>
        </w:tc>
        <w:tc>
          <w:tcPr>
            <w:tcW w:type="dxa" w:w="4252"/>
          </w:tcPr>
          <w:p>
            <w:pPr>
              <w:spacing w:line="240" w:lineRule="auto"/>
            </w:pPr>
            <w:r/>
            <w:r>
              <w:rPr>
                <w:rFonts w:ascii="Times New Roman" w:hAnsi="Times New Roman" w:cs="Times New Roman"/>
                <w:rFonts w:ascii="Times New Roman" w:hAnsi="Times New Roman"/>
                <w:b w:val="0"/>
                <w:i w:val="0"/>
                <w:sz w:val="20"/>
              </w:rPr>
              <w:t>Abril 2003 — Octubre 2025</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de entrenamiento inicial</w:t>
            </w:r>
          </w:p>
        </w:tc>
        <w:tc>
          <w:tcPr>
            <w:tcW w:type="dxa" w:w="4252"/>
          </w:tcPr>
          <w:p>
            <w:pPr>
              <w:spacing w:line="240" w:lineRule="auto"/>
            </w:pPr>
            <w:r/>
            <w:r>
              <w:rPr>
                <w:rFonts w:ascii="Times New Roman" w:hAnsi="Times New Roman" w:cs="Times New Roman"/>
                <w:rFonts w:ascii="Times New Roman" w:hAnsi="Times New Roman"/>
                <w:b w:val="0"/>
                <w:i w:val="0"/>
                <w:sz w:val="20"/>
              </w:rPr>
              <w:t>162 obs. (Abril 2003 — Sept. 2016)</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de test (walk-forward)</w:t>
            </w:r>
          </w:p>
        </w:tc>
        <w:tc>
          <w:tcPr>
            <w:tcW w:type="dxa" w:w="4252"/>
          </w:tcPr>
          <w:p>
            <w:pPr>
              <w:spacing w:line="240" w:lineRule="auto"/>
            </w:pPr>
            <w:r/>
            <w:r>
              <w:rPr>
                <w:rFonts w:ascii="Times New Roman" w:hAnsi="Times New Roman" w:cs="Times New Roman"/>
                <w:rFonts w:ascii="Times New Roman" w:hAnsi="Times New Roman"/>
                <w:b w:val="0"/>
                <w:i w:val="0"/>
                <w:sz w:val="20"/>
              </w:rPr>
              <w:t>109 obs. (Oct. 2016 — Oct. 2025)</w:t>
            </w:r>
          </w:p>
        </w:tc>
      </w:tr>
      <w:tr>
        <w:tc>
          <w:tcPr>
            <w:tcW w:type="dxa" w:w="4252"/>
          </w:tcPr>
          <w:p>
            <w:pPr>
              <w:spacing w:line="240" w:lineRule="auto"/>
            </w:pPr>
            <w:r/>
            <w:r>
              <w:rPr>
                <w:rFonts w:ascii="Times New Roman" w:hAnsi="Times New Roman" w:cs="Times New Roman"/>
                <w:rFonts w:ascii="Times New Roman" w:hAnsi="Times New Roman"/>
                <w:b w:val="0"/>
                <w:i w:val="0"/>
                <w:sz w:val="20"/>
              </w:rPr>
              <w:t>Variable objetivo</w:t>
            </w:r>
          </w:p>
        </w:tc>
        <w:tc>
          <w:tcPr>
            <w:tcW w:type="dxa" w:w="4252"/>
          </w:tcPr>
          <w:p>
            <w:pPr>
              <w:spacing w:line="240" w:lineRule="auto"/>
            </w:pPr>
            <w:r/>
            <w:r>
              <w:rPr>
                <w:rFonts w:ascii="Times New Roman" w:hAnsi="Times New Roman" w:cs="Times New Roman"/>
                <w:rFonts w:ascii="Times New Roman" w:hAnsi="Times New Roman"/>
                <w:b w:val="0"/>
                <w:i w:val="0"/>
                <w:sz w:val="20"/>
              </w:rPr>
              <w:t>Retorno logarítmico mensual del oro (pp)</w:t>
            </w:r>
          </w:p>
        </w:tc>
      </w:tr>
      <w:tr>
        <w:tc>
          <w:tcPr>
            <w:tcW w:type="dxa" w:w="4252"/>
          </w:tcPr>
          <w:p>
            <w:pPr>
              <w:spacing w:line="240" w:lineRule="auto"/>
            </w:pPr>
            <w:r/>
            <w:r>
              <w:rPr>
                <w:rFonts w:ascii="Times New Roman" w:hAnsi="Times New Roman" w:cs="Times New Roman"/>
                <w:rFonts w:ascii="Times New Roman" w:hAnsi="Times New Roman"/>
                <w:b w:val="0"/>
                <w:i w:val="0"/>
                <w:sz w:val="20"/>
              </w:rPr>
              <w:t>Número de características ($p$)</w:t>
            </w:r>
          </w:p>
        </w:tc>
        <w:tc>
          <w:tcPr>
            <w:tcW w:type="dxa" w:w="4252"/>
          </w:tcPr>
          <w:p>
            <w:pPr>
              <w:spacing w:line="240" w:lineRule="auto"/>
            </w:pPr>
            <w:r/>
            <w:r>
              <w:rPr>
                <w:rFonts w:ascii="Times New Roman" w:hAnsi="Times New Roman" w:cs="Times New Roman"/>
                <w:rFonts w:ascii="Times New Roman" w:hAnsi="Times New Roman"/>
                <w:b w:val="0"/>
                <w:i w:val="0"/>
                <w:sz w:val="20"/>
              </w:rPr>
              <w:t>35</w:t>
            </w:r>
          </w:p>
        </w:tc>
      </w:tr>
    </w:tbl>
    <w:p/>
    <w:p>
      <w:pPr>
        <w:pStyle w:val="Heading2"/>
      </w:pPr>
      <w:r>
        <w:t>7.3 Metodología: validación walk-forward</w:t>
      </w:r>
    </w:p>
    <w:p>
      <w:pPr/>
      <w:r>
        <w:rPr>
          <w:rFonts w:ascii="Times New Roman" w:hAnsi="Times New Roman" w:cs="Times New Roman"/>
          <w:rFonts w:ascii="Times New Roman" w:hAnsi="Times New Roman"/>
          <w:b w:val="0"/>
          <w:i w:val="0"/>
          <w:sz w:val="24"/>
        </w:rPr>
        <w:t>La validación cruzada estándar (</w:t>
      </w:r>
      <w:r>
        <w:rPr>
          <w:rFonts w:ascii="Times New Roman" w:hAnsi="Times New Roman" w:cs="Times New Roman"/>
          <w:rFonts w:ascii="Times New Roman" w:hAnsi="Times New Roman"/>
          <w:b w:val="0"/>
          <w:i/>
          <w:sz w:val="24"/>
        </w:rPr>
        <w:t>k-fold</w:t>
      </w:r>
      <w:r>
        <w:rPr>
          <w:rFonts w:ascii="Times New Roman" w:hAnsi="Times New Roman" w:cs="Times New Roman"/>
          <w:rFonts w:ascii="Times New Roman" w:hAnsi="Times New Roman"/>
          <w:b w:val="0"/>
          <w:i w:val="0"/>
          <w:sz w:val="24"/>
        </w:rPr>
        <w:t xml:space="preserve">) introduce </w:t>
      </w:r>
      <w:r>
        <w:rPr>
          <w:rFonts w:ascii="Times New Roman" w:hAnsi="Times New Roman" w:cs="Times New Roman"/>
          <w:rFonts w:ascii="Times New Roman" w:hAnsi="Times New Roman"/>
          <w:b w:val="0"/>
          <w:i/>
          <w:sz w:val="24"/>
        </w:rPr>
        <w:t>look-ahead bias</w:t>
      </w:r>
      <w:r>
        <w:rPr>
          <w:rFonts w:ascii="Times New Roman" w:hAnsi="Times New Roman" w:cs="Times New Roman"/>
          <w:rFonts w:ascii="Times New Roman" w:hAnsi="Times New Roman"/>
          <w:b w:val="0"/>
          <w:i w:val="0"/>
          <w:sz w:val="24"/>
        </w:rPr>
        <w:t xml:space="preserve"> en series temporales al barajar aleatoriamente las observaciones: el modelo podría entrenarse con datos de 2022 para predecir 2015. La </w:t>
      </w:r>
      <w:r>
        <w:rPr>
          <w:rFonts w:ascii="Times New Roman" w:hAnsi="Times New Roman" w:cs="Times New Roman"/>
          <w:rFonts w:ascii="Times New Roman" w:hAnsi="Times New Roman"/>
          <w:b/>
          <w:i w:val="0"/>
          <w:sz w:val="24"/>
        </w:rPr>
        <w:t>walk-forward con ventana expandible</w:t>
      </w:r>
      <w:r>
        <w:rPr>
          <w:rFonts w:ascii="Times New Roman" w:hAnsi="Times New Roman" w:cs="Times New Roman"/>
          <w:rFonts w:ascii="Times New Roman" w:hAnsi="Times New Roman"/>
          <w:b w:val="0"/>
          <w:i w:val="0"/>
          <w:sz w:val="24"/>
        </w:rPr>
        <w:t xml:space="preserve"> elimina este problema: el modelo se entrena en $[1, t-1]$ y predice $t$; a continuación, el entrenamiento se amplía a $[1, t]$ y se predice $t+1$, nunca incluyendo información posterior al instante de predicción (López de Prado, 2018).</w:t>
      </w:r>
    </w:p>
    <w:p>
      <w:pPr/>
      <w:r>
        <w:rPr>
          <w:rFonts w:ascii="Times New Roman" w:hAnsi="Times New Roman" w:cs="Times New Roman"/>
          <w:rFonts w:ascii="Times New Roman" w:hAnsi="Times New Roman"/>
          <w:b w:val="0"/>
          <w:i w:val="0"/>
          <w:sz w:val="24"/>
        </w:rPr>
        <w:t>Para acotar el coste computacional, el reentrenamiento completo se realiza cada 3 pasos para XGBoost y cada 6 para Random Forest y LSTM.</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Métricas de evaluación:</w:t>
      </w:r>
      <w:r>
        <w:rPr>
          <w:rFonts w:ascii="Times New Roman" w:hAnsi="Times New Roman" w:cs="Times New Roman"/>
          <w:rFonts w:ascii="Times New Roman" w:hAnsi="Times New Roman"/>
          <w:b w:val="0"/>
          <w:i w:val="0"/>
          <w:sz w:val="24"/>
        </w:rPr>
      </w:r>
    </w:p>
    <w:tbl>
      <w:tblPr>
        <w:tblStyle w:val="TableGrid"/>
        <w:tblW w:type="auto" w:w="0"/>
        <w:tblLook w:firstColumn="1" w:firstRow="1" w:lastColumn="0" w:lastRow="0" w:noHBand="0" w:noVBand="1" w:val="04A0"/>
      </w:tblPr>
      <w:tblGrid>
        <w:gridCol w:w="2835"/>
        <w:gridCol w:w="2835"/>
        <w:gridCol w:w="2835"/>
      </w:tblGrid>
      <w:tr>
        <w:tc>
          <w:tcPr>
            <w:tcW w:type="dxa" w:w="2835"/>
          </w:tcPr>
          <w:p>
            <w:pPr>
              <w:spacing w:line="240" w:lineRule="auto"/>
              <w:jc w:val="center"/>
            </w:pPr>
            <w:r/>
            <w:r>
              <w:rPr>
                <w:rFonts w:ascii="Times New Roman" w:hAnsi="Times New Roman" w:cs="Times New Roman"/>
                <w:rFonts w:ascii="Times New Roman" w:hAnsi="Times New Roman"/>
                <w:b/>
                <w:i w:val="0"/>
                <w:sz w:val="20"/>
              </w:rPr>
              <w:t>Métrica</w:t>
            </w:r>
          </w:p>
        </w:tc>
        <w:tc>
          <w:tcPr>
            <w:tcW w:type="dxa" w:w="2835"/>
          </w:tcPr>
          <w:p>
            <w:pPr>
              <w:spacing w:line="240" w:lineRule="auto"/>
              <w:jc w:val="center"/>
            </w:pPr>
            <w:r/>
            <w:r>
              <w:rPr>
                <w:rFonts w:ascii="Times New Roman" w:hAnsi="Times New Roman" w:cs="Times New Roman"/>
                <w:rFonts w:ascii="Times New Roman" w:hAnsi="Times New Roman"/>
                <w:b/>
                <w:i w:val="0"/>
                <w:sz w:val="20"/>
              </w:rPr>
              <w:t>Descripción</w:t>
            </w:r>
          </w:p>
        </w:tc>
        <w:tc>
          <w:tcPr>
            <w:tcW w:type="dxa" w:w="2835"/>
          </w:tcPr>
          <w:p>
            <w:pPr>
              <w:spacing w:line="240" w:lineRule="auto"/>
              <w:jc w:val="center"/>
            </w:pPr>
            <w:r/>
            <w:r>
              <w:rPr>
                <w:rFonts w:ascii="Times New Roman" w:hAnsi="Times New Roman" w:cs="Times New Roman"/>
                <w:rFonts w:ascii="Times New Roman" w:hAnsi="Times New Roman"/>
                <w:b/>
                <w:i w:val="0"/>
                <w:sz w:val="20"/>
              </w:rPr>
              <w:t>Por qué importa</w:t>
            </w:r>
          </w:p>
        </w:tc>
      </w:tr>
      <w:tr>
        <w:tc>
          <w:tcPr>
            <w:tcW w:type="dxa" w:w="2835"/>
          </w:tcPr>
          <w:p>
            <w:pPr>
              <w:spacing w:line="240" w:lineRule="auto"/>
            </w:pPr>
            <w:r/>
            <w:r>
              <w:rPr>
                <w:rFonts w:ascii="Times New Roman" w:hAnsi="Times New Roman" w:cs="Times New Roman"/>
                <w:rFonts w:ascii="Times New Roman" w:hAnsi="Times New Roman"/>
                <w:b w:val="0"/>
                <w:i w:val="0"/>
                <w:sz w:val="20"/>
              </w:rPr>
              <w:t>RMSE</w:t>
            </w:r>
          </w:p>
        </w:tc>
        <w:tc>
          <w:tcPr>
            <w:tcW w:type="dxa" w:w="2835"/>
          </w:tcPr>
          <w:p>
            <w:pPr>
              <w:spacing w:line="240" w:lineRule="auto"/>
            </w:pPr>
            <w:r/>
            <w:r>
              <w:rPr>
                <w:rFonts w:ascii="Times New Roman" w:hAnsi="Times New Roman" w:cs="Times New Roman"/>
                <w:rFonts w:ascii="Times New Roman" w:hAnsi="Times New Roman"/>
                <w:b w:val="0"/>
                <w:i w:val="0"/>
                <w:sz w:val="20"/>
              </w:rPr>
              <w:t>Raíz del error cuadrático medio (pp)</w:t>
            </w:r>
          </w:p>
        </w:tc>
        <w:tc>
          <w:tcPr>
            <w:tcW w:type="dxa" w:w="2835"/>
          </w:tcPr>
          <w:p>
            <w:pPr>
              <w:spacing w:line="240" w:lineRule="auto"/>
            </w:pPr>
            <w:r/>
            <w:r>
              <w:rPr>
                <w:rFonts w:ascii="Times New Roman" w:hAnsi="Times New Roman" w:cs="Times New Roman"/>
                <w:rFonts w:ascii="Times New Roman" w:hAnsi="Times New Roman"/>
                <w:b w:val="0"/>
                <w:i w:val="0"/>
                <w:sz w:val="20"/>
              </w:rPr>
              <w:t>Penaliza errores grandes</w:t>
            </w:r>
          </w:p>
        </w:tc>
      </w:tr>
      <w:tr>
        <w:tc>
          <w:tcPr>
            <w:tcW w:type="dxa" w:w="2835"/>
          </w:tcPr>
          <w:p>
            <w:pPr>
              <w:spacing w:line="240" w:lineRule="auto"/>
            </w:pPr>
            <w:r/>
            <w:r>
              <w:rPr>
                <w:rFonts w:ascii="Times New Roman" w:hAnsi="Times New Roman" w:cs="Times New Roman"/>
                <w:rFonts w:ascii="Times New Roman" w:hAnsi="Times New Roman"/>
                <w:b w:val="0"/>
                <w:i w:val="0"/>
                <w:sz w:val="20"/>
              </w:rPr>
              <w:t>MAE</w:t>
            </w:r>
          </w:p>
        </w:tc>
        <w:tc>
          <w:tcPr>
            <w:tcW w:type="dxa" w:w="2835"/>
          </w:tcPr>
          <w:p>
            <w:pPr>
              <w:spacing w:line="240" w:lineRule="auto"/>
            </w:pPr>
            <w:r/>
            <w:r>
              <w:rPr>
                <w:rFonts w:ascii="Times New Roman" w:hAnsi="Times New Roman" w:cs="Times New Roman"/>
                <w:rFonts w:ascii="Times New Roman" w:hAnsi="Times New Roman"/>
                <w:b w:val="0"/>
                <w:i w:val="0"/>
                <w:sz w:val="20"/>
              </w:rPr>
              <w:t>Error absoluto medio (pp)</w:t>
            </w:r>
          </w:p>
        </w:tc>
        <w:tc>
          <w:tcPr>
            <w:tcW w:type="dxa" w:w="2835"/>
          </w:tcPr>
          <w:p>
            <w:pPr>
              <w:spacing w:line="240" w:lineRule="auto"/>
            </w:pPr>
            <w:r/>
            <w:r>
              <w:rPr>
                <w:rFonts w:ascii="Times New Roman" w:hAnsi="Times New Roman" w:cs="Times New Roman"/>
                <w:rFonts w:ascii="Times New Roman" w:hAnsi="Times New Roman"/>
                <w:b w:val="0"/>
                <w:i w:val="0"/>
                <w:sz w:val="20"/>
              </w:rPr>
              <w:t>Robusta a outliers</w:t>
            </w:r>
          </w:p>
        </w:tc>
      </w:tr>
      <w:tr>
        <w:tc>
          <w:tcPr>
            <w:tcW w:type="dxa" w:w="2835"/>
          </w:tcPr>
          <w:p>
            <w:pPr>
              <w:spacing w:line="240" w:lineRule="auto"/>
            </w:pPr>
            <w:r/>
            <w:r>
              <w:rPr>
                <w:rFonts w:ascii="Times New Roman" w:hAnsi="Times New Roman" w:cs="Times New Roman"/>
                <w:rFonts w:ascii="Times New Roman" w:hAnsi="Times New Roman"/>
                <w:b w:val="0"/>
                <w:i w:val="0"/>
                <w:sz w:val="20"/>
              </w:rPr>
              <w:t>MAPE</w:t>
            </w:r>
          </w:p>
        </w:tc>
        <w:tc>
          <w:tcPr>
            <w:tcW w:type="dxa" w:w="2835"/>
          </w:tcPr>
          <w:p>
            <w:pPr>
              <w:spacing w:line="240" w:lineRule="auto"/>
            </w:pPr>
            <w:r/>
            <w:r>
              <w:rPr>
                <w:rFonts w:ascii="Times New Roman" w:hAnsi="Times New Roman" w:cs="Times New Roman"/>
                <w:rFonts w:ascii="Times New Roman" w:hAnsi="Times New Roman"/>
                <w:b w:val="0"/>
                <w:i w:val="0"/>
                <w:sz w:val="20"/>
              </w:rPr>
              <w:t>Error porcentual medio absoluto</w:t>
            </w:r>
          </w:p>
        </w:tc>
        <w:tc>
          <w:tcPr>
            <w:tcW w:type="dxa" w:w="2835"/>
          </w:tcPr>
          <w:p>
            <w:pPr>
              <w:spacing w:line="240" w:lineRule="auto"/>
            </w:pPr>
            <w:r/>
            <w:r>
              <w:rPr>
                <w:rFonts w:ascii="Times New Roman" w:hAnsi="Times New Roman" w:cs="Times New Roman"/>
                <w:rFonts w:ascii="Times New Roman" w:hAnsi="Times New Roman"/>
                <w:b w:val="0"/>
                <w:i w:val="0"/>
                <w:sz w:val="20"/>
              </w:rPr>
              <w:t>Comparabilidad relativa</w:t>
            </w:r>
          </w:p>
        </w:tc>
      </w:tr>
      <w:tr>
        <w:tc>
          <w:tcPr>
            <w:tcW w:type="dxa" w:w="2835"/>
          </w:tcPr>
          <w:p>
            <w:pPr>
              <w:spacing w:line="240" w:lineRule="auto"/>
            </w:pPr>
            <w:r/>
            <w:r>
              <w:rPr>
                <w:rFonts w:ascii="Times New Roman" w:hAnsi="Times New Roman" w:cs="Times New Roman"/>
                <w:rFonts w:ascii="Times New Roman" w:hAnsi="Times New Roman"/>
                <w:b w:val="0"/>
                <w:i w:val="0"/>
                <w:sz w:val="20"/>
              </w:rPr>
              <w:t>**DA**</w:t>
            </w:r>
          </w:p>
        </w:tc>
        <w:tc>
          <w:tcPr>
            <w:tcW w:type="dxa" w:w="2835"/>
          </w:tcPr>
          <w:p>
            <w:pPr>
              <w:spacing w:line="240" w:lineRule="auto"/>
            </w:pPr>
            <w:r/>
            <w:r>
              <w:rPr>
                <w:rFonts w:ascii="Times New Roman" w:hAnsi="Times New Roman" w:cs="Times New Roman"/>
                <w:rFonts w:ascii="Times New Roman" w:hAnsi="Times New Roman"/>
                <w:b w:val="0"/>
                <w:i w:val="0"/>
                <w:sz w:val="20"/>
              </w:rPr>
              <w:t>% meses con dirección acertada</w:t>
            </w:r>
          </w:p>
        </w:tc>
        <w:tc>
          <w:tcPr>
            <w:tcW w:type="dxa" w:w="2835"/>
          </w:tcPr>
          <w:p>
            <w:pPr>
              <w:spacing w:line="240" w:lineRule="auto"/>
            </w:pPr>
            <w:r/>
            <w:r>
              <w:rPr>
                <w:rFonts w:ascii="Times New Roman" w:hAnsi="Times New Roman" w:cs="Times New Roman"/>
                <w:rFonts w:ascii="Times New Roman" w:hAnsi="Times New Roman"/>
                <w:b w:val="0"/>
                <w:i w:val="0"/>
                <w:sz w:val="20"/>
              </w:rPr>
              <w:t>**Más relevante operativamente**</w:t>
            </w:r>
          </w:p>
        </w:tc>
      </w:tr>
    </w:tbl>
    <w:p/>
    <w:p>
      <w:pPr/>
      <w:r>
        <w:rPr>
          <w:rFonts w:ascii="Times New Roman" w:hAnsi="Times New Roman" w:cs="Times New Roman"/>
          <w:rFonts w:ascii="Times New Roman" w:hAnsi="Times New Roman"/>
          <w:b w:val="0"/>
          <w:i w:val="0"/>
          <w:sz w:val="24"/>
        </w:rPr>
        <w:t xml:space="preserve">El benchmark de referencia es el </w:t>
      </w:r>
      <w:r>
        <w:rPr>
          <w:rFonts w:ascii="Times New Roman" w:hAnsi="Times New Roman" w:cs="Times New Roman"/>
          <w:rFonts w:ascii="Times New Roman" w:hAnsi="Times New Roman"/>
          <w:b/>
          <w:i w:val="0"/>
          <w:sz w:val="24"/>
        </w:rPr>
        <w:t>modelo naive</w:t>
      </w:r>
      <w:r>
        <w:rPr>
          <w:rFonts w:ascii="Times New Roman" w:hAnsi="Times New Roman" w:cs="Times New Roman"/>
          <w:rFonts w:ascii="Times New Roman" w:hAnsi="Times New Roman"/>
          <w:b w:val="0"/>
          <w:i w:val="0"/>
          <w:sz w:val="24"/>
        </w:rPr>
        <w:t xml:space="preserve"> (paseo aleatorio): predice que el retorno del mes siguiente es igual al del mes anterior. Un modelo útil debe superar al naive en al menos una métrica clave.</w:t>
      </w:r>
    </w:p>
    <w:p>
      <w:pPr>
        <w:pStyle w:val="Heading2"/>
      </w:pPr>
      <w:r>
        <w:t>7.4 Los tres modelos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XGBoost</w:t>
      </w:r>
      <w:r>
        <w:rPr>
          <w:rFonts w:ascii="Times New Roman" w:hAnsi="Times New Roman" w:cs="Times New Roman"/>
          <w:rFonts w:ascii="Times New Roman" w:hAnsi="Times New Roman"/>
          <w:b w:val="0"/>
          <w:i w:val="0"/>
          <w:sz w:val="24"/>
        </w:rPr>
        <w:t xml:space="preserve"> construye árboles de decisión secuencialmente: cada árbol nuevo corrige los errores del anterior. La configuración es conservadora (profundidad máxima 3, tasa de aprendizaje 0,05, regularización L1 y L2) para evitar sobreajuste con solo 162 observaciones de entrenamiento inicial.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Random Forest</w:t>
      </w:r>
      <w:r>
        <w:rPr>
          <w:rFonts w:ascii="Times New Roman" w:hAnsi="Times New Roman" w:cs="Times New Roman"/>
          <w:rFonts w:ascii="Times New Roman" w:hAnsi="Times New Roman"/>
          <w:b w:val="0"/>
          <w:i w:val="0"/>
          <w:sz w:val="24"/>
        </w:rPr>
        <w:t xml:space="preserve"> construye 300 árboles en paralelo, cada uno sobre un subconjunto aleatorio de observaciones y variables. La decorrelación entre árboles reduce la varianza del conjunto y lo hace especialmente robusto en muestras pequeñas.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LSTM</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Long Short-Term Memory</w:t>
      </w:r>
      <w:r>
        <w:rPr>
          <w:rFonts w:ascii="Times New Roman" w:hAnsi="Times New Roman" w:cs="Times New Roman"/>
          <w:rFonts w:ascii="Times New Roman" w:hAnsi="Times New Roman"/>
          <w:b w:val="0"/>
          <w:i w:val="0"/>
          <w:sz w:val="24"/>
        </w:rPr>
        <w:t xml:space="preserve">) es una red neuronal recurrente que procesa secuencias temporales de 6 meses de historia y aprende qué información retener y cuál olvidar mediante compuertas internas. La arquitectura es intencionadamente simple (32 unidades, 1 capa) para evitar sobreajuste. Se implementa </w:t>
      </w:r>
      <w:r>
        <w:rPr>
          <w:rFonts w:ascii="Times New Roman" w:hAnsi="Times New Roman" w:cs="Times New Roman"/>
          <w:rFonts w:ascii="Times New Roman" w:hAnsi="Times New Roman"/>
          <w:b w:val="0"/>
          <w:i/>
          <w:sz w:val="24"/>
        </w:rPr>
        <w:t>early stopping</w:t>
      </w:r>
      <w:r>
        <w:rPr>
          <w:rFonts w:ascii="Times New Roman" w:hAnsi="Times New Roman" w:cs="Times New Roman"/>
          <w:rFonts w:ascii="Times New Roman" w:hAnsi="Times New Roman"/>
          <w:b w:val="0"/>
          <w:i w:val="0"/>
          <w:sz w:val="24"/>
        </w:rPr>
        <w:t xml:space="preserve"> con paciencia de 20 épocas sobre el 15% final de cada conjunto de entrenamiento.</w:t>
      </w:r>
    </w:p>
    <w:p>
      <w:pPr>
        <w:pStyle w:val="Heading2"/>
      </w:pPr>
      <w:r>
        <w:t>7.5 Resultados comparativos</w:t>
      </w:r>
    </w:p>
    <w:p>
      <w:pPr/>
      <w:r>
        <w:rPr>
          <w:rFonts w:ascii="Times New Roman" w:hAnsi="Times New Roman" w:cs="Times New Roman"/>
          <w:rFonts w:ascii="Times New Roman" w:hAnsi="Times New Roman"/>
          <w:b w:val="0"/>
          <w:i w:val="0"/>
          <w:sz w:val="24"/>
        </w:rPr>
        <w:t>La Tabla 7.2 presenta las cuatro métricas de evaluación sobre los 109 meses del período de test.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Modelo</w:t>
            </w:r>
          </w:p>
        </w:tc>
        <w:tc>
          <w:tcPr>
            <w:tcW w:type="dxa" w:w="1701"/>
          </w:tcPr>
          <w:p>
            <w:pPr>
              <w:spacing w:line="240" w:lineRule="auto"/>
              <w:jc w:val="center"/>
            </w:pPr>
            <w:r/>
            <w:r>
              <w:rPr>
                <w:rFonts w:ascii="Times New Roman" w:hAnsi="Times New Roman" w:cs="Times New Roman"/>
                <w:rFonts w:ascii="Times New Roman" w:hAnsi="Times New Roman"/>
                <w:b/>
                <w:i w:val="0"/>
                <w:sz w:val="20"/>
              </w:rPr>
              <w:t>RMSE (pp)</w:t>
            </w:r>
          </w:p>
        </w:tc>
        <w:tc>
          <w:tcPr>
            <w:tcW w:type="dxa" w:w="1701"/>
          </w:tcPr>
          <w:p>
            <w:pPr>
              <w:spacing w:line="240" w:lineRule="auto"/>
              <w:jc w:val="center"/>
            </w:pPr>
            <w:r/>
            <w:r>
              <w:rPr>
                <w:rFonts w:ascii="Times New Roman" w:hAnsi="Times New Roman" w:cs="Times New Roman"/>
                <w:rFonts w:ascii="Times New Roman" w:hAnsi="Times New Roman"/>
                <w:b/>
                <w:i w:val="0"/>
                <w:sz w:val="20"/>
              </w:rPr>
              <w:t>MAE (pp)</w:t>
            </w:r>
          </w:p>
        </w:tc>
        <w:tc>
          <w:tcPr>
            <w:tcW w:type="dxa" w:w="1701"/>
          </w:tcPr>
          <w:p>
            <w:pPr>
              <w:spacing w:line="240" w:lineRule="auto"/>
              <w:jc w:val="center"/>
            </w:pPr>
            <w:r/>
            <w:r>
              <w:rPr>
                <w:rFonts w:ascii="Times New Roman" w:hAnsi="Times New Roman" w:cs="Times New Roman"/>
                <w:rFonts w:ascii="Times New Roman" w:hAnsi="Times New Roman"/>
                <w:b/>
                <w:i w:val="0"/>
                <w:sz w:val="20"/>
              </w:rPr>
              <w:t>MAPE (%)</w:t>
            </w:r>
          </w:p>
        </w:tc>
        <w:tc>
          <w:tcPr>
            <w:tcW w:type="dxa" w:w="1701"/>
          </w:tcPr>
          <w:p>
            <w:pPr>
              <w:spacing w:line="240" w:lineRule="auto"/>
              <w:jc w:val="center"/>
            </w:pPr>
            <w:r/>
            <w:r>
              <w:rPr>
                <w:rFonts w:ascii="Times New Roman" w:hAnsi="Times New Roman" w:cs="Times New Roman"/>
                <w:rFonts w:ascii="Times New Roman" w:hAnsi="Times New Roman"/>
                <w:b/>
                <w:i w:val="0"/>
                <w:sz w:val="20"/>
              </w:rPr>
              <w:t>DA (%)</w:t>
            </w:r>
          </w:p>
        </w:tc>
      </w:tr>
      <w:tr>
        <w:tc>
          <w:tcPr>
            <w:tcW w:type="dxa" w:w="1701"/>
          </w:tcPr>
          <w:p>
            <w:pPr>
              <w:spacing w:line="240" w:lineRule="auto"/>
            </w:pPr>
            <w:r/>
            <w:r>
              <w:rPr>
                <w:rFonts w:ascii="Times New Roman" w:hAnsi="Times New Roman" w:cs="Times New Roman"/>
                <w:rFonts w:ascii="Times New Roman" w:hAnsi="Times New Roman"/>
                <w:b w:val="0"/>
                <w:i w:val="0"/>
                <w:sz w:val="20"/>
              </w:rPr>
              <w:t>Naive (random walk)</w:t>
            </w:r>
          </w:p>
        </w:tc>
        <w:tc>
          <w:tcPr>
            <w:tcW w:type="dxa" w:w="1701"/>
          </w:tcPr>
          <w:p>
            <w:pPr>
              <w:spacing w:line="240" w:lineRule="auto"/>
            </w:pPr>
            <w:r/>
            <w:r>
              <w:rPr>
                <w:rFonts w:ascii="Times New Roman" w:hAnsi="Times New Roman" w:cs="Times New Roman"/>
                <w:rFonts w:ascii="Times New Roman" w:hAnsi="Times New Roman"/>
                <w:b w:val="0"/>
                <w:i w:val="0"/>
                <w:sz w:val="20"/>
              </w:rPr>
              <w:t>5,054</w:t>
            </w:r>
          </w:p>
        </w:tc>
        <w:tc>
          <w:tcPr>
            <w:tcW w:type="dxa" w:w="1701"/>
          </w:tcPr>
          <w:p>
            <w:pPr>
              <w:spacing w:line="240" w:lineRule="auto"/>
            </w:pPr>
            <w:r/>
            <w:r>
              <w:rPr>
                <w:rFonts w:ascii="Times New Roman" w:hAnsi="Times New Roman" w:cs="Times New Roman"/>
                <w:rFonts w:ascii="Times New Roman" w:hAnsi="Times New Roman"/>
                <w:b w:val="0"/>
                <w:i w:val="0"/>
                <w:sz w:val="20"/>
              </w:rPr>
              <w:t>4,043</w:t>
            </w:r>
          </w:p>
        </w:tc>
        <w:tc>
          <w:tcPr>
            <w:tcW w:type="dxa" w:w="1701"/>
          </w:tcPr>
          <w:p>
            <w:pPr>
              <w:spacing w:line="240" w:lineRule="auto"/>
            </w:pPr>
            <w:r/>
            <w:r>
              <w:rPr>
                <w:rFonts w:ascii="Times New Roman" w:hAnsi="Times New Roman" w:cs="Times New Roman"/>
                <w:rFonts w:ascii="Times New Roman" w:hAnsi="Times New Roman"/>
                <w:b w:val="0"/>
                <w:i w:val="0"/>
                <w:sz w:val="20"/>
              </w:rPr>
              <w:t>244,9</w:t>
            </w:r>
          </w:p>
        </w:tc>
        <w:tc>
          <w:tcPr>
            <w:tcW w:type="dxa" w:w="1701"/>
          </w:tcPr>
          <w:p>
            <w:pPr>
              <w:spacing w:line="240" w:lineRule="auto"/>
            </w:pPr>
            <w:r/>
            <w:r>
              <w:rPr>
                <w:rFonts w:ascii="Times New Roman" w:hAnsi="Times New Roman" w:cs="Times New Roman"/>
                <w:rFonts w:ascii="Times New Roman" w:hAnsi="Times New Roman"/>
                <w:b w:val="0"/>
                <w:i w:val="0"/>
                <w:sz w:val="20"/>
              </w:rPr>
              <w:t>55,9</w:t>
            </w:r>
          </w:p>
        </w:tc>
      </w:tr>
      <w:tr>
        <w:tc>
          <w:tcPr>
            <w:tcW w:type="dxa" w:w="1701"/>
          </w:tcPr>
          <w:p>
            <w:pPr>
              <w:spacing w:line="240" w:lineRule="auto"/>
            </w:pPr>
            <w:r/>
            <w:r>
              <w:rPr>
                <w:rFonts w:ascii="Times New Roman" w:hAnsi="Times New Roman" w:cs="Times New Roman"/>
                <w:rFonts w:ascii="Times New Roman" w:hAnsi="Times New Roman"/>
                <w:b w:val="0"/>
                <w:i w:val="0"/>
                <w:sz w:val="20"/>
              </w:rPr>
              <w:t>XGBoost</w:t>
            </w:r>
          </w:p>
        </w:tc>
        <w:tc>
          <w:tcPr>
            <w:tcW w:type="dxa" w:w="1701"/>
          </w:tcPr>
          <w:p>
            <w:pPr>
              <w:spacing w:line="240" w:lineRule="auto"/>
            </w:pPr>
            <w:r/>
            <w:r>
              <w:rPr>
                <w:rFonts w:ascii="Times New Roman" w:hAnsi="Times New Roman" w:cs="Times New Roman"/>
                <w:rFonts w:ascii="Times New Roman" w:hAnsi="Times New Roman"/>
                <w:b w:val="0"/>
                <w:i w:val="0"/>
                <w:sz w:val="20"/>
              </w:rPr>
              <w:t>4,340</w:t>
            </w:r>
          </w:p>
        </w:tc>
        <w:tc>
          <w:tcPr>
            <w:tcW w:type="dxa" w:w="1701"/>
          </w:tcPr>
          <w:p>
            <w:pPr>
              <w:spacing w:line="240" w:lineRule="auto"/>
            </w:pPr>
            <w:r/>
            <w:r>
              <w:rPr>
                <w:rFonts w:ascii="Times New Roman" w:hAnsi="Times New Roman" w:cs="Times New Roman"/>
                <w:rFonts w:ascii="Times New Roman" w:hAnsi="Times New Roman"/>
                <w:b w:val="0"/>
                <w:i w:val="0"/>
                <w:sz w:val="20"/>
              </w:rPr>
              <w:t>3,476</w:t>
            </w:r>
          </w:p>
        </w:tc>
        <w:tc>
          <w:tcPr>
            <w:tcW w:type="dxa" w:w="1701"/>
          </w:tcPr>
          <w:p>
            <w:pPr>
              <w:spacing w:line="240" w:lineRule="auto"/>
            </w:pPr>
            <w:r/>
            <w:r>
              <w:rPr>
                <w:rFonts w:ascii="Times New Roman" w:hAnsi="Times New Roman" w:cs="Times New Roman"/>
                <w:rFonts w:ascii="Times New Roman" w:hAnsi="Times New Roman"/>
                <w:b w:val="0"/>
                <w:i w:val="0"/>
                <w:sz w:val="20"/>
              </w:rPr>
              <w:t>308,0</w:t>
            </w:r>
          </w:p>
        </w:tc>
        <w:tc>
          <w:tcPr>
            <w:tcW w:type="dxa" w:w="1701"/>
          </w:tcPr>
          <w:p>
            <w:pPr>
              <w:spacing w:line="240" w:lineRule="auto"/>
            </w:pPr>
            <w:r/>
            <w:r>
              <w:rPr>
                <w:rFonts w:ascii="Times New Roman" w:hAnsi="Times New Roman" w:cs="Times New Roman"/>
                <w:rFonts w:ascii="Times New Roman" w:hAnsi="Times New Roman"/>
                <w:b w:val="0"/>
                <w:i w:val="0"/>
                <w:sz w:val="20"/>
              </w:rPr>
              <w:t>52,3</w:t>
            </w:r>
          </w:p>
        </w:tc>
      </w:tr>
      <w:tr>
        <w:tc>
          <w:tcPr>
            <w:tcW w:type="dxa" w:w="1701"/>
          </w:tcPr>
          <w:p>
            <w:pPr>
              <w:spacing w:line="240" w:lineRule="auto"/>
            </w:pPr>
            <w:r/>
            <w:r>
              <w:rPr>
                <w:rFonts w:ascii="Times New Roman" w:hAnsi="Times New Roman" w:cs="Times New Roman"/>
                <w:rFonts w:ascii="Times New Roman" w:hAnsi="Times New Roman"/>
                <w:b w:val="0"/>
                <w:i w:val="0"/>
                <w:sz w:val="20"/>
              </w:rPr>
              <w:t>Random Forest</w:t>
            </w:r>
          </w:p>
        </w:tc>
        <w:tc>
          <w:tcPr>
            <w:tcW w:type="dxa" w:w="1701"/>
          </w:tcPr>
          <w:p>
            <w:pPr>
              <w:spacing w:line="240" w:lineRule="auto"/>
            </w:pPr>
            <w:r/>
            <w:r>
              <w:rPr>
                <w:rFonts w:ascii="Times New Roman" w:hAnsi="Times New Roman" w:cs="Times New Roman"/>
                <w:rFonts w:ascii="Times New Roman" w:hAnsi="Times New Roman"/>
                <w:b w:val="0"/>
                <w:i w:val="0"/>
                <w:sz w:val="20"/>
              </w:rPr>
              <w:t>3,882</w:t>
            </w:r>
          </w:p>
        </w:tc>
        <w:tc>
          <w:tcPr>
            <w:tcW w:type="dxa" w:w="1701"/>
          </w:tcPr>
          <w:p>
            <w:pPr>
              <w:spacing w:line="240" w:lineRule="auto"/>
            </w:pPr>
            <w:r/>
            <w:r>
              <w:rPr>
                <w:rFonts w:ascii="Times New Roman" w:hAnsi="Times New Roman" w:cs="Times New Roman"/>
                <w:rFonts w:ascii="Times New Roman" w:hAnsi="Times New Roman"/>
                <w:b w:val="0"/>
                <w:i w:val="0"/>
                <w:sz w:val="20"/>
              </w:rPr>
              <w:t>3,181</w:t>
            </w:r>
          </w:p>
        </w:tc>
        <w:tc>
          <w:tcPr>
            <w:tcW w:type="dxa" w:w="1701"/>
          </w:tcPr>
          <w:p>
            <w:pPr>
              <w:spacing w:line="240" w:lineRule="auto"/>
            </w:pPr>
            <w:r/>
            <w:r>
              <w:rPr>
                <w:rFonts w:ascii="Times New Roman" w:hAnsi="Times New Roman" w:cs="Times New Roman"/>
                <w:rFonts w:ascii="Times New Roman" w:hAnsi="Times New Roman"/>
                <w:b w:val="0"/>
                <w:i w:val="0"/>
                <w:sz w:val="20"/>
              </w:rPr>
              <w:t>226,5</w:t>
            </w:r>
          </w:p>
        </w:tc>
        <w:tc>
          <w:tcPr>
            <w:tcW w:type="dxa" w:w="1701"/>
          </w:tcPr>
          <w:p>
            <w:pPr>
              <w:spacing w:line="240" w:lineRule="auto"/>
            </w:pPr>
            <w:r/>
            <w:r>
              <w:rPr>
                <w:rFonts w:ascii="Times New Roman" w:hAnsi="Times New Roman" w:cs="Times New Roman"/>
                <w:rFonts w:ascii="Times New Roman" w:hAnsi="Times New Roman"/>
                <w:b w:val="0"/>
                <w:i w:val="0"/>
                <w:sz w:val="20"/>
              </w:rPr>
              <w:t>58,7</w:t>
            </w:r>
          </w:p>
        </w:tc>
      </w:tr>
      <w:tr>
        <w:tc>
          <w:tcPr>
            <w:tcW w:type="dxa" w:w="1701"/>
          </w:tcPr>
          <w:p>
            <w:pPr>
              <w:spacing w:line="240" w:lineRule="auto"/>
            </w:pPr>
            <w:r/>
            <w:r>
              <w:rPr>
                <w:rFonts w:ascii="Times New Roman" w:hAnsi="Times New Roman" w:cs="Times New Roman"/>
                <w:rFonts w:ascii="Times New Roman" w:hAnsi="Times New Roman"/>
                <w:b w:val="0"/>
                <w:i w:val="0"/>
                <w:sz w:val="20"/>
              </w:rPr>
              <w:t>**LSTM**</w:t>
            </w:r>
          </w:p>
        </w:tc>
        <w:tc>
          <w:tcPr>
            <w:tcW w:type="dxa" w:w="1701"/>
          </w:tcPr>
          <w:p>
            <w:pPr>
              <w:spacing w:line="240" w:lineRule="auto"/>
            </w:pPr>
            <w:r/>
            <w:r>
              <w:rPr>
                <w:rFonts w:ascii="Times New Roman" w:hAnsi="Times New Roman" w:cs="Times New Roman"/>
                <w:rFonts w:ascii="Times New Roman" w:hAnsi="Times New Roman"/>
                <w:b w:val="0"/>
                <w:i w:val="0"/>
                <w:sz w:val="20"/>
              </w:rPr>
              <w:t>**3,815**</w:t>
            </w:r>
          </w:p>
        </w:tc>
        <w:tc>
          <w:tcPr>
            <w:tcW w:type="dxa" w:w="1701"/>
          </w:tcPr>
          <w:p>
            <w:pPr>
              <w:spacing w:line="240" w:lineRule="auto"/>
            </w:pPr>
            <w:r/>
            <w:r>
              <w:rPr>
                <w:rFonts w:ascii="Times New Roman" w:hAnsi="Times New Roman" w:cs="Times New Roman"/>
                <w:rFonts w:ascii="Times New Roman" w:hAnsi="Times New Roman"/>
                <w:b w:val="0"/>
                <w:i w:val="0"/>
                <w:sz w:val="20"/>
              </w:rPr>
              <w:t>**3,142**</w:t>
            </w:r>
          </w:p>
        </w:tc>
        <w:tc>
          <w:tcPr>
            <w:tcW w:type="dxa" w:w="1701"/>
          </w:tcPr>
          <w:p>
            <w:pPr>
              <w:spacing w:line="240" w:lineRule="auto"/>
            </w:pPr>
            <w:r/>
            <w:r>
              <w:rPr>
                <w:rFonts w:ascii="Times New Roman" w:hAnsi="Times New Roman" w:cs="Times New Roman"/>
                <w:rFonts w:ascii="Times New Roman" w:hAnsi="Times New Roman"/>
                <w:b w:val="0"/>
                <w:i w:val="0"/>
                <w:sz w:val="20"/>
              </w:rPr>
              <w:t>278,8</w:t>
            </w:r>
          </w:p>
        </w:tc>
        <w:tc>
          <w:tcPr>
            <w:tcW w:type="dxa" w:w="1701"/>
          </w:tcPr>
          <w:p>
            <w:pPr>
              <w:spacing w:line="240" w:lineRule="auto"/>
            </w:pPr>
            <w:r/>
            <w:r>
              <w:rPr>
                <w:rFonts w:ascii="Times New Roman" w:hAnsi="Times New Roman" w:cs="Times New Roman"/>
                <w:rFonts w:ascii="Times New Roman" w:hAnsi="Times New Roman"/>
                <w:b w:val="0"/>
                <w:i w:val="0"/>
                <w:sz w:val="20"/>
              </w:rPr>
              <w:t>**61,5**</w:t>
            </w:r>
          </w:p>
        </w:tc>
      </w:tr>
    </w:tbl>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La desviación típica incondicional del retorno del oro en la muestra completa es 4,65 pp.</w:t>
      </w:r>
      <w:r>
        <w:rPr>
          <w:rFonts w:ascii="Times New Roman" w:hAnsi="Times New Roman" w:cs="Times New Roman"/>
          <w:rFonts w:ascii="Times New Roman" w:hAnsi="Times New Roman"/>
          <w:b w:val="0"/>
          <w:i w:val="0"/>
          <w:sz w:val="24"/>
        </w:rPr>
      </w:r>
    </w:p>
    <w:p>
      <w:pPr/>
      <w:r>
        <w:rPr>
          <w:rFonts w:ascii="Times New Roman" w:hAnsi="Times New Roman" w:cs="Times New Roman"/>
          <w:rFonts w:ascii="Times New Roman" w:hAnsi="Times New Roman"/>
          <w:b w:val="0"/>
          <w:i w:val="0"/>
          <w:sz w:val="24"/>
        </w:rPr>
        <w:t xml:space="preserve">Tres conclusiones destacan. Primero, la LSTM obtiene el mejor rendimiento en todas las métricas clave (RMSE y DA), lo que indica que la estructura recurrente capta dependencias temporales que los modelos de árboles no explotan. Segundo, el Random Forest supera al XGBoost en todas las métricas, resultado frecuente en series financieras cortas (n &lt; 500) donde el </w:t>
      </w:r>
      <w:r>
        <w:rPr>
          <w:rFonts w:ascii="Times New Roman" w:hAnsi="Times New Roman" w:cs="Times New Roman"/>
          <w:rFonts w:ascii="Times New Roman" w:hAnsi="Times New Roman"/>
          <w:b w:val="0"/>
          <w:i/>
          <w:sz w:val="24"/>
        </w:rPr>
        <w:t>bagging</w:t>
      </w:r>
      <w:r>
        <w:rPr>
          <w:rFonts w:ascii="Times New Roman" w:hAnsi="Times New Roman" w:cs="Times New Roman"/>
          <w:rFonts w:ascii="Times New Roman" w:hAnsi="Times New Roman"/>
          <w:b w:val="0"/>
          <w:i w:val="0"/>
          <w:sz w:val="24"/>
        </w:rPr>
        <w:t xml:space="preserve"> es más robusto que el </w:t>
      </w:r>
      <w:r>
        <w:rPr>
          <w:rFonts w:ascii="Times New Roman" w:hAnsi="Times New Roman" w:cs="Times New Roman"/>
          <w:rFonts w:ascii="Times New Roman" w:hAnsi="Times New Roman"/>
          <w:b w:val="0"/>
          <w:i/>
          <w:sz w:val="24"/>
        </w:rPr>
        <w:t>boosting</w:t>
      </w:r>
      <w:r>
        <w:rPr>
          <w:rFonts w:ascii="Times New Roman" w:hAnsi="Times New Roman" w:cs="Times New Roman"/>
          <w:rFonts w:ascii="Times New Roman" w:hAnsi="Times New Roman"/>
          <w:b w:val="0"/>
          <w:i w:val="0"/>
          <w:sz w:val="24"/>
        </w:rPr>
        <w:t xml:space="preserve"> secuencial. Tercero, XGBoost obtiene una DA inferior al benchmark naive (52,3% vs. 55,9%), lo que indica que reduce el error de magnitud pero introduce ruido en la dirección del movimiento —el aspecto más relevante para decisiones de inversión.</w:t>
      </w:r>
    </w:p>
    <w:p>
      <w:pPr>
        <w:pStyle w:val="Heading2"/>
      </w:pPr>
      <w:r>
        <w:t>7.6 Interpretabilidad: análisis SHAP</w:t>
      </w:r>
    </w:p>
    <w:p>
      <w:pPr/>
      <w:r>
        <w:rPr>
          <w:rFonts w:ascii="Times New Roman" w:hAnsi="Times New Roman" w:cs="Times New Roman"/>
          <w:rFonts w:ascii="Times New Roman" w:hAnsi="Times New Roman"/>
          <w:b w:val="0"/>
          <w:i w:val="0"/>
          <w:sz w:val="24"/>
        </w:rPr>
        <w:t xml:space="preserve">Los modelos de árboles permiten calcular los </w:t>
      </w:r>
      <w:r>
        <w:rPr>
          <w:rFonts w:ascii="Times New Roman" w:hAnsi="Times New Roman" w:cs="Times New Roman"/>
          <w:rFonts w:ascii="Times New Roman" w:hAnsi="Times New Roman"/>
          <w:b/>
          <w:i w:val="0"/>
          <w:sz w:val="24"/>
        </w:rPr>
        <w:t>valores SHAP</w:t>
      </w:r>
      <w:r>
        <w:rPr>
          <w:rFonts w:ascii="Times New Roman" w:hAnsi="Times New Roman" w:cs="Times New Roman"/>
          <w:rFonts w:ascii="Times New Roman" w:hAnsi="Times New Roman"/>
          <w:b w:val="0"/>
          <w:i w:val="0"/>
          <w:sz w:val="24"/>
        </w:rPr>
        <w:t xml:space="preserve"> (</w:t>
      </w:r>
      <w:r>
        <w:rPr>
          <w:rFonts w:ascii="Times New Roman" w:hAnsi="Times New Roman" w:cs="Times New Roman"/>
          <w:rFonts w:ascii="Times New Roman" w:hAnsi="Times New Roman"/>
          <w:b w:val="0"/>
          <w:i/>
          <w:sz w:val="24"/>
        </w:rPr>
        <w:t>SHapley Additive exPlanations</w:t>
      </w:r>
      <w:r>
        <w:rPr>
          <w:rFonts w:ascii="Times New Roman" w:hAnsi="Times New Roman" w:cs="Times New Roman"/>
          <w:rFonts w:ascii="Times New Roman" w:hAnsi="Times New Roman"/>
          <w:b w:val="0"/>
          <w:i w:val="0"/>
          <w:sz w:val="24"/>
        </w:rPr>
        <w:t>), que descomponen cada predicción en la contribución marginal de cada variable. Para XGBoost se utilizan valores TreeSHAP exactos (Lundberg et al., 2020).</w:t>
      </w:r>
    </w:p>
    <w:p>
      <w:pPr/>
      <w:r>
        <w:rPr>
          <w:rFonts w:ascii="Times New Roman" w:hAnsi="Times New Roman" w:cs="Times New Roman"/>
          <w:rFonts w:ascii="Times New Roman" w:hAnsi="Times New Roman"/>
          <w:b w:val="0"/>
          <w:i w:val="0"/>
          <w:sz w:val="24"/>
        </w:rPr>
        <w:t>La Tabla 7.3 presenta las 8 variables más influyentes, medidas por la importancia media de sus valores SHAP en absoluto sobre el período de test.</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Rango</w:t>
            </w:r>
          </w:p>
        </w:tc>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SHAP $</w:t>
            </w:r>
          </w:p>
        </w:tc>
        <w:tc>
          <w:tcPr>
            <w:tcW w:type="dxa" w:w="1417"/>
          </w:tcPr>
          <w:p>
            <w:pPr>
              <w:spacing w:line="240" w:lineRule="auto"/>
              <w:jc w:val="center"/>
            </w:pPr>
            <w:r/>
            <w:r>
              <w:rPr>
                <w:rFonts w:ascii="Times New Roman" w:hAnsi="Times New Roman" w:cs="Times New Roman"/>
                <w:rFonts w:ascii="Times New Roman" w:hAnsi="Times New Roman"/>
                <w:b/>
                <w:i w:val="0"/>
                <w:sz w:val="20"/>
              </w:rPr>
              <w:t>\bar{\phi}</w:t>
            </w:r>
          </w:p>
        </w:tc>
        <w:tc>
          <w:tcPr>
            <w:tcW w:type="dxa" w:w="1417"/>
          </w:tcPr>
          <w:p>
            <w:pPr>
              <w:spacing w:line="240" w:lineRule="auto"/>
              <w:jc w:val="center"/>
            </w:pPr>
            <w:r/>
            <w:r>
              <w:rPr>
                <w:rFonts w:ascii="Times New Roman" w:hAnsi="Times New Roman" w:cs="Times New Roman"/>
                <w:rFonts w:ascii="Times New Roman" w:hAnsi="Times New Roman"/>
                <w:b/>
                <w:i w:val="0"/>
                <w:sz w:val="20"/>
              </w:rPr>
              <w:t>$</w:t>
            </w:r>
          </w:p>
        </w:tc>
        <w:tc>
          <w:tcPr>
            <w:tcW w:type="dxa" w:w="1417"/>
          </w:tcPr>
          <w:p>
            <w:pPr>
              <w:spacing w:line="240" w:lineRule="auto"/>
              <w:jc w:val="center"/>
            </w:pPr>
            <w:r/>
            <w:r>
              <w:rPr>
                <w:rFonts w:ascii="Times New Roman" w:hAnsi="Times New Roman" w:cs="Times New Roman"/>
                <w:rFonts w:ascii="Times New Roman" w:hAnsi="Times New Roman"/>
                <w:b/>
                <w:i w:val="0"/>
                <w:sz w:val="20"/>
              </w:rPr>
              <w:t>Interpretación</w:t>
            </w:r>
          </w:p>
        </w:tc>
      </w:tr>
      <w:tr>
        <w:tc>
          <w:tcPr>
            <w:tcW w:type="dxa" w:w="1417"/>
          </w:tcPr>
          <w:p>
            <w:pPr>
              <w:spacing w:line="240" w:lineRule="auto"/>
            </w:pPr>
            <w:r/>
            <w:r>
              <w:rPr>
                <w:rFonts w:ascii="Times New Roman" w:hAnsi="Times New Roman" w:cs="Times New Roman"/>
                <w:rFonts w:ascii="Times New Roman" w:hAnsi="Times New Roman"/>
                <w:b w:val="0"/>
                <w:i w:val="0"/>
                <w:sz w:val="20"/>
              </w:rPr>
              <w:t>1</w:t>
            </w:r>
          </w:p>
        </w:tc>
        <w:tc>
          <w:tcPr>
            <w:tcW w:type="dxa" w:w="1417"/>
          </w:tcPr>
          <w:p>
            <w:pPr>
              <w:spacing w:line="240" w:lineRule="auto"/>
            </w:pPr>
            <w:r/>
            <w:r>
              <w:rPr>
                <w:rFonts w:ascii="Times New Roman" w:hAnsi="Times New Roman" w:cs="Times New Roman"/>
                <w:rFonts w:ascii="Times New Roman" w:hAnsi="Times New Roman"/>
                <w:b w:val="0"/>
                <w:i w:val="0"/>
                <w:sz w:val="20"/>
              </w:rPr>
              <w:t>CPI YoY (t-1)</w:t>
            </w:r>
          </w:p>
        </w:tc>
        <w:tc>
          <w:tcPr>
            <w:tcW w:type="dxa" w:w="1417"/>
          </w:tcPr>
          <w:p>
            <w:pPr>
              <w:spacing w:line="240" w:lineRule="auto"/>
            </w:pPr>
            <w:r/>
            <w:r>
              <w:rPr>
                <w:rFonts w:ascii="Times New Roman" w:hAnsi="Times New Roman" w:cs="Times New Roman"/>
                <w:rFonts w:ascii="Times New Roman" w:hAnsi="Times New Roman"/>
                <w:b w:val="0"/>
                <w:i w:val="0"/>
                <w:sz w:val="20"/>
              </w:rPr>
              <w:t>0,954</w:t>
            </w:r>
          </w:p>
        </w:tc>
        <w:tc>
          <w:tcPr>
            <w:tcW w:type="dxa" w:w="1417"/>
          </w:tcPr>
          <w:p>
            <w:pPr>
              <w:spacing w:line="240" w:lineRule="auto"/>
            </w:pPr>
            <w:r/>
            <w:r>
              <w:rPr>
                <w:rFonts w:ascii="Times New Roman" w:hAnsi="Times New Roman" w:cs="Times New Roman"/>
                <w:rFonts w:ascii="Times New Roman" w:hAnsi="Times New Roman"/>
                <w:b w:val="0"/>
                <w:i w:val="0"/>
                <w:sz w:val="20"/>
              </w:rPr>
              <w:t>Inflación pasada: predictor más potente del retorno del oro</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2</w:t>
            </w:r>
          </w:p>
        </w:tc>
        <w:tc>
          <w:tcPr>
            <w:tcW w:type="dxa" w:w="1417"/>
          </w:tcPr>
          <w:p>
            <w:pPr>
              <w:spacing w:line="240" w:lineRule="auto"/>
            </w:pPr>
            <w:r/>
            <w:r>
              <w:rPr>
                <w:rFonts w:ascii="Times New Roman" w:hAnsi="Times New Roman" w:cs="Times New Roman"/>
                <w:rFonts w:ascii="Times New Roman" w:hAnsi="Times New Roman"/>
                <w:b w:val="0"/>
                <w:i w:val="0"/>
                <w:sz w:val="20"/>
              </w:rPr>
              <w:t>TIPS 10Y (t-2)</w:t>
            </w:r>
          </w:p>
        </w:tc>
        <w:tc>
          <w:tcPr>
            <w:tcW w:type="dxa" w:w="1417"/>
          </w:tcPr>
          <w:p>
            <w:pPr>
              <w:spacing w:line="240" w:lineRule="auto"/>
            </w:pPr>
            <w:r/>
            <w:r>
              <w:rPr>
                <w:rFonts w:ascii="Times New Roman" w:hAnsi="Times New Roman" w:cs="Times New Roman"/>
                <w:rFonts w:ascii="Times New Roman" w:hAnsi="Times New Roman"/>
                <w:b w:val="0"/>
                <w:i w:val="0"/>
                <w:sz w:val="20"/>
              </w:rPr>
              <w:t>0,617</w:t>
            </w:r>
          </w:p>
        </w:tc>
        <w:tc>
          <w:tcPr>
            <w:tcW w:type="dxa" w:w="1417"/>
          </w:tcPr>
          <w:p>
            <w:pPr>
              <w:spacing w:line="240" w:lineRule="auto"/>
            </w:pPr>
            <w:r/>
            <w:r>
              <w:rPr>
                <w:rFonts w:ascii="Times New Roman" w:hAnsi="Times New Roman" w:cs="Times New Roman"/>
                <w:rFonts w:ascii="Times New Roman" w:hAnsi="Times New Roman"/>
                <w:b w:val="0"/>
                <w:i w:val="0"/>
                <w:sz w:val="20"/>
              </w:rPr>
              <w:t>Tipos reales retardados 2 meses (consistente con causalidad Granger)</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3</w:t>
            </w:r>
          </w:p>
        </w:tc>
        <w:tc>
          <w:tcPr>
            <w:tcW w:type="dxa" w:w="1417"/>
          </w:tcPr>
          <w:p>
            <w:pPr>
              <w:spacing w:line="240" w:lineRule="auto"/>
            </w:pPr>
            <w:r/>
            <w:r>
              <w:rPr>
                <w:rFonts w:ascii="Times New Roman" w:hAnsi="Times New Roman" w:cs="Times New Roman"/>
                <w:rFonts w:ascii="Times New Roman" w:hAnsi="Times New Roman"/>
                <w:b w:val="0"/>
                <w:i w:val="0"/>
                <w:sz w:val="20"/>
              </w:rPr>
              <w:t>Ret. oro (t-1)</w:t>
            </w:r>
          </w:p>
        </w:tc>
        <w:tc>
          <w:tcPr>
            <w:tcW w:type="dxa" w:w="1417"/>
          </w:tcPr>
          <w:p>
            <w:pPr>
              <w:spacing w:line="240" w:lineRule="auto"/>
            </w:pPr>
            <w:r/>
            <w:r>
              <w:rPr>
                <w:rFonts w:ascii="Times New Roman" w:hAnsi="Times New Roman" w:cs="Times New Roman"/>
                <w:rFonts w:ascii="Times New Roman" w:hAnsi="Times New Roman"/>
                <w:b w:val="0"/>
                <w:i w:val="0"/>
                <w:sz w:val="20"/>
              </w:rPr>
              <w:t>0,526</w:t>
            </w:r>
          </w:p>
        </w:tc>
        <w:tc>
          <w:tcPr>
            <w:tcW w:type="dxa" w:w="1417"/>
          </w:tcPr>
          <w:p>
            <w:pPr>
              <w:spacing w:line="240" w:lineRule="auto"/>
            </w:pPr>
            <w:r/>
            <w:r>
              <w:rPr>
                <w:rFonts w:ascii="Times New Roman" w:hAnsi="Times New Roman" w:cs="Times New Roman"/>
                <w:rFonts w:ascii="Times New Roman" w:hAnsi="Times New Roman"/>
                <w:b w:val="0"/>
                <w:i w:val="0"/>
                <w:sz w:val="20"/>
              </w:rPr>
              <w:t>Momentum de 1 mes del propio oro</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4</w:t>
            </w:r>
          </w:p>
        </w:tc>
        <w:tc>
          <w:tcPr>
            <w:tcW w:type="dxa" w:w="1417"/>
          </w:tcPr>
          <w:p>
            <w:pPr>
              <w:spacing w:line="240" w:lineRule="auto"/>
            </w:pPr>
            <w:r/>
            <w:r>
              <w:rPr>
                <w:rFonts w:ascii="Times New Roman" w:hAnsi="Times New Roman" w:cs="Times New Roman"/>
                <w:rFonts w:ascii="Times New Roman" w:hAnsi="Times New Roman"/>
                <w:b w:val="0"/>
                <w:i w:val="0"/>
                <w:sz w:val="20"/>
              </w:rPr>
              <w:t>Breakeven (t-3)</w:t>
            </w:r>
          </w:p>
        </w:tc>
        <w:tc>
          <w:tcPr>
            <w:tcW w:type="dxa" w:w="1417"/>
          </w:tcPr>
          <w:p>
            <w:pPr>
              <w:spacing w:line="240" w:lineRule="auto"/>
            </w:pPr>
            <w:r/>
            <w:r>
              <w:rPr>
                <w:rFonts w:ascii="Times New Roman" w:hAnsi="Times New Roman" w:cs="Times New Roman"/>
                <w:rFonts w:ascii="Times New Roman" w:hAnsi="Times New Roman"/>
                <w:b w:val="0"/>
                <w:i w:val="0"/>
                <w:sz w:val="20"/>
              </w:rPr>
              <w:t>0,485</w:t>
            </w:r>
          </w:p>
        </w:tc>
        <w:tc>
          <w:tcPr>
            <w:tcW w:type="dxa" w:w="1417"/>
          </w:tcPr>
          <w:p>
            <w:pPr>
              <w:spacing w:line="240" w:lineRule="auto"/>
            </w:pPr>
            <w:r/>
            <w:r>
              <w:rPr>
                <w:rFonts w:ascii="Times New Roman" w:hAnsi="Times New Roman" w:cs="Times New Roman"/>
                <w:rFonts w:ascii="Times New Roman" w:hAnsi="Times New Roman"/>
                <w:b w:val="0"/>
                <w:i w:val="0"/>
                <w:sz w:val="20"/>
              </w:rPr>
              <w:t>Expectativas inflacionarias anticipadas 3 meses</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5</w:t>
            </w:r>
          </w:p>
        </w:tc>
        <w:tc>
          <w:tcPr>
            <w:tcW w:type="dxa" w:w="1417"/>
          </w:tcPr>
          <w:p>
            <w:pPr>
              <w:spacing w:line="240" w:lineRule="auto"/>
            </w:pPr>
            <w:r/>
            <w:r>
              <w:rPr>
                <w:rFonts w:ascii="Times New Roman" w:hAnsi="Times New Roman" w:cs="Times New Roman"/>
                <w:rFonts w:ascii="Times New Roman" w:hAnsi="Times New Roman"/>
                <w:b w:val="0"/>
                <w:i w:val="0"/>
                <w:sz w:val="20"/>
              </w:rPr>
              <w:t>WTI (t-2)</w:t>
            </w:r>
          </w:p>
        </w:tc>
        <w:tc>
          <w:tcPr>
            <w:tcW w:type="dxa" w:w="1417"/>
          </w:tcPr>
          <w:p>
            <w:pPr>
              <w:spacing w:line="240" w:lineRule="auto"/>
            </w:pPr>
            <w:r/>
            <w:r>
              <w:rPr>
                <w:rFonts w:ascii="Times New Roman" w:hAnsi="Times New Roman" w:cs="Times New Roman"/>
                <w:rFonts w:ascii="Times New Roman" w:hAnsi="Times New Roman"/>
                <w:b w:val="0"/>
                <w:i w:val="0"/>
                <w:sz w:val="20"/>
              </w:rPr>
              <w:t>0,423</w:t>
            </w:r>
          </w:p>
        </w:tc>
        <w:tc>
          <w:tcPr>
            <w:tcW w:type="dxa" w:w="1417"/>
          </w:tcPr>
          <w:p>
            <w:pPr>
              <w:spacing w:line="240" w:lineRule="auto"/>
            </w:pPr>
            <w:r/>
            <w:r>
              <w:rPr>
                <w:rFonts w:ascii="Times New Roman" w:hAnsi="Times New Roman" w:cs="Times New Roman"/>
                <w:rFonts w:ascii="Times New Roman" w:hAnsi="Times New Roman"/>
                <w:b w:val="0"/>
                <w:i w:val="0"/>
                <w:sz w:val="20"/>
              </w:rPr>
              <w:t>Petróleo como proxy de presiones inflacionarias globales</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6</w:t>
            </w:r>
          </w:p>
        </w:tc>
        <w:tc>
          <w:tcPr>
            <w:tcW w:type="dxa" w:w="1417"/>
          </w:tcPr>
          <w:p>
            <w:pPr>
              <w:spacing w:line="240" w:lineRule="auto"/>
            </w:pPr>
            <w:r/>
            <w:r>
              <w:rPr>
                <w:rFonts w:ascii="Times New Roman" w:hAnsi="Times New Roman" w:cs="Times New Roman"/>
                <w:rFonts w:ascii="Times New Roman" w:hAnsi="Times New Roman"/>
                <w:b w:val="0"/>
                <w:i w:val="0"/>
                <w:sz w:val="20"/>
              </w:rPr>
              <w:t>S&amp;P 500 (t-1)</w:t>
            </w:r>
          </w:p>
        </w:tc>
        <w:tc>
          <w:tcPr>
            <w:tcW w:type="dxa" w:w="1417"/>
          </w:tcPr>
          <w:p>
            <w:pPr>
              <w:spacing w:line="240" w:lineRule="auto"/>
            </w:pPr>
            <w:r/>
            <w:r>
              <w:rPr>
                <w:rFonts w:ascii="Times New Roman" w:hAnsi="Times New Roman" w:cs="Times New Roman"/>
                <w:rFonts w:ascii="Times New Roman" w:hAnsi="Times New Roman"/>
                <w:b w:val="0"/>
                <w:i w:val="0"/>
                <w:sz w:val="20"/>
              </w:rPr>
              <w:t>0,397</w:t>
            </w:r>
          </w:p>
        </w:tc>
        <w:tc>
          <w:tcPr>
            <w:tcW w:type="dxa" w:w="1417"/>
          </w:tcPr>
          <w:p>
            <w:pPr>
              <w:spacing w:line="240" w:lineRule="auto"/>
            </w:pPr>
            <w:r/>
            <w:r>
              <w:rPr>
                <w:rFonts w:ascii="Times New Roman" w:hAnsi="Times New Roman" w:cs="Times New Roman"/>
                <w:rFonts w:ascii="Times New Roman" w:hAnsi="Times New Roman"/>
                <w:b w:val="0"/>
                <w:i w:val="0"/>
                <w:sz w:val="20"/>
              </w:rPr>
              <w:t>Sustitución renta variable-oro rezagada</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7</w:t>
            </w:r>
          </w:p>
        </w:tc>
        <w:tc>
          <w:tcPr>
            <w:tcW w:type="dxa" w:w="1417"/>
          </w:tcPr>
          <w:p>
            <w:pPr>
              <w:spacing w:line="240" w:lineRule="auto"/>
            </w:pPr>
            <w:r/>
            <w:r>
              <w:rPr>
                <w:rFonts w:ascii="Times New Roman" w:hAnsi="Times New Roman" w:cs="Times New Roman"/>
                <w:rFonts w:ascii="Times New Roman" w:hAnsi="Times New Roman"/>
                <w:b w:val="0"/>
                <w:i w:val="0"/>
                <w:sz w:val="20"/>
              </w:rPr>
              <w:t>Vol3 oro</w:t>
            </w:r>
          </w:p>
        </w:tc>
        <w:tc>
          <w:tcPr>
            <w:tcW w:type="dxa" w:w="1417"/>
          </w:tcPr>
          <w:p>
            <w:pPr>
              <w:spacing w:line="240" w:lineRule="auto"/>
            </w:pPr>
            <w:r/>
            <w:r>
              <w:rPr>
                <w:rFonts w:ascii="Times New Roman" w:hAnsi="Times New Roman" w:cs="Times New Roman"/>
                <w:rFonts w:ascii="Times New Roman" w:hAnsi="Times New Roman"/>
                <w:b w:val="0"/>
                <w:i w:val="0"/>
                <w:sz w:val="20"/>
              </w:rPr>
              <w:t>0,379</w:t>
            </w:r>
          </w:p>
        </w:tc>
        <w:tc>
          <w:tcPr>
            <w:tcW w:type="dxa" w:w="1417"/>
          </w:tcPr>
          <w:p>
            <w:pPr>
              <w:spacing w:line="240" w:lineRule="auto"/>
            </w:pPr>
            <w:r/>
            <w:r>
              <w:rPr>
                <w:rFonts w:ascii="Times New Roman" w:hAnsi="Times New Roman" w:cs="Times New Roman"/>
                <w:rFonts w:ascii="Times New Roman" w:hAnsi="Times New Roman"/>
                <w:b w:val="0"/>
                <w:i w:val="0"/>
                <w:sz w:val="20"/>
              </w:rPr>
              <w:t>Volatilidad realizada reciente del oro</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8</w:t>
            </w:r>
          </w:p>
        </w:tc>
        <w:tc>
          <w:tcPr>
            <w:tcW w:type="dxa" w:w="1417"/>
          </w:tcPr>
          <w:p>
            <w:pPr>
              <w:spacing w:line="240" w:lineRule="auto"/>
            </w:pPr>
            <w:r/>
            <w:r>
              <w:rPr>
                <w:rFonts w:ascii="Times New Roman" w:hAnsi="Times New Roman" w:cs="Times New Roman"/>
                <w:rFonts w:ascii="Times New Roman" w:hAnsi="Times New Roman"/>
                <w:b w:val="0"/>
                <w:i w:val="0"/>
                <w:sz w:val="20"/>
              </w:rPr>
              <w:t>DXY (t-3)</w:t>
            </w:r>
          </w:p>
        </w:tc>
        <w:tc>
          <w:tcPr>
            <w:tcW w:type="dxa" w:w="1417"/>
          </w:tcPr>
          <w:p>
            <w:pPr>
              <w:spacing w:line="240" w:lineRule="auto"/>
            </w:pPr>
            <w:r/>
            <w:r>
              <w:rPr>
                <w:rFonts w:ascii="Times New Roman" w:hAnsi="Times New Roman" w:cs="Times New Roman"/>
                <w:rFonts w:ascii="Times New Roman" w:hAnsi="Times New Roman"/>
                <w:b w:val="0"/>
                <w:i w:val="0"/>
                <w:sz w:val="20"/>
              </w:rPr>
              <w:t>0,329</w:t>
            </w:r>
          </w:p>
        </w:tc>
        <w:tc>
          <w:tcPr>
            <w:tcW w:type="dxa" w:w="1417"/>
          </w:tcPr>
          <w:p>
            <w:pPr>
              <w:spacing w:line="240" w:lineRule="auto"/>
            </w:pPr>
            <w:r/>
            <w:r>
              <w:rPr>
                <w:rFonts w:ascii="Times New Roman" w:hAnsi="Times New Roman" w:cs="Times New Roman"/>
                <w:rFonts w:ascii="Times New Roman" w:hAnsi="Times New Roman"/>
                <w:b w:val="0"/>
                <w:i w:val="0"/>
                <w:sz w:val="20"/>
              </w:rPr>
              <w:t>Inercia del ciclo del dólar</w:t>
            </w:r>
          </w:p>
        </w:tc>
        <w:tc>
          <w:tcPr>
            <w:tcW w:type="dxa" w:w="1417"/>
          </w:tcPr>
          <w:p/>
        </w:tc>
        <w:tc>
          <w:tcPr>
            <w:tcW w:type="dxa" w:w="1417"/>
          </w:tcPr>
          <w:p/>
        </w:tc>
      </w:tr>
    </w:tbl>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val="0"/>
          <w:i/>
          <w:sz w:val="24"/>
        </w:rPr>
        <w:t>summary plot</w:t>
      </w:r>
      <w:r>
        <w:rPr>
          <w:rFonts w:ascii="Times New Roman" w:hAnsi="Times New Roman" w:cs="Times New Roman"/>
          <w:rFonts w:ascii="Times New Roman" w:hAnsi="Times New Roman"/>
          <w:b w:val="0"/>
          <w:i w:val="0"/>
          <w:sz w:val="24"/>
        </w:rPr>
        <w:t xml:space="preserve"> de SHAP confirma las direcciones esperadas: inflación alta → SHAP positivo (predicción alcista del oro), tipos reales altos → SHAP negativo (coste de oportunidad), S&amp;P 500 alto → SHAP negativo (sustitución). Estos resultados son plenamente coherentes con los hallazgos del análisis econométrico del Capítulo 5 y del panel cross-country del Capítulo 6.</w:t>
      </w:r>
    </w:p>
    <w:p>
      <w:pPr/>
      <w:r>
        <w:rPr>
          <w:rFonts w:ascii="Times New Roman" w:hAnsi="Times New Roman" w:cs="Times New Roman"/>
          <w:rFonts w:ascii="Times New Roman" w:hAnsi="Times New Roman"/>
          <w:b w:val="0"/>
          <w:i w:val="0"/>
          <w:sz w:val="24"/>
        </w:rPr>
        <w:t xml:space="preserve">El análisis </w:t>
      </w:r>
      <w:r>
        <w:rPr>
          <w:rFonts w:ascii="Times New Roman" w:hAnsi="Times New Roman" w:cs="Times New Roman"/>
          <w:rFonts w:ascii="Times New Roman" w:hAnsi="Times New Roman"/>
          <w:b w:val="0"/>
          <w:i/>
          <w:sz w:val="24"/>
        </w:rPr>
        <w:t>waterfall</w:t>
      </w:r>
      <w:r>
        <w:rPr>
          <w:rFonts w:ascii="Times New Roman" w:hAnsi="Times New Roman" w:cs="Times New Roman"/>
          <w:rFonts w:ascii="Times New Roman" w:hAnsi="Times New Roman"/>
          <w:b w:val="0"/>
          <w:i w:val="0"/>
          <w:sz w:val="24"/>
        </w:rPr>
        <w:t xml:space="preserve"> de tres episodios representativos (GFC 2008, COVID 2020, diciembre 2025) muestra que el peso relativo de cada variable cambia entre regímenes: en episodios de crisis, el VIX y el momentum amplifican la señal; en entornos de tipo de interés excepcionales, los TIPS dominan; en diciembre 2025, la confluencia de todos los catalizadores genera la señal SHAP más intensa del período analizado.</w:t>
      </w:r>
    </w:p>
    <w:p>
      <w:pPr>
        <w:pStyle w:val="Heading2"/>
      </w:pPr>
      <w:r>
        <w:t>7.7 Conclusiones del capítulo</w:t>
      </w:r>
    </w:p>
    <w:p>
      <w:pPr/>
      <w:r>
        <w:rPr>
          <w:rFonts w:ascii="Times New Roman" w:hAnsi="Times New Roman" w:cs="Times New Roman"/>
          <w:rFonts w:ascii="Times New Roman" w:hAnsi="Times New Roman"/>
          <w:b w:val="0"/>
          <w:i w:val="0"/>
          <w:sz w:val="24"/>
        </w:rPr>
        <w:t xml:space="preserve">1. La </w:t>
      </w:r>
      <w:r>
        <w:rPr>
          <w:rFonts w:ascii="Times New Roman" w:hAnsi="Times New Roman" w:cs="Times New Roman"/>
          <w:rFonts w:ascii="Times New Roman" w:hAnsi="Times New Roman"/>
          <w:b/>
          <w:i w:val="0"/>
          <w:sz w:val="24"/>
        </w:rPr>
        <w:t>LSTM es el modelo más preciso</w:t>
      </w:r>
      <w:r>
        <w:rPr>
          <w:rFonts w:ascii="Times New Roman" w:hAnsi="Times New Roman" w:cs="Times New Roman"/>
          <w:rFonts w:ascii="Times New Roman" w:hAnsi="Times New Roman"/>
          <w:b w:val="0"/>
          <w:i w:val="0"/>
          <w:sz w:val="24"/>
        </w:rPr>
        <w:t xml:space="preserve"> (DA = 61,5%), mejorando en 5,6 puntos porcentuales al benchmark naive, gracias a su capacidad de capturar dependencias temporales de medio plazo.</w:t>
      </w:r>
    </w:p>
    <w:p>
      <w:pPr/>
      <w:r>
        <w:rPr>
          <w:rFonts w:ascii="Times New Roman" w:hAnsi="Times New Roman" w:cs="Times New Roman"/>
          <w:rFonts w:ascii="Times New Roman" w:hAnsi="Times New Roman"/>
          <w:b w:val="0"/>
          <w:i w:val="0"/>
          <w:sz w:val="24"/>
        </w:rPr>
        <w:t xml:space="preserve">2. El </w:t>
      </w:r>
      <w:r>
        <w:rPr>
          <w:rFonts w:ascii="Times New Roman" w:hAnsi="Times New Roman" w:cs="Times New Roman"/>
          <w:rFonts w:ascii="Times New Roman" w:hAnsi="Times New Roman"/>
          <w:b/>
          <w:i w:val="0"/>
          <w:sz w:val="24"/>
        </w:rPr>
        <w:t>análisis SHAP converge con la econometría</w:t>
      </w:r>
      <w:r>
        <w:rPr>
          <w:rFonts w:ascii="Times New Roman" w:hAnsi="Times New Roman" w:cs="Times New Roman"/>
          <w:rFonts w:ascii="Times New Roman" w:hAnsi="Times New Roman"/>
          <w:b w:val="0"/>
          <w:i w:val="0"/>
          <w:sz w:val="24"/>
        </w:rPr>
        <w:t>: los determinantes más importantes del oro —tanto en el VECM como en ML— son los tipos de interés reales y la inflación, lo que valida la especificación del modelo a través de dos metodologías independientes.</w:t>
      </w:r>
    </w:p>
    <w:p>
      <w:pPr/>
      <w:r>
        <w:rPr>
          <w:rFonts w:ascii="Times New Roman" w:hAnsi="Times New Roman" w:cs="Times New Roman"/>
          <w:rFonts w:ascii="Times New Roman" w:hAnsi="Times New Roman"/>
          <w:b w:val="0"/>
          <w:i w:val="0"/>
          <w:sz w:val="24"/>
        </w:rPr>
        <w:t xml:space="preserve">3. Los modelos de ML </w:t>
      </w:r>
      <w:r>
        <w:rPr>
          <w:rFonts w:ascii="Times New Roman" w:hAnsi="Times New Roman" w:cs="Times New Roman"/>
          <w:rFonts w:ascii="Times New Roman" w:hAnsi="Times New Roman"/>
          <w:b/>
          <w:i w:val="0"/>
          <w:sz w:val="24"/>
        </w:rPr>
        <w:t>complementan, no sustituyen</w:t>
      </w:r>
      <w:r>
        <w:rPr>
          <w:rFonts w:ascii="Times New Roman" w:hAnsi="Times New Roman" w:cs="Times New Roman"/>
          <w:rFonts w:ascii="Times New Roman" w:hAnsi="Times New Roman"/>
          <w:b w:val="0"/>
          <w:i w:val="0"/>
          <w:sz w:val="24"/>
        </w:rPr>
        <w:t>, al análisis econométrico: el VECM identifica relaciones estructurales de largo plazo y cuantifica el ajuste al equilibrio; el ML mejora la predicción de corto plazo y cuantifica el peso relativo de las variables en cada régimen de mercado.</w:t>
      </w:r>
    </w:p>
    <w:p>
      <w:pPr/>
      <w:r>
        <w:rPr>
          <w:rFonts w:ascii="Times New Roman" w:hAnsi="Times New Roman" w:cs="Times New Roman"/>
          <w:rFonts w:ascii="Times New Roman" w:hAnsi="Times New Roman"/>
          <w:b w:val="0"/>
          <w:i w:val="0"/>
          <w:sz w:val="24"/>
        </w:rPr>
        <w:t xml:space="preserve">4. La </w:t>
      </w:r>
      <w:r>
        <w:rPr>
          <w:rFonts w:ascii="Times New Roman" w:hAnsi="Times New Roman" w:cs="Times New Roman"/>
          <w:rFonts w:ascii="Times New Roman" w:hAnsi="Times New Roman"/>
          <w:b/>
          <w:i w:val="0"/>
          <w:sz w:val="24"/>
        </w:rPr>
        <w:t>limitación principal</w:t>
      </w:r>
      <w:r>
        <w:rPr>
          <w:rFonts w:ascii="Times New Roman" w:hAnsi="Times New Roman" w:cs="Times New Roman"/>
          <w:rFonts w:ascii="Times New Roman" w:hAnsi="Times New Roman"/>
          <w:b w:val="0"/>
          <w:i w:val="0"/>
          <w:sz w:val="24"/>
        </w:rPr>
        <w:t xml:space="preserve"> es el tamaño de la muestra (271 observaciones, 35 features): los resultados deben interpretarse con cautela y se beneficiarían de replicación con muestras más largas o a mayor frecuencia.</w:t>
      </w:r>
    </w:p>
    <w:p>
      <w:pPr>
        <w:spacing w:before="160"/>
        <w:jc w:val="center"/>
      </w:pPr>
      <w:r>
        <w:drawing>
          <wp:inline xmlns:a="http://schemas.openxmlformats.org/drawingml/2006/main" xmlns:pic="http://schemas.openxmlformats.org/drawingml/2006/picture">
            <wp:extent cx="5040000" cy="2016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4"/>
                    <a:stretch>
                      <a:fillRect/>
                    </a:stretch>
                  </pic:blipFill>
                  <pic:spPr>
                    <a:xfrm>
                      <a:off x="0" y="0"/>
                      <a:ext cx="5040000" cy="2016000"/>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7.1. Comparativa de modelos predictivos: RMSE (izquierda) y precision direccional DA (derecha), periodo walk-forward (oct. 2016 - oct. 2025). La linea discontinua marca el benchmark naive. Fuente: elaboracion propia.</w:t>
      </w:r>
    </w:p>
    <w:p>
      <w:pPr>
        <w:spacing w:before="160"/>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fig_05_shap.png"/>
                    <pic:cNvPicPr/>
                  </pic:nvPicPr>
                  <pic:blipFill>
                    <a:blip r:embed="rId15"/>
                    <a:stretch>
                      <a:fillRect/>
                    </a:stretch>
                  </pic:blipFill>
                  <pic:spPr>
                    <a:xfrm>
                      <a:off x="0" y="0"/>
                      <a:ext cx="5040000" cy="2835000"/>
                    </a:xfrm>
                    <a:prstGeom prst="rect"/>
                  </pic:spPr>
                </pic:pic>
              </a:graphicData>
            </a:graphic>
          </wp:inline>
        </w:drawing>
      </w:r>
    </w:p>
    <w:p>
      <w:pPr>
        <w:spacing w:before="40" w:after="240"/>
        <w:jc w:val="center"/>
      </w:pPr>
      <w:r>
        <w:rPr>
          <w:rFonts w:ascii="Times New Roman" w:hAnsi="Times New Roman" w:cs="Times New Roman"/>
          <w:rFonts w:ascii="Times New Roman" w:hAnsi="Times New Roman"/>
          <w:b w:val="0"/>
          <w:i/>
          <w:sz w:val="20"/>
        </w:rPr>
        <w:t>Figura 7.2. Top 8 variables por importancia SHAP (valor medio |phi|) en el modelo XGBoost, periodo de test (oct. 2016 - oct. 2025). Fuente: elaboracion propia.</w:t>
      </w:r>
    </w:p>
    <w:p>
      <w:r>
        <w:br w:type="page"/>
      </w:r>
    </w:p>
    <w:p>
      <w:pPr>
        <w:pStyle w:val="Heading1"/>
      </w:pPr>
      <w:r>
        <w:t>Capítulo 8: Discusión integrada</w:t>
      </w:r>
    </w:p>
    <w:p>
      <w:pPr>
        <w:pStyle w:val="Heading2"/>
      </w:pPr>
      <w:r>
        <w:t>8.1 Introducción: tres metodologías, una pregunta</w:t>
      </w:r>
    </w:p>
    <w:p>
      <w:pPr/>
      <w:r>
        <w:rPr>
          <w:rFonts w:ascii="Times New Roman" w:hAnsi="Times New Roman" w:cs="Times New Roman"/>
          <w:rFonts w:ascii="Times New Roman" w:hAnsi="Times New Roman"/>
          <w:b w:val="0"/>
          <w:i w:val="0"/>
          <w:sz w:val="24"/>
        </w:rPr>
        <w:t>Los tres capítulos analíticos de este trabajo —el VECM del Capítulo 5, el análisis de panel del Capítulo 6 y los modelos de machine learning del Capítulo 7— se diseñaron para responder a las mismas preguntas de investigación desde ángulos complementarios. Cada metodología tiene un conjunto propio de supuestos, fortalezas y limitaciones: el VECM captura relaciones de equilibrio de largo plazo pero asume linealidad y parámetros constantes; el panel cross-country añade la dimensión comparativa internacional a costa de trabajar con retornos trimestrales y cuatro unidades; el ML aprende patrones no lineales y captura regímenes cambiantes, pero a expensas de mayor complejidad y menor interpretabilidad directa. El hecho de que tres enfoques metodológicamente independientes converjan en conclusiones similares sobre los determinantes del oro es, en sí mismo, el hallazgo más robusto de este trabajo.</w:t>
      </w:r>
    </w:p>
    <w:p>
      <w:pPr/>
      <w:r>
        <w:rPr>
          <w:rFonts w:ascii="Times New Roman" w:hAnsi="Times New Roman" w:cs="Times New Roman"/>
          <w:rFonts w:ascii="Times New Roman" w:hAnsi="Times New Roman"/>
          <w:b w:val="0"/>
          <w:i w:val="0"/>
          <w:sz w:val="24"/>
        </w:rPr>
        <w:t>Este capítulo sintetiza los resultados de los tres pilares, responde explícitamente a las preguntas de investigación planteadas en el §1.3, discute la "paradoja de 2022-2024" como caso de estudio integrador y concluye con una valoración honesta de las limitaciones del análisis.</w:t>
      </w:r>
    </w:p>
    <w:p>
      <w:pPr>
        <w:pStyle w:val="Heading2"/>
      </w:pPr>
      <w:r>
        <w:t>8.2 Respuesta a las preguntas de investigación</w:t>
      </w:r>
    </w:p>
    <w:p>
      <w:pPr>
        <w:pStyle w:val="Heading3"/>
      </w:pPr>
      <w:r>
        <w:t>8.2.1 Pregunta 1: ¿Qué variables determinan el precio del oro en el periodo 2000-2025?</w:t>
      </w:r>
    </w:p>
    <w:p>
      <w:pPr/>
      <w:r>
        <w:rPr>
          <w:rFonts w:ascii="Times New Roman" w:hAnsi="Times New Roman" w:cs="Times New Roman"/>
          <w:rFonts w:ascii="Times New Roman" w:hAnsi="Times New Roman"/>
          <w:b w:val="0"/>
          <w:i w:val="0"/>
          <w:sz w:val="24"/>
        </w:rPr>
        <w:t xml:space="preserve">La respuesta que emerge del conjunto del análisis es clara y consistente: </w:t>
      </w:r>
      <w:r>
        <w:rPr>
          <w:rFonts w:ascii="Times New Roman" w:hAnsi="Times New Roman" w:cs="Times New Roman"/>
          <w:rFonts w:ascii="Times New Roman" w:hAnsi="Times New Roman"/>
          <w:b/>
          <w:i w:val="0"/>
          <w:sz w:val="24"/>
        </w:rPr>
        <w:t>los tipos de interés reales y el índice del dólar son los determinantes estructurales dominantes del precio del oro</w:t>
      </w:r>
      <w:r>
        <w:rPr>
          <w:rFonts w:ascii="Times New Roman" w:hAnsi="Times New Roman" w:cs="Times New Roman"/>
          <w:rFonts w:ascii="Times New Roman" w:hAnsi="Times New Roman"/>
          <w:b w:val="0"/>
          <w:i w:val="0"/>
          <w:sz w:val="24"/>
        </w:rPr>
        <w:t>, en ese orden de importancia.</w:t>
      </w:r>
    </w:p>
    <w:p>
      <w:pPr/>
      <w:r>
        <w:rPr>
          <w:rFonts w:ascii="Times New Roman" w:hAnsi="Times New Roman" w:cs="Times New Roman"/>
          <w:rFonts w:ascii="Times New Roman" w:hAnsi="Times New Roman"/>
          <w:b w:val="0"/>
          <w:i w:val="0"/>
          <w:sz w:val="24"/>
        </w:rPr>
        <w:t>La evidencia proveniente de las tres metodologías apunta en la misma dirección. En el análisis VECM del Capítulo 5, el tipo de interés real medido por los TIPS a 10 años aparece como la variable con mayor causalidad de Granger (p &lt; 0,001 a todos los horizontes), la mayor magnitud de impulso-respuesta y la mayor contribución a la varianza del error de predicción en horizontes superiores a seis meses. El índice del dólar (DXY) ocupa el segundo lugar en las tres métricas. La renta variable (S&amp;P 500) actúa como determinante de corto y medio plazo —especialmente visible en los episodios de crisis, cuando los inversores mueven capital entre activos de riesgo y refugio—, pero su contribución a la varianza de largo plazo del oro es más modesta.</w:t>
      </w:r>
    </w:p>
    <w:p>
      <w:pPr/>
      <w:r>
        <w:rPr>
          <w:rFonts w:ascii="Times New Roman" w:hAnsi="Times New Roman" w:cs="Times New Roman"/>
          <w:rFonts w:ascii="Times New Roman" w:hAnsi="Times New Roman"/>
          <w:b w:val="0"/>
          <w:i w:val="0"/>
          <w:sz w:val="24"/>
        </w:rPr>
        <w:t>El análisis de panel del Capítulo 6 confirma que estos mecanismos no son una idiosincrasia del mercado estadounidense. El coeficiente del tipo de interés real local es negativo y estadísticamente significativo en las cuatro economías del panel (EE.UU., Eurozona, Reino Unido y Japón), con errores estándar robustos de Driscoll-Kraay que son válidos bajo dependencia transversal y temporal simultánea. Este resultado establece que el mecanismo de coste de oportunidad —el canal por el que los tipos reales más altos reducen el atractivo relativo del oro, que no genera rendimiento corriente— opera universalmente como propiedad estructural del activo, independientemente de la moneda en que se mide el precio del oro y del banco central cuya política monetaria se considere.</w:t>
      </w:r>
    </w:p>
    <w:p>
      <w:pPr/>
      <w:r>
        <w:rPr>
          <w:rFonts w:ascii="Times New Roman" w:hAnsi="Times New Roman" w:cs="Times New Roman"/>
          <w:rFonts w:ascii="Times New Roman" w:hAnsi="Times New Roman"/>
          <w:b w:val="0"/>
          <w:i w:val="0"/>
          <w:sz w:val="24"/>
        </w:rPr>
        <w:t>El análisis SHAP del Capítulo 7 cierra el círculo desde la perspectiva del machine learning. En el modelo XGBoost con validación walk-forward, las dos variables con mayor importancia SHAP sobre el período de test son, por ese orden, la inflación CPI con retardo de un mes (|φ̄| = 0,954) y el TIPS a 10 años con retardo de dos meses (|φ̄| = 0,617). Nótese que la inflación lidera en el análisis SHAP de corto plazo mientras que los tipos reales lideran en el FEVD de largo plazo: lejos de ser contradictorios, estos resultados son complementarios. En el horizonte de un mes, la sorpresa en la inflación reciente es la señal más directa del coste de oportunidad del oro; en horizontes de 12 a 24 meses, el nivel de los tipos reales es el anclaje estructural al que el precio del oro tiende a revertir.</w:t>
      </w:r>
    </w:p>
    <w:p>
      <w:pPr/>
      <w:r>
        <w:rPr>
          <w:rFonts w:ascii="Times New Roman" w:hAnsi="Times New Roman" w:cs="Times New Roman"/>
          <w:rFonts w:ascii="Times New Roman" w:hAnsi="Times New Roman"/>
          <w:b w:val="0"/>
          <w:i w:val="0"/>
          <w:sz w:val="24"/>
        </w:rPr>
        <w:t>La inflación, la volatilidad (VIX), el momentum del propio precio del oro y el petróleo (WTI) completan el conjunto de determinantes relevantes, pero con un papel secundario respecto a los tipos reales y el dólar. La Tabla 8.1 resume la jerarquía de determinantes según las tres metodologías.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VECM (FEVD 12m)</w:t>
            </w:r>
          </w:p>
        </w:tc>
        <w:tc>
          <w:tcPr>
            <w:tcW w:type="dxa" w:w="1417"/>
          </w:tcPr>
          <w:p>
            <w:pPr>
              <w:spacing w:line="240" w:lineRule="auto"/>
              <w:jc w:val="center"/>
            </w:pPr>
            <w:r/>
            <w:r>
              <w:rPr>
                <w:rFonts w:ascii="Times New Roman" w:hAnsi="Times New Roman" w:cs="Times New Roman"/>
                <w:rFonts w:ascii="Times New Roman" w:hAnsi="Times New Roman"/>
                <w:b/>
                <w:i w:val="0"/>
                <w:sz w:val="20"/>
              </w:rPr>
              <w:t>Panel EF (coef. β)</w:t>
            </w:r>
          </w:p>
        </w:tc>
        <w:tc>
          <w:tcPr>
            <w:tcW w:type="dxa" w:w="1417"/>
          </w:tcPr>
          <w:p>
            <w:pPr>
              <w:spacing w:line="240" w:lineRule="auto"/>
              <w:jc w:val="center"/>
            </w:pPr>
            <w:r/>
            <w:r>
              <w:rPr>
                <w:rFonts w:ascii="Times New Roman" w:hAnsi="Times New Roman" w:cs="Times New Roman"/>
                <w:rFonts w:ascii="Times New Roman" w:hAnsi="Times New Roman"/>
                <w:b/>
                <w:i w:val="0"/>
                <w:sz w:val="20"/>
              </w:rPr>
              <w:t>SHAP (</w:t>
            </w:r>
          </w:p>
        </w:tc>
        <w:tc>
          <w:tcPr>
            <w:tcW w:type="dxa" w:w="1417"/>
          </w:tcPr>
          <w:p>
            <w:pPr>
              <w:spacing w:line="240" w:lineRule="auto"/>
              <w:jc w:val="center"/>
            </w:pPr>
            <w:r/>
            <w:r>
              <w:rPr>
                <w:rFonts w:ascii="Times New Roman" w:hAnsi="Times New Roman" w:cs="Times New Roman"/>
                <w:rFonts w:ascii="Times New Roman" w:hAnsi="Times New Roman"/>
                <w:b/>
                <w:i w:val="0"/>
                <w:sz w:val="20"/>
              </w:rPr>
              <w:t>φ̄</w:t>
            </w:r>
          </w:p>
        </w:tc>
        <w:tc>
          <w:tcPr>
            <w:tcW w:type="dxa" w:w="1417"/>
          </w:tcPr>
          <w:p>
            <w:pPr>
              <w:spacing w:line="240" w:lineRule="auto"/>
              <w:jc w:val="center"/>
            </w:pPr>
            <w:r/>
            <w:r>
              <w:rPr>
                <w:rFonts w:ascii="Times New Roman" w:hAnsi="Times New Roman" w:cs="Times New Roman"/>
                <w:rFonts w:ascii="Times New Roman" w:hAnsi="Times New Roman"/>
                <w:b/>
                <w:i w:val="0"/>
                <w:sz w:val="20"/>
              </w:rPr>
              <w:t>test)</w:t>
            </w:r>
          </w:p>
        </w:tc>
      </w:tr>
      <w:tr>
        <w:tc>
          <w:tcPr>
            <w:tcW w:type="dxa" w:w="1417"/>
          </w:tcPr>
          <w:p>
            <w:pPr>
              <w:spacing w:line="240" w:lineRule="auto"/>
            </w:pPr>
            <w:r/>
            <w:r>
              <w:rPr>
                <w:rFonts w:ascii="Times New Roman" w:hAnsi="Times New Roman" w:cs="Times New Roman"/>
                <w:rFonts w:ascii="Times New Roman" w:hAnsi="Times New Roman"/>
                <w:b w:val="0"/>
                <w:i w:val="0"/>
                <w:sz w:val="20"/>
              </w:rPr>
              <w:t>Tipos reales (TIPS / local r)</w:t>
            </w:r>
          </w:p>
        </w:tc>
        <w:tc>
          <w:tcPr>
            <w:tcW w:type="dxa" w:w="1417"/>
          </w:tcPr>
          <w:p>
            <w:pPr>
              <w:spacing w:line="240" w:lineRule="auto"/>
            </w:pPr>
            <w:r/>
            <w:r>
              <w:rPr>
                <w:rFonts w:ascii="Times New Roman" w:hAnsi="Times New Roman" w:cs="Times New Roman"/>
                <w:rFonts w:ascii="Times New Roman" w:hAnsi="Times New Roman"/>
                <w:b w:val="0"/>
                <w:i w:val="0"/>
                <w:sz w:val="20"/>
              </w:rPr>
              <w:t>**#1** contribución varianza</w:t>
            </w:r>
          </w:p>
        </w:tc>
        <w:tc>
          <w:tcPr>
            <w:tcW w:type="dxa" w:w="1417"/>
          </w:tcPr>
          <w:p>
            <w:pPr>
              <w:spacing w:line="240" w:lineRule="auto"/>
            </w:pPr>
            <w:r/>
            <w:r>
              <w:rPr>
                <w:rFonts w:ascii="Times New Roman" w:hAnsi="Times New Roman" w:cs="Times New Roman"/>
                <w:rFonts w:ascii="Times New Roman" w:hAnsi="Times New Roman"/>
                <w:b w:val="0"/>
                <w:i w:val="0"/>
                <w:sz w:val="20"/>
              </w:rPr>
              <w:t>**#1** más significativo</w:t>
            </w:r>
          </w:p>
        </w:tc>
        <w:tc>
          <w:tcPr>
            <w:tcW w:type="dxa" w:w="1417"/>
          </w:tcPr>
          <w:p>
            <w:pPr>
              <w:spacing w:line="240" w:lineRule="auto"/>
            </w:pPr>
            <w:r/>
            <w:r>
              <w:rPr>
                <w:rFonts w:ascii="Times New Roman" w:hAnsi="Times New Roman" w:cs="Times New Roman"/>
                <w:rFonts w:ascii="Times New Roman" w:hAnsi="Times New Roman"/>
                <w:b w:val="0"/>
                <w:i w:val="0"/>
                <w:sz w:val="20"/>
              </w:rPr>
              <w:t>**#2** XGBoost test</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Inflación (CPI / π local)</w:t>
            </w:r>
          </w:p>
        </w:tc>
        <w:tc>
          <w:tcPr>
            <w:tcW w:type="dxa" w:w="1417"/>
          </w:tcPr>
          <w:p>
            <w:pPr>
              <w:spacing w:line="240" w:lineRule="auto"/>
            </w:pPr>
            <w:r/>
            <w:r>
              <w:rPr>
                <w:rFonts w:ascii="Times New Roman" w:hAnsi="Times New Roman" w:cs="Times New Roman"/>
                <w:rFonts w:ascii="Times New Roman" w:hAnsi="Times New Roman"/>
                <w:b w:val="0"/>
                <w:i w:val="0"/>
                <w:sz w:val="20"/>
              </w:rPr>
              <w:t>Variable exógena (I(0))</w:t>
            </w:r>
          </w:p>
        </w:tc>
        <w:tc>
          <w:tcPr>
            <w:tcW w:type="dxa" w:w="1417"/>
          </w:tcPr>
          <w:p>
            <w:pPr>
              <w:spacing w:line="240" w:lineRule="auto"/>
            </w:pPr>
            <w:r/>
            <w:r>
              <w:rPr>
                <w:rFonts w:ascii="Times New Roman" w:hAnsi="Times New Roman" w:cs="Times New Roman"/>
                <w:rFonts w:ascii="Times New Roman" w:hAnsi="Times New Roman"/>
                <w:b w:val="0"/>
                <w:i w:val="0"/>
                <w:sz w:val="20"/>
              </w:rPr>
              <w:t>Significativo (β &gt; 0)</w:t>
            </w:r>
          </w:p>
        </w:tc>
        <w:tc>
          <w:tcPr>
            <w:tcW w:type="dxa" w:w="1417"/>
          </w:tcPr>
          <w:p>
            <w:pPr>
              <w:spacing w:line="240" w:lineRule="auto"/>
            </w:pPr>
            <w:r/>
            <w:r>
              <w:rPr>
                <w:rFonts w:ascii="Times New Roman" w:hAnsi="Times New Roman" w:cs="Times New Roman"/>
                <w:rFonts w:ascii="Times New Roman" w:hAnsi="Times New Roman"/>
                <w:b w:val="0"/>
                <w:i w:val="0"/>
                <w:sz w:val="20"/>
              </w:rPr>
              <w:t>**#1** XGBoost test</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DXY (dólar)</w:t>
            </w:r>
          </w:p>
        </w:tc>
        <w:tc>
          <w:tcPr>
            <w:tcW w:type="dxa" w:w="1417"/>
          </w:tcPr>
          <w:p>
            <w:pPr>
              <w:spacing w:line="240" w:lineRule="auto"/>
            </w:pPr>
            <w:r/>
            <w:r>
              <w:rPr>
                <w:rFonts w:ascii="Times New Roman" w:hAnsi="Times New Roman" w:cs="Times New Roman"/>
                <w:rFonts w:ascii="Times New Roman" w:hAnsi="Times New Roman"/>
                <w:b w:val="0"/>
                <w:i w:val="0"/>
                <w:sz w:val="20"/>
              </w:rPr>
              <w:t>**#2** contribución varianza</w:t>
            </w:r>
          </w:p>
        </w:tc>
        <w:tc>
          <w:tcPr>
            <w:tcW w:type="dxa" w:w="1417"/>
          </w:tcPr>
          <w:p>
            <w:pPr>
              <w:spacing w:line="240" w:lineRule="auto"/>
            </w:pPr>
            <w:r/>
            <w:r>
              <w:rPr>
                <w:rFonts w:ascii="Times New Roman" w:hAnsi="Times New Roman" w:cs="Times New Roman"/>
                <w:rFonts w:ascii="Times New Roman" w:hAnsi="Times New Roman"/>
                <w:b w:val="0"/>
                <w:i w:val="0"/>
                <w:sz w:val="20"/>
              </w:rPr>
              <w:t>— (variable común USD)</w:t>
            </w:r>
          </w:p>
        </w:tc>
        <w:tc>
          <w:tcPr>
            <w:tcW w:type="dxa" w:w="1417"/>
          </w:tcPr>
          <w:p>
            <w:pPr>
              <w:spacing w:line="240" w:lineRule="auto"/>
            </w:pPr>
            <w:r/>
            <w:r>
              <w:rPr>
                <w:rFonts w:ascii="Times New Roman" w:hAnsi="Times New Roman" w:cs="Times New Roman"/>
                <w:rFonts w:ascii="Times New Roman" w:hAnsi="Times New Roman"/>
                <w:b w:val="0"/>
                <w:i w:val="0"/>
                <w:sz w:val="20"/>
              </w:rPr>
              <w:t>**#8** (retardo 3m)</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VIX (volatilidad global)</w:t>
            </w:r>
          </w:p>
        </w:tc>
        <w:tc>
          <w:tcPr>
            <w:tcW w:type="dxa" w:w="1417"/>
          </w:tcPr>
          <w:p>
            <w:pPr>
              <w:spacing w:line="240" w:lineRule="auto"/>
            </w:pPr>
            <w:r/>
            <w:r>
              <w:rPr>
                <w:rFonts w:ascii="Times New Roman" w:hAnsi="Times New Roman" w:cs="Times New Roman"/>
                <w:rFonts w:ascii="Times New Roman" w:hAnsi="Times New Roman"/>
                <w:b w:val="0"/>
                <w:i w:val="0"/>
                <w:sz w:val="20"/>
              </w:rPr>
              <w:t>Variable exógena</w:t>
            </w:r>
          </w:p>
        </w:tc>
        <w:tc>
          <w:tcPr>
            <w:tcW w:type="dxa" w:w="1417"/>
          </w:tcPr>
          <w:p>
            <w:pPr>
              <w:spacing w:line="240" w:lineRule="auto"/>
            </w:pPr>
            <w:r/>
            <w:r>
              <w:rPr>
                <w:rFonts w:ascii="Times New Roman" w:hAnsi="Times New Roman" w:cs="Times New Roman"/>
                <w:rFonts w:ascii="Times New Roman" w:hAnsi="Times New Roman"/>
                <w:b w:val="0"/>
                <w:i w:val="0"/>
                <w:sz w:val="20"/>
              </w:rPr>
              <w:t>**#3** (coef. β &gt; 0)</w:t>
            </w:r>
          </w:p>
        </w:tc>
        <w:tc>
          <w:tcPr>
            <w:tcW w:type="dxa" w:w="1417"/>
          </w:tcPr>
          <w:p>
            <w:pPr>
              <w:spacing w:line="240" w:lineRule="auto"/>
            </w:pPr>
            <w:r/>
            <w:r>
              <w:rPr>
                <w:rFonts w:ascii="Times New Roman" w:hAnsi="Times New Roman" w:cs="Times New Roman"/>
                <w:rFonts w:ascii="Times New Roman" w:hAnsi="Times New Roman"/>
                <w:b w:val="0"/>
                <w:i w:val="0"/>
                <w:sz w:val="20"/>
              </w:rPr>
              <w:t>Incluido entre top-10</w:t>
            </w:r>
          </w:p>
        </w:tc>
        <w:tc>
          <w:tcPr>
            <w:tcW w:type="dxa" w:w="1417"/>
          </w:tcPr>
          <w:p/>
        </w:tc>
        <w:tc>
          <w:tcPr>
            <w:tcW w:type="dxa" w:w="1417"/>
          </w:tcPr>
          <w:p/>
        </w:tc>
      </w:tr>
      <w:tr>
        <w:tc>
          <w:tcPr>
            <w:tcW w:type="dxa" w:w="1417"/>
          </w:tcPr>
          <w:p>
            <w:pPr>
              <w:spacing w:line="240" w:lineRule="auto"/>
            </w:pPr>
            <w:r/>
            <w:r>
              <w:rPr>
                <w:rFonts w:ascii="Times New Roman" w:hAnsi="Times New Roman" w:cs="Times New Roman"/>
                <w:rFonts w:ascii="Times New Roman" w:hAnsi="Times New Roman"/>
                <w:b w:val="0"/>
                <w:i w:val="0"/>
                <w:sz w:val="20"/>
              </w:rPr>
              <w:t>S&amp;P 500 / renta variable</w:t>
            </w:r>
          </w:p>
        </w:tc>
        <w:tc>
          <w:tcPr>
            <w:tcW w:type="dxa" w:w="1417"/>
          </w:tcPr>
          <w:p>
            <w:pPr>
              <w:spacing w:line="240" w:lineRule="auto"/>
            </w:pPr>
            <w:r/>
            <w:r>
              <w:rPr>
                <w:rFonts w:ascii="Times New Roman" w:hAnsi="Times New Roman" w:cs="Times New Roman"/>
                <w:rFonts w:ascii="Times New Roman" w:hAnsi="Times New Roman"/>
                <w:b w:val="0"/>
                <w:i w:val="0"/>
                <w:sz w:val="20"/>
              </w:rPr>
              <w:t>**#3** contribución varianza</w:t>
            </w:r>
          </w:p>
        </w:tc>
        <w:tc>
          <w:tcPr>
            <w:tcW w:type="dxa" w:w="1417"/>
          </w:tcPr>
          <w:p>
            <w:pPr>
              <w:spacing w:line="240" w:lineRule="auto"/>
            </w:pPr>
            <w:r/>
            <w:r>
              <w:rPr>
                <w:rFonts w:ascii="Times New Roman" w:hAnsi="Times New Roman" w:cs="Times New Roman"/>
                <w:rFonts w:ascii="Times New Roman" w:hAnsi="Times New Roman"/>
                <w:b w:val="0"/>
                <w:i w:val="0"/>
                <w:sz w:val="20"/>
              </w:rPr>
              <w:t>Significativo (β &lt; 0)</w:t>
            </w:r>
          </w:p>
        </w:tc>
        <w:tc>
          <w:tcPr>
            <w:tcW w:type="dxa" w:w="1417"/>
          </w:tcPr>
          <w:p>
            <w:pPr>
              <w:spacing w:line="240" w:lineRule="auto"/>
            </w:pPr>
            <w:r/>
            <w:r>
              <w:rPr>
                <w:rFonts w:ascii="Times New Roman" w:hAnsi="Times New Roman" w:cs="Times New Roman"/>
                <w:rFonts w:ascii="Times New Roman" w:hAnsi="Times New Roman"/>
                <w:b w:val="0"/>
                <w:i w:val="0"/>
                <w:sz w:val="20"/>
              </w:rPr>
              <w:t>**#6** (retardo 1m)</w:t>
            </w:r>
          </w:p>
        </w:tc>
        <w:tc>
          <w:tcPr>
            <w:tcW w:type="dxa" w:w="1417"/>
          </w:tcPr>
          <w:p/>
        </w:tc>
        <w:tc>
          <w:tcPr>
            <w:tcW w:type="dxa" w:w="1417"/>
          </w:tcPr>
          <w:p/>
        </w:tc>
      </w:tr>
    </w:tbl>
    <w:p/>
    <w:p>
      <w:pPr>
        <w:pStyle w:val="Heading3"/>
      </w:pPr>
      <w:r>
        <w:t>8.2.2 Pregunta 2: ¿Han cambiado los determinantes del oro tras los episodios de crisis?</w:t>
      </w:r>
    </w:p>
    <w:p>
      <w:pPr/>
      <w:r>
        <w:rPr>
          <w:rFonts w:ascii="Times New Roman" w:hAnsi="Times New Roman" w:cs="Times New Roman"/>
          <w:rFonts w:ascii="Times New Roman" w:hAnsi="Times New Roman"/>
          <w:b w:val="0"/>
          <w:i w:val="0"/>
          <w:sz w:val="24"/>
        </w:rPr>
        <w:t>La respuesta es afirmativa, y la evidencia es especialmente pronunciada para el episodio 2022-2024. Los tests de Chow del §5.8.2 rechazan la estabilidad de los parámetros en los puntos de quiebre asociados a los principales episodios de crisis, con el mayor estadístico F correspondiente al inicio del ciclo de subidas de tipos de la Reserva Federal (marzo de 2022). El análisis CUSUM del §5.8.3 refuerza este diagnóstico: la función CUSUM sale de las bandas de confianza al 5% durante el periodo 2022-2024, indicando que los parámetros del modelo cambiaron cualitativamente en ese período.</w:t>
      </w:r>
    </w:p>
    <w:p>
      <w:pPr/>
      <w:r>
        <w:rPr>
          <w:rFonts w:ascii="Times New Roman" w:hAnsi="Times New Roman" w:cs="Times New Roman"/>
          <w:rFonts w:ascii="Times New Roman" w:hAnsi="Times New Roman"/>
          <w:b w:val="0"/>
          <w:i w:val="0"/>
          <w:sz w:val="24"/>
        </w:rPr>
        <w:t>Los coeficientes rolling de la Figura 5.6 hacen visible la dinámica concreta de ese cambio. El coeficiente del TIPS —habitualmente próximo a -0,7 durante el periodo 2000-2021— se atenuó significativamente durante 2022-2024, periodo en que los tipos reales subieron de forma histórica pero el precio del oro no colapsó como la relación histórica habría predicho. El coeficiente del DXY mostró una evolución similar: la correlación oro-dólar, estructuralmente negativa durante dos décadas, se acercó a cero e incluso fue positiva transitoriamente cuando dólar y oro subieron en paralelo en 2022-2023.</w:t>
      </w:r>
    </w:p>
    <w:p>
      <w:pPr/>
      <w:r>
        <w:rPr>
          <w:rFonts w:ascii="Times New Roman" w:hAnsi="Times New Roman" w:cs="Times New Roman"/>
          <w:rFonts w:ascii="Times New Roman" w:hAnsi="Times New Roman"/>
          <w:b w:val="0"/>
          <w:i w:val="0"/>
          <w:sz w:val="24"/>
        </w:rPr>
        <w:t xml:space="preserve">El análisis SHAP del Capítulo 7 añade una perspectiva dinámica a este diagnóstico. En el análisis </w:t>
      </w:r>
      <w:r>
        <w:rPr>
          <w:rFonts w:ascii="Times New Roman" w:hAnsi="Times New Roman" w:cs="Times New Roman"/>
          <w:rFonts w:ascii="Times New Roman" w:hAnsi="Times New Roman"/>
          <w:b w:val="0"/>
          <w:i/>
          <w:sz w:val="24"/>
        </w:rPr>
        <w:t>waterfall</w:t>
      </w:r>
      <w:r>
        <w:rPr>
          <w:rFonts w:ascii="Times New Roman" w:hAnsi="Times New Roman" w:cs="Times New Roman"/>
          <w:rFonts w:ascii="Times New Roman" w:hAnsi="Times New Roman"/>
          <w:b w:val="0"/>
          <w:i w:val="0"/>
          <w:sz w:val="24"/>
        </w:rPr>
        <w:t xml:space="preserve"> de episodios representativos, el VIX y el momentum del oro amplificaron su contribución a la predicción en los momentos de mayor tensión geopolítica y financiera (episodio COVID de 2020, rally de 2025), mientras que los TIPS dominaron la señal en los periodos de estabilidad relativa. Esta variación en la importancia relativa de las variables según el régimen de mercado es exactamente lo que los coeficientes constantes del VECM —estimados sobre la muestra completa— no pueden capturar, y es la contribución analítica más específica del componente ML del trabajo.</w:t>
      </w:r>
    </w:p>
    <w:p>
      <w:pPr/>
      <w:r>
        <w:rPr>
          <w:rFonts w:ascii="Times New Roman" w:hAnsi="Times New Roman" w:cs="Times New Roman"/>
          <w:rFonts w:ascii="Times New Roman" w:hAnsi="Times New Roman"/>
          <w:b w:val="0"/>
          <w:i w:val="0"/>
          <w:sz w:val="24"/>
        </w:rPr>
        <w:t>La interpretación económica de la inestabilidad estructural apunta a un cambio en la composición de la demanda de oro. Las compras masivas de los bancos centrales de economías emergentes —especialmente China, India, Turquía y Polonia, que superaron las 1.000 toneladas netas en 2022 y 2023 según el World Gold Council— introdujeron un flujo de demanda estructural que opera con lógicas diferentes a las del inversor financiero occidental. Para un banco central que busca reducir su exposición al dólar en un contexto de sanciones geopolíticas y de-dolarización, el nivel de los TIPS es un factor secundario. Esta demanda inelástica al tipo real explica por qué la relación econométrica histórica se debilitó sin desaparecer completamente.</w:t>
      </w:r>
    </w:p>
    <w:p>
      <w:pPr>
        <w:pStyle w:val="Heading3"/>
      </w:pPr>
      <w:r>
        <w:t>8.2.3 Pregunta 3: ¿Puede el ML mejorar la predicción sobre el VECM?</w:t>
      </w:r>
    </w:p>
    <w:p>
      <w:pPr/>
      <w:r>
        <w:rPr>
          <w:rFonts w:ascii="Times New Roman" w:hAnsi="Times New Roman" w:cs="Times New Roman"/>
          <w:rFonts w:ascii="Times New Roman" w:hAnsi="Times New Roman"/>
          <w:b w:val="0"/>
          <w:i w:val="0"/>
          <w:sz w:val="24"/>
        </w:rPr>
        <w:t>La respuesta es afirmativa pero matizada. El mejor modelo ML —la red LSTM— alcanza una precisión direccional (DA) del 61,5% sobre los 109 meses del período de test (octubre 2016 – octubre 2025), frente al 55,9% del benchmark naive (paseo aleatorio). Esta mejora de 5,6 puntos porcentuales en dirección y la reducción del RMSE de 5,054 a 3,815 puntos porcentuales son estadística y económicamente relevantes: para un inversor que toma decisiones mensuales de sobreponderar o subponderar el oro en su cartera, un 61,5% de aciertos direccionales supone una mejora operativa significativa respecto al azar calibrado.</w:t>
      </w:r>
    </w:p>
    <w:p>
      <w:pPr/>
      <w:r>
        <w:rPr>
          <w:rFonts w:ascii="Times New Roman" w:hAnsi="Times New Roman" w:cs="Times New Roman"/>
          <w:rFonts w:ascii="Times New Roman" w:hAnsi="Times New Roman"/>
          <w:b w:val="0"/>
          <w:i w:val="0"/>
          <w:sz w:val="24"/>
        </w:rPr>
        <w:t>Sin embargo, el ML no "bate" al VECM en el sentido en que los dos modelos responden a preguntas diferentes. El VECM está diseñado para modelar relaciones de equilibrio de largo plazo y cuantificar el ajuste al mismo; su predicción de corto plazo es secundaria a su función de inferencia estructural. El LSTM, en cambio, optimiza explícitamente la predicción de un paso hacia adelante a través de una función de pérdida que penaliza los errores de magnitud, sin imponer ninguna estructura económica. La comparación más honesta no es "¿cuál predice mejor?" sino "¿para qué pregunta es cada modelo más adecuado?": el VECM para cuantificar mecanismos de transmisión y velocidades de ajuste; el LSTM para optimizar señales de predicción de corto plazo.</w:t>
      </w:r>
    </w:p>
    <w:p>
      <w:pPr/>
      <w:r>
        <w:rPr>
          <w:rFonts w:ascii="Times New Roman" w:hAnsi="Times New Roman" w:cs="Times New Roman"/>
          <w:rFonts w:ascii="Times New Roman" w:hAnsi="Times New Roman"/>
          <w:b w:val="0"/>
          <w:i w:val="0"/>
          <w:sz w:val="24"/>
        </w:rPr>
        <w:t>El resultado del XGBoost, que obtiene una DA inferior al naive (52,3% vs. 55,9%), ilustra un riesgo real de los modelos de boosting en muestras financieras cortas: la optimización del error cuadrático medio puede llevar al modelo a reducir el error de magnitud a costa de introducir ruido en la dirección del movimiento. Este resultado no invalida el XGBoost como herramienta analítica —sus valores SHAP son los más interpretables de los tres modelos— pero pone de manifiesto que la elección de la métrica de evaluación importa tanto como la elección del modelo.</w:t>
      </w:r>
    </w:p>
    <w:p>
      <w:pPr>
        <w:pStyle w:val="Heading2"/>
      </w:pPr>
      <w:r>
        <w:t>8.3 Convergencia entre metodologías: qué es robusto</w:t>
      </w:r>
    </w:p>
    <w:p>
      <w:pPr/>
      <w:r>
        <w:rPr>
          <w:rFonts w:ascii="Times New Roman" w:hAnsi="Times New Roman" w:cs="Times New Roman"/>
          <w:rFonts w:ascii="Times New Roman" w:hAnsi="Times New Roman"/>
          <w:b w:val="0"/>
          <w:i w:val="0"/>
          <w:sz w:val="24"/>
        </w:rPr>
        <w:t>La convergencia entre el análisis econométrico, el panel cross-country y el machine learning en los siguientes puntos permite calificarlos como hallazgos robustos del trabajo: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Robustez del mecanismo de coste de oportunidad.</w:t>
      </w:r>
      <w:r>
        <w:rPr>
          <w:rFonts w:ascii="Times New Roman" w:hAnsi="Times New Roman" w:cs="Times New Roman"/>
          <w:rFonts w:ascii="Times New Roman" w:hAnsi="Times New Roman"/>
          <w:b w:val="0"/>
          <w:i w:val="0"/>
          <w:sz w:val="24"/>
        </w:rPr>
        <w:t xml:space="preserve"> La relación negativa entre tipos de interés reales y precio del oro se documenta en el análisis de causalidad de Granger (p &lt; 0,001), en el vector de cointegración (coeficiente TIPS &lt; 0), en los efectos fijos del panel (β₂ &lt; 0 en las cuatro economías), y en el análisis SHAP (TIPS = segunda variable más influyente en el modelo XGBoost). Cuatro metodologías con supuestos completamente distintos convergen en el mismo signo y en la misma jerarquía relativa. Esta convergencia es la evidencia más sólida del trabajo y hace la conclusión prácticamente inmune a los supuestos específicos de cualquier modelo individual.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Universalidad del safe haven.</w:t>
      </w:r>
      <w:r>
        <w:rPr>
          <w:rFonts w:ascii="Times New Roman" w:hAnsi="Times New Roman" w:cs="Times New Roman"/>
          <w:rFonts w:ascii="Times New Roman" w:hAnsi="Times New Roman"/>
          <w:b w:val="0"/>
          <w:i w:val="0"/>
          <w:sz w:val="24"/>
        </w:rPr>
        <w:t xml:space="preserve"> El coeficiente positivo del VIX en el análisis de panel (β₃ &gt; 0, estadísticamente significativo) confirma que el oro actúa como refugio no solo para los inversores estadounidenses, sino también para los europeos, británicos y japoneses cuando los mercados financieros globales entran en pánico. Este resultado actualiza y extiende la evidencia de Baur y McDermott (2010) a economías avanzadas durante el periodo post-GFC, incluyendo los episodios COVID-19, el ciclo de tipos de 2022 y el shock arancelario de 2025.</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Papel secundario de la renta variable.</w:t>
      </w:r>
      <w:r>
        <w:rPr>
          <w:rFonts w:ascii="Times New Roman" w:hAnsi="Times New Roman" w:cs="Times New Roman"/>
          <w:rFonts w:ascii="Times New Roman" w:hAnsi="Times New Roman"/>
          <w:b w:val="0"/>
          <w:i w:val="0"/>
          <w:sz w:val="24"/>
        </w:rPr>
        <w:t xml:space="preserve"> El S&amp;P 500 y sus equivalentes locales en el panel aparecen como determinantes estadísticamente significativos pero con una contribución menor a la varianza de largo plazo del oro que los tipos reales o el dólar. Las IRF muestran que el impacto de un shock en la renta variable sobre el oro es real pero de magnitud inferior y más rápida disipación que el de los tipos reales. El SHAP (posición #6 para S&amp;P 500 con retardo de 1 mes) confirma este papel secundario en el horizonte predictivo de corto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Inestabilidad como regla, no como excepción.</w:t>
      </w:r>
      <w:r>
        <w:rPr>
          <w:rFonts w:ascii="Times New Roman" w:hAnsi="Times New Roman" w:cs="Times New Roman"/>
          <w:rFonts w:ascii="Times New Roman" w:hAnsi="Times New Roman"/>
          <w:b w:val="0"/>
          <w:i w:val="0"/>
          <w:sz w:val="24"/>
        </w:rPr>
        <w:t xml:space="preserve"> Ninguna de las tres metodologías sugiere que las relaciones entre el oro y sus determinantes sean constantes en el tiempo. El CUSUM rechaza la estabilidad global de los parámetros, el test de Chow detecta rupturas en los episodios de crisis, los coeficientes rolling fluctúan de forma sistemática, y el análisis SHAP muestra que el peso relativo de cada variable cambia entre regímenes. Esta inestabilidad no es un defecto del modelo: es una característica del activo. El oro responde a fuerzas distintas según el régimen macroeconómico dominante —crisis de liquidez, crisis de inflación, episodios de apetito de riesgo, shocks geopolíticos— y cualquier modelo que la ignore subestimará la incertidumbre de sus predicciones.</w:t>
      </w:r>
    </w:p>
    <w:p>
      <w:pPr>
        <w:pStyle w:val="Heading2"/>
      </w:pPr>
      <w:r>
        <w:t>8.4 La paradoja de 2022-2024: una interpretación unificada</w:t>
      </w:r>
    </w:p>
    <w:p>
      <w:pPr/>
      <w:r>
        <w:rPr>
          <w:rFonts w:ascii="Times New Roman" w:hAnsi="Times New Roman" w:cs="Times New Roman"/>
          <w:rFonts w:ascii="Times New Roman" w:hAnsi="Times New Roman"/>
          <w:b w:val="0"/>
          <w:i w:val="0"/>
          <w:sz w:val="24"/>
        </w:rPr>
        <w:t>El episodio 2022-2024 merece una atención especial porque es el banco de pruebas más exigente para los modelos de este trabajo y, a la vez, el más informativamente rico. Entre marzo de 2022 y diciembre de 2024, la Reserva Federal elevó los tipos de interés oficiales desde 0-0,25% hasta 5,25-5,50% —el ciclo de subidas más agresivo desde 1980— y los tipos reales TIPS a 10 años pasaron de valores profundamente negativos (-1%) a positivos (1,5-2%). Según la relación histórica estimada por el VECM, esta subida debería haber producido una caída sustancial del precio del oro. Sin embargo, el oro cerró 2024 con un nuevo máximo histórico.</w:t>
      </w:r>
    </w:p>
    <w:p>
      <w:pPr/>
      <w:r>
        <w:rPr>
          <w:rFonts w:ascii="Times New Roman" w:hAnsi="Times New Roman" w:cs="Times New Roman"/>
          <w:rFonts w:ascii="Times New Roman" w:hAnsi="Times New Roman"/>
          <w:b w:val="0"/>
          <w:i w:val="0"/>
          <w:sz w:val="24"/>
        </w:rPr>
        <w:t>Los tres pilares analíticos del trabajo ofrecen piezas complementarias de la explicación: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VECM diagnostica la ruptura pero no la causa.</w:t>
      </w:r>
      <w:r>
        <w:rPr>
          <w:rFonts w:ascii="Times New Roman" w:hAnsi="Times New Roman" w:cs="Times New Roman"/>
          <w:rFonts w:ascii="Times New Roman" w:hAnsi="Times New Roman"/>
          <w:b w:val="0"/>
          <w:i w:val="0"/>
          <w:sz w:val="24"/>
        </w:rPr>
        <w:t xml:space="preserve"> Los tests de Chow y el CUSUM confirman que los parámetros del modelo cambiaron en torno a 2022. El coeficiente rolling del TIPS se atenúa durante este periodo, lo que indica que la sensibilidad del oro a los tipos reales disminuyó cualitativamente. Desde la perspectiva del VECM, el vector de cointegración seguirá siendo válido en el largo plazo, pero el mecanismo de corrección de errores tardó más de lo habitual en operar porque una fuerza contraria —la demanda de los bancos centrales emergentes— ralentizó la corrección hacia el equilibrio histórico.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panel identifica la heterogeneidad geográfica de la demanda.</w:t>
      </w:r>
      <w:r>
        <w:rPr>
          <w:rFonts w:ascii="Times New Roman" w:hAnsi="Times New Roman" w:cs="Times New Roman"/>
          <w:rFonts w:ascii="Times New Roman" w:hAnsi="Times New Roman"/>
          <w:b w:val="0"/>
          <w:i w:val="0"/>
          <w:sz w:val="24"/>
        </w:rPr>
        <w:t xml:space="preserve"> Los efectos fijos estimados para las cuatro economías del panel revelan diferencias en la demanda estructural de oro que las variables del modelo no capturan plenamente. La demanda de bancos centrales de economías no incluidas en el panel —China, India, Turquía— es inelástica a los tipos de interés reales de los países avanzados y responde a incentivos geopolíticos y de gestión de reservas que están ausentes del modelo. En este sentido, el panel no solo confirma los mecanismos del VECM, sino que señala la dimensión geográfica de su limitación.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ML captura el cambio de régimen sin necesidad de especificarlo a priori.</w:t>
      </w:r>
      <w:r>
        <w:rPr>
          <w:rFonts w:ascii="Times New Roman" w:hAnsi="Times New Roman" w:cs="Times New Roman"/>
          <w:rFonts w:ascii="Times New Roman" w:hAnsi="Times New Roman"/>
          <w:b w:val="0"/>
          <w:i w:val="0"/>
          <w:sz w:val="24"/>
        </w:rPr>
        <w:t xml:space="preserve"> La red LSTM, entrenada con ventana expandible, incorpora gradualmente la nueva información del periodo 2022-2024 en sus predicciones. La variable </w:t>
      </w:r>
      <w:r>
        <w:rPr>
          <w:rFonts w:ascii="Times New Roman" w:hAnsi="Times New Roman" w:cs="Times New Roman"/>
          <w:rFonts w:ascii="Times New Roman" w:hAnsi="Times New Roman"/>
          <w:b w:val="0"/>
          <w:i/>
          <w:sz w:val="24"/>
        </w:rPr>
        <w:t>dummy</w:t>
      </w:r>
      <w:r>
        <w:rPr>
          <w:rFonts w:ascii="Times New Roman" w:hAnsi="Times New Roman" w:cs="Times New Roman"/>
          <w:rFonts w:ascii="Times New Roman" w:hAnsi="Times New Roman"/>
          <w:b w:val="0"/>
          <w:i w:val="0"/>
          <w:sz w:val="24"/>
        </w:rPr>
        <w:t xml:space="preserve"> de régimen crisis y el momentum del oro figuran entre las de mayor importancia SHAP en los episodios de máximo diferencial entre los tipos reales y el comportamiento del precio del oro, lo que indica que el modelo aprendió empíricamente que en esos periodos la señal de los TIPS pierde poder predictivo y las variables de momentum toman el relevo. Esta adaptabilidad implícita es la ventaja más clara del ML sobre el VECM en el corto plazo.</w:t>
      </w:r>
    </w:p>
    <w:p>
      <w:pPr/>
      <w:r>
        <w:rPr>
          <w:rFonts w:ascii="Times New Roman" w:hAnsi="Times New Roman" w:cs="Times New Roman"/>
          <w:rFonts w:ascii="Times New Roman" w:hAnsi="Times New Roman"/>
          <w:b w:val="0"/>
          <w:i w:val="0"/>
          <w:sz w:val="24"/>
        </w:rPr>
        <w:t>La "paradoja de 2022-2024" puede resumirse, pues, como la superposición de dos fuerzas opuestas: el mecanismo de coste de oportunidad —que tiende a deprimir el precio del oro cuando los tipos reales suben— y la demanda estructural de los bancos centrales emergentes en un contexto de de-dolarización —que la sustenta independientemente del nivel de tipos. La resultante de estas dos fuerzas fue un oro que subió menos de lo que su demanda de refugio habría justificado, pero bastante más de lo que la lógica del coste de oportunidad predecía. Los tres pilares analíticos contribuyen a entender cada dimensión de este resultado, ninguno lo captura de forma autónoma y completa.</w:t>
      </w:r>
    </w:p>
    <w:p>
      <w:pPr>
        <w:pStyle w:val="Heading2"/>
      </w:pPr>
      <w:r>
        <w:t>8.5 Implicaciones para inversores e instituciones</w:t>
      </w:r>
    </w:p>
    <w:p>
      <w:pPr/>
      <w:r>
        <w:rPr>
          <w:rFonts w:ascii="Times New Roman" w:hAnsi="Times New Roman" w:cs="Times New Roman"/>
          <w:rFonts w:ascii="Times New Roman" w:hAnsi="Times New Roman"/>
          <w:b w:val="0"/>
          <w:i w:val="0"/>
          <w:sz w:val="24"/>
        </w:rPr>
        <w:t>Los hallazgos del trabajo tienen implicaciones concretas para distintos perfiles de participantes en el mercado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Para el inversor minorista y el gestor de carteras</w:t>
      </w:r>
      <w:r>
        <w:rPr>
          <w:rFonts w:ascii="Times New Roman" w:hAnsi="Times New Roman" w:cs="Times New Roman"/>
          <w:rFonts w:ascii="Times New Roman" w:hAnsi="Times New Roman"/>
          <w:b w:val="0"/>
          <w:i w:val="0"/>
          <w:sz w:val="24"/>
        </w:rPr>
        <w:t>, la conclusión más práctica es que el oro protege mejor en contextos de tipos reales negativos o decrecientes y de alta incertidumbre financiera (VIX elevado), mientras que tiende a ser un activo con coste de oportunidad elevado en contextos de tipos reales positivos y estables. La DA del 61,5% de la LSTM sugiere que es posible mejorar la temporización de las posiciones en oro con señales cuantitativas, aunque el margen de mejora sobre el azar calibrado es modesto y debe contextualizarse contra los costes de transacción.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Para el banco central y el gestor de reservas soberanas</w:t>
      </w:r>
      <w:r>
        <w:rPr>
          <w:rFonts w:ascii="Times New Roman" w:hAnsi="Times New Roman" w:cs="Times New Roman"/>
          <w:rFonts w:ascii="Times New Roman" w:hAnsi="Times New Roman"/>
          <w:b w:val="0"/>
          <w:i w:val="0"/>
          <w:sz w:val="24"/>
        </w:rPr>
        <w:t>, el análisis de panel aporta evidencia de que el oro cumple una función de cobertura contra la inflación estadísticamente significativa en todas las economías avanzadas analizadas. La universalidad del mecanismo de coste de oportunidad implica también que, desde la perspectiva de un banco central que gestiona su balance, el coste implícito de mantener oro en reservas varía con las condiciones de tipos de interés de su propia moneda de referencia —no solo con los tipos de EE.UU.</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Para el investigador económico</w:t>
      </w:r>
      <w:r>
        <w:rPr>
          <w:rFonts w:ascii="Times New Roman" w:hAnsi="Times New Roman" w:cs="Times New Roman"/>
          <w:rFonts w:ascii="Times New Roman" w:hAnsi="Times New Roman"/>
          <w:b w:val="0"/>
          <w:i w:val="0"/>
          <w:sz w:val="24"/>
        </w:rPr>
        <w:t>, la convergencia entre el análisis SHAP y el VECM en los determinantes más importantes —tipos reales e inflación, en ese orden— es una validación cruzada metodológica valiosa. En la práctica, cuando dos enfoques tan diferentes en supuestos e implementación producen jerarquías de variables tan similares, la evidencia de causalidad económica se fortalece más allá de lo que cada metodología podría establecer por separado.</w:t>
      </w:r>
    </w:p>
    <w:p>
      <w:pPr>
        <w:pStyle w:val="Heading2"/>
      </w:pPr>
      <w:r>
        <w:t>8.6 Limitaciones del análisis</w:t>
      </w:r>
    </w:p>
    <w:p>
      <w:pPr/>
      <w:r>
        <w:rPr>
          <w:rFonts w:ascii="Times New Roman" w:hAnsi="Times New Roman" w:cs="Times New Roman"/>
          <w:rFonts w:ascii="Times New Roman" w:hAnsi="Times New Roman"/>
          <w:b w:val="0"/>
          <w:i w:val="0"/>
          <w:sz w:val="24"/>
        </w:rPr>
        <w:t>La honestidad académica exige reconocer las limitaciones que condicionan el alcance de las conclusiones presentadas.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 limitación: tamaño de la muestra.</w:t>
      </w:r>
      <w:r>
        <w:rPr>
          <w:rFonts w:ascii="Times New Roman" w:hAnsi="Times New Roman" w:cs="Times New Roman"/>
          <w:rFonts w:ascii="Times New Roman" w:hAnsi="Times New Roman"/>
          <w:b w:val="0"/>
          <w:i w:val="0"/>
          <w:sz w:val="24"/>
        </w:rPr>
        <w:t xml:space="preserve"> El análisis de machine learning trabaja con 271 observaciones efectivas y 35 características, lo que implica una ratio observaciones/características de solo 7,7. En este régimen de escasez relativa, los modelos de árboles tienden a sobreajustar la muestra de entrenamiento y a ser inestables en el test. Los resultados del Capítulo 7 deben interpretarse como indicativos de la dirección del efecto, no como estimaciones precisas de la mejora predictiva absoluta.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Segunda limitación: la dimensión N del panel.</w:t>
      </w:r>
      <w:r>
        <w:rPr>
          <w:rFonts w:ascii="Times New Roman" w:hAnsi="Times New Roman" w:cs="Times New Roman"/>
          <w:rFonts w:ascii="Times New Roman" w:hAnsi="Times New Roman"/>
          <w:b w:val="0"/>
          <w:i w:val="0"/>
          <w:sz w:val="24"/>
        </w:rPr>
        <w:t xml:space="preserve"> Con cuatro unidades cross-seccionales, el panel del Capítulo 6 tiene una dimensión N muy reducida. El test de Hausman y los errores de Driscoll-Kraay son asintóticos en T, lo que los hace razonablemente válidos con T = 96, pero la inferencia sobre la heterogeneidad entre países —y en particular la interpretación de los efectos fijos— está basada en solo cuatro puntos de datos transversales. La extensión del panel a un conjunto más amplio de economías sería la mejora más directa del análisis cross-country.</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Tercera limitación: ausencia de variables inobservables clave.</w:t>
      </w:r>
      <w:r>
        <w:rPr>
          <w:rFonts w:ascii="Times New Roman" w:hAnsi="Times New Roman" w:cs="Times New Roman"/>
          <w:rFonts w:ascii="Times New Roman" w:hAnsi="Times New Roman"/>
          <w:b w:val="0"/>
          <w:i w:val="0"/>
          <w:sz w:val="24"/>
        </w:rPr>
        <w:t xml:space="preserve"> El modelo no incluye las compras de bancos centrales emergentes como variable explicativa porque no existe una serie de alta frecuencia y amplia cobertura geográfica disponible para todo el periodo 2000-2025. Esta omisión es especialmente relevante para el episodio 2022-2024, donde la evidencia anecdótica y los datos del World Gold Council sugieren que esa demanda fue el factor dominante. La inclusión de un proxy de compras soberanas —por ejemplo, las reservas oficiales de oro del FMI-IFS a frecuencia trimestral— es una extensión natural del trabajo.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Cuarta limitación: estacionariedad en el panel.</w:t>
      </w:r>
      <w:r>
        <w:rPr>
          <w:rFonts w:ascii="Times New Roman" w:hAnsi="Times New Roman" w:cs="Times New Roman"/>
          <w:rFonts w:ascii="Times New Roman" w:hAnsi="Times New Roman"/>
          <w:b w:val="0"/>
          <w:i w:val="0"/>
          <w:sz w:val="24"/>
        </w:rPr>
        <w:t xml:space="preserve"> El modelo de panel del Capítulo 6 se estima sobre retornos trimestrales, que son aproximadamente estacionarios. Sin embargo, no se aplican tests formales de raíz unitaria en panel (Im-Pesaran-Shin o Levin-Lin-Chu) ni tests de cointegración en panel (Pedroni o Westerlund). La metodología de series temporales del Capítulo 5 muestra que los niveles de las variables son I(1), pero la transición al análisis de panel en diferencias no se formaliza con la misma rigurosidad que el análisis univariante del Capítulo 4. Esta es una limitación metodológica que un trabajo de investigación más extenso debería subsanar.</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Quinta limitación: el sesgo de selección del período.</w:t>
      </w:r>
      <w:r>
        <w:rPr>
          <w:rFonts w:ascii="Times New Roman" w:hAnsi="Times New Roman" w:cs="Times New Roman"/>
          <w:rFonts w:ascii="Times New Roman" w:hAnsi="Times New Roman"/>
          <w:b w:val="0"/>
          <w:i w:val="0"/>
          <w:sz w:val="24"/>
        </w:rPr>
        <w:t xml:space="preserve"> El periodo de análisis 2000-2025 no es aleatorio: se selecciona porque concentra los episodios más interesantes de la historia reciente del oro. Esta selección maximiza la varianza explicada disponible, pero puede inflar la importancia aparente de los determinantes que dominaron precisamente en esos episodios (tipos reales post-GFC, demanda de refugio en COVID). Los resultados pueden no generalizarse directamente a periodos de mayor estabilidad macroeconómica.</w:t>
      </w:r>
    </w:p>
    <w:p>
      <w:pPr>
        <w:pStyle w:val="Heading2"/>
      </w:pPr>
      <w:r>
        <w:t>8.7 Síntesis final: ¿qué sabemos sobre el oro que no sabíamos?</w:t>
      </w:r>
    </w:p>
    <w:p>
      <w:pPr/>
      <w:r>
        <w:rPr>
          <w:rFonts w:ascii="Times New Roman" w:hAnsi="Times New Roman" w:cs="Times New Roman"/>
          <w:rFonts w:ascii="Times New Roman" w:hAnsi="Times New Roman"/>
          <w:b w:val="0"/>
          <w:i w:val="0"/>
          <w:sz w:val="24"/>
        </w:rPr>
        <w:t>Este trabajo parte de tres preguntas de investigación y, al término del análisis, puede ofrecer respuestas informadas a las tres. El precio del oro en el periodo 2000-2025 está determinado, de forma primordial, por los tipos de interés reales y el índice del dólar —resultado que replica la literatura fundacional con datos actualizados y con una validación cross-country que los trabajos anteriores no ofrecen. El mecanismo de coste de oportunidad no es una particularidad del mercado estadounidense: opera en las cuatro economías avanzadas analizadas, con el mismo signo y con significatividad estadística robusta.</w:t>
      </w:r>
    </w:p>
    <w:p>
      <w:pPr/>
      <w:r>
        <w:rPr>
          <w:rFonts w:ascii="Times New Roman" w:hAnsi="Times New Roman" w:cs="Times New Roman"/>
          <w:rFonts w:ascii="Times New Roman" w:hAnsi="Times New Roman"/>
          <w:b w:val="0"/>
          <w:i w:val="0"/>
          <w:sz w:val="24"/>
        </w:rPr>
        <w:t>Las relaciones no son estables en el tiempo. Los grandes episodios de crisis —especialmente el de 2022-2024— producen rupturas estructurales formalmente detectables que tienen una explicación económica coherente: cambios en la composición de la demanda de oro que alteran temporalmente el peso relativo de los determinantes macroeconómicos clásicos. Esta inestabilidad no niega la vigencia del marco teórico, sino que lo enriquece: el oro responde a distintas lógicas según el régimen de mercado dominante, y cualquier análisis que ignore esa heterogeneidad dinámica tendrá un poder explicativo y predictivo limitado.</w:t>
      </w:r>
    </w:p>
    <w:p>
      <w:pPr/>
      <w:r>
        <w:rPr>
          <w:rFonts w:ascii="Times New Roman" w:hAnsi="Times New Roman" w:cs="Times New Roman"/>
          <w:rFonts w:ascii="Times New Roman" w:hAnsi="Times New Roman"/>
          <w:b w:val="0"/>
          <w:i w:val="0"/>
          <w:sz w:val="24"/>
        </w:rPr>
        <w:t>El machine learning, lejos de ser una caja negra que mejora la predicción sin decir nada sobre los mecanismos, confirma a través del análisis SHAP las mismas jerarquías que la econometría. Esta convergencia metodológica —el hallazgo quizás más satisfactorio del trabajo— sugiere que las conclusiones sobre los determinantes del oro son sólidas frente a la elección del enfoque analítico. Y esa robustez, en un activo tan sometido a narrativas y ciclos de opinión como el oro, tiene un valor propio.</w:t>
      </w:r>
    </w:p>
    <w:p>
      <w:r>
        <w:br w:type="page"/>
      </w:r>
    </w:p>
    <w:p>
      <w:pPr>
        <w:pStyle w:val="Heading1"/>
      </w:pPr>
      <w:r>
        <w:t>Capítulo 9: Conclusiones</w:t>
      </w:r>
    </w:p>
    <w:p>
      <w:pPr>
        <w:pStyle w:val="Heading2"/>
      </w:pPr>
      <w:r>
        <w:t>9.1 Conclusiones principales</w:t>
      </w:r>
    </w:p>
    <w:p>
      <w:pPr/>
      <w:r>
        <w:rPr>
          <w:rFonts w:ascii="Times New Roman" w:hAnsi="Times New Roman" w:cs="Times New Roman"/>
          <w:rFonts w:ascii="Times New Roman" w:hAnsi="Times New Roman"/>
          <w:b w:val="0"/>
          <w:i w:val="0"/>
          <w:sz w:val="24"/>
        </w:rPr>
        <w:t>Este trabajo ha analizado la dinámica del precio del oro durante el periodo 2000-2025 mediante tres pilares metodológicos complementarios: un modelo de corrección de errores vectorial (VECM) con análisis de volatilidad GJR-GARCH, un análisis de datos de panel cross-country con cuatro economías avanzadas, y modelos de machine learning (XGBoost, Random Forest y LSTM) con validación walk-forward y análisis SHAP. Las conclusiones que se presentan a continuación se organizan en torno a las tres preguntas de investigación formuladas en el §1.3.</w:t>
      </w:r>
    </w:p>
    <w:p>
      <w:pPr>
        <w:pStyle w:val="Heading3"/>
      </w:pPr>
      <w:r>
        <w:t>9.1.1 Sobre los determinantes del precio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Los tipos de interés reales son el determinante estructural más importante del precio del oro en el largo plazo.</w:t>
      </w:r>
      <w:r>
        <w:rPr>
          <w:rFonts w:ascii="Times New Roman" w:hAnsi="Times New Roman" w:cs="Times New Roman"/>
          <w:rFonts w:ascii="Times New Roman" w:hAnsi="Times New Roman"/>
          <w:b w:val="0"/>
          <w:i w:val="0"/>
          <w:sz w:val="24"/>
        </w:rPr>
        <w:t xml:space="preserve"> Esta conclusión, que replica y actualiza los resultados de Erb y Harvey (2013) y el Chicago Fed (2021), se sostiene en cuatro fuentes de evidencia independientes: la mayor causalidad de Granger (p &lt; 0,001 a todos los horizontes), la IRF de mayor magnitud y persistencia en el VECM, la segunda posición en el ranking SHAP del modelo XGBoost (|φ̄| = 0,617), y el coeficiente negativo estadísticamente significativo en todas las economías del panel con errores de Driscoll-Kraay. El mecanismo económico subyacente —el coste de oportunidad de mantener un activo sin rendimiento corriente— opera de forma universal: no es una idiosincrasia del mercado del Tesoro estadounidense, sino una propiedad estructural del activo.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inflación es el predictor más potente en el horizonte de un mes.</w:t>
      </w:r>
      <w:r>
        <w:rPr>
          <w:rFonts w:ascii="Times New Roman" w:hAnsi="Times New Roman" w:cs="Times New Roman"/>
          <w:rFonts w:ascii="Times New Roman" w:hAnsi="Times New Roman"/>
          <w:b w:val="0"/>
          <w:i w:val="0"/>
          <w:sz w:val="24"/>
        </w:rPr>
        <w:t xml:space="preserve"> En el análisis SHAP de corto plazo, el CPI con retardo de un mes encabeza el ranking de variables (|φ̄| = 0,954), por delante de los TIPS. Esta aparente discrepancia con el resultado anterior se resuelve al reconocer que los dos hallazgos operan en horizontes diferentes: la sorpresa inflacionaria reciente es la señal de más alta frecuencia del coste de oportunidad del oro y domina la predicción mensual; el nivel de los tipos reales ancla la relación de equilibrio de largo plazo captada por el vector de cointegración.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dólar y la renta variable son determinantes secundarios.</w:t>
      </w:r>
      <w:r>
        <w:rPr>
          <w:rFonts w:ascii="Times New Roman" w:hAnsi="Times New Roman" w:cs="Times New Roman"/>
          <w:rFonts w:ascii="Times New Roman" w:hAnsi="Times New Roman"/>
          <w:b w:val="0"/>
          <w:i w:val="0"/>
          <w:sz w:val="24"/>
        </w:rPr>
        <w:t xml:space="preserve"> El índice DXY ocupa el segundo lugar en la descomposición de varianza del VECM pero queda relegado a la octava posición en el ranking SHAP de corto plazo, lo que indica que su relevancia es mayor en horizontes estructurales de 12-24 meses que en la predicción mensual. El S&amp;P 500 actúa principalmente como indicador de apetito de riesgo —con efecto negativo sobre el oro en los episodios de expansión bursátil sostenida— pero su contribución a la varianza de largo plazo es más modesta.</w:t>
      </w:r>
    </w:p>
    <w:p>
      <w:pPr>
        <w:pStyle w:val="Heading3"/>
      </w:pPr>
      <w:r>
        <w:t>9.1.2 Sobre la estabilidad temporal de los determinantes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Las relaciones entre el oro y sus determinantes no son constantes en el tiempo.</w:t>
      </w:r>
      <w:r>
        <w:rPr>
          <w:rFonts w:ascii="Times New Roman" w:hAnsi="Times New Roman" w:cs="Times New Roman"/>
          <w:rFonts w:ascii="Times New Roman" w:hAnsi="Times New Roman"/>
          <w:b w:val="0"/>
          <w:i w:val="0"/>
          <w:sz w:val="24"/>
        </w:rPr>
        <w:t xml:space="preserve"> Los tests de Chow rechazan la estabilidad de los parámetros en los puntos de quiebre asociados a los principales episodios de crisis, con el estadístico F más elevado en marzo de 2022. El análisis CUSUM sale de las bandas de confianza al 5% durante el periodo 2022-2024. Los coeficientes rolling confirman que el efecto de los TIPS sobre el oro —históricamente estimado en torno a -0,7— se atenuó significativamente en ese episodio.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"paradoja de 2022-2024" tiene una explicación económica coherente.</w:t>
      </w:r>
      <w:r>
        <w:rPr>
          <w:rFonts w:ascii="Times New Roman" w:hAnsi="Times New Roman" w:cs="Times New Roman"/>
          <w:rFonts w:ascii="Times New Roman" w:hAnsi="Times New Roman"/>
          <w:b w:val="0"/>
          <w:i w:val="0"/>
          <w:sz w:val="24"/>
        </w:rPr>
        <w:t xml:space="preserve"> El oro subió a máximos históricos mientras los tipos reales alcanzaban sus niveles más altos en décadas. Los tres pilares analíticos del trabajo convergen en la misma interpretación: la demanda estructural de los bancos centrales emergentes —en el contexto del proceso de de-dolarización documentado por el World Gold Council (2023, 2024)— actuó como una fuerza de soporte que ralentizó la corrección hacia el equilibrio histórico sin eliminar el mecanismo de coste de oportunidad. Esta demanda, inelástica a los tipos de interés reales de los países avanzados y motivada por incentivos geopolíticos, es el factor que los modelos econométricos basados en variables financieras no pueden capturar plenamente pero cuya existencia los tests de estabilidad estructural sí permiten detectar.</w:t>
      </w:r>
    </w:p>
    <w:p>
      <w:pPr>
        <w:pStyle w:val="Heading3"/>
      </w:pPr>
      <w:r>
        <w:t>9.1.3 Sobre la aportación del machine learning a la predicción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LSTM mejora la predicción de corto plazo respecto al benchmark naive.</w:t>
      </w:r>
      <w:r>
        <w:rPr>
          <w:rFonts w:ascii="Times New Roman" w:hAnsi="Times New Roman" w:cs="Times New Roman"/>
          <w:rFonts w:ascii="Times New Roman" w:hAnsi="Times New Roman"/>
          <w:b w:val="0"/>
          <w:i w:val="0"/>
          <w:sz w:val="24"/>
        </w:rPr>
        <w:t xml:space="preserve"> Con una precisión direccional (DA) del 61,5% frente al 55,9% del paseo aleatorio y un RMSE de 3,815 pp frente a 5,054 pp del naive, la red neuronal recurrente demuestra que existe información predictiva explotable en la secuencia histórica de los determinantes del oro, más allá de la inercia del proceso. Esta mejora, aunque modesta en términos absolutos, es económicamente relevante para decisiones de asignación táctica de activos.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análisis SHAP valida la especificación econométrica desde la perspectiva del ML.</w:t>
      </w:r>
      <w:r>
        <w:rPr>
          <w:rFonts w:ascii="Times New Roman" w:hAnsi="Times New Roman" w:cs="Times New Roman"/>
          <w:rFonts w:ascii="Times New Roman" w:hAnsi="Times New Roman"/>
          <w:b w:val="0"/>
          <w:i w:val="0"/>
          <w:sz w:val="24"/>
        </w:rPr>
        <w:t xml:space="preserve"> La convergencia entre las jerarquías de variables del VECM y del análisis SHAP —tipos reales e inflación como determinantes dominantes, seguidos por el momentum del oro, el VIX y la renta variable— es el hallazgo metodológicamente más valioso del trabajo. Cuando dos enfoques con supuestos completamente diferentes producen la misma jerarquía de importancia, la evidencia de causalidad económica real se fortalece considerablemente frente a la posibilidad de que los resultados sean artefactos de los supuestos del modelo.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ML complementa, no sustituye, a la econometría.</w:t>
      </w:r>
      <w:r>
        <w:rPr>
          <w:rFonts w:ascii="Times New Roman" w:hAnsi="Times New Roman" w:cs="Times New Roman"/>
          <w:rFonts w:ascii="Times New Roman" w:hAnsi="Times New Roman"/>
          <w:b w:val="0"/>
          <w:i w:val="0"/>
          <w:sz w:val="24"/>
        </w:rPr>
        <w:t xml:space="preserve"> El VECM identifica relaciones estructurales de largo plazo e impone restricciones de identificación económicamente justificadas; el LSTM maximiza la precisión de predicción sin restricciones estructurales. Los dos modelos son herramientas apropiadas para preguntas diferentes: el VECM para cuantificar mecanismos de transmisión y velocidades de ajuste al equilibrio; el LSTM para optimizar señales tácticas de corto plazo. Su complementariedad —no su competencia— es la conclusión metodológica central de este trabajo.</w:t>
      </w:r>
    </w:p>
    <w:p>
      <w:pPr>
        <w:pStyle w:val="Heading2"/>
      </w:pPr>
      <w:r>
        <w:t>9.2 Aportaciones originales</w:t>
      </w:r>
    </w:p>
    <w:p>
      <w:pPr/>
      <w:r>
        <w:rPr>
          <w:rFonts w:ascii="Times New Roman" w:hAnsi="Times New Roman" w:cs="Times New Roman"/>
          <w:rFonts w:ascii="Times New Roman" w:hAnsi="Times New Roman"/>
          <w:b w:val="0"/>
          <w:i w:val="0"/>
          <w:sz w:val="24"/>
        </w:rPr>
        <w:t>Este trabajo realiza cuatro aportaciones que van más allá de la aplicación rutinaria de herramientas estándar a datos conocidos: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 validación cross-country de los mecanismos clásicos.</w:t>
      </w:r>
      <w:r>
        <w:rPr>
          <w:rFonts w:ascii="Times New Roman" w:hAnsi="Times New Roman" w:cs="Times New Roman"/>
          <w:rFonts w:ascii="Times New Roman" w:hAnsi="Times New Roman"/>
          <w:b w:val="0"/>
          <w:i w:val="0"/>
          <w:sz w:val="24"/>
        </w:rPr>
        <w:t xml:space="preserve"> La aplicación de un modelo de panel con efectos fijos a cuatro economías avanzadas durante 2000-2024 confirma que el mecanismo de coste de oportunidad de los tipos reales y el rol de refugio del oro ante la volatilidad financiera son propiedades universales del activo, no artefactos de los datos estadounidenses. Esta validación, que actualiza la evidencia de Baur y McDermott (2010) con 15 años adicionales de datos —incluyendo los episodios post-GFC más relevantes— no tiene precedente en trabajos académicos de pregrado de economía en España, hasta donde llega el conocimiento del autor.</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Segunda: cuantificación formal de la inestabilidad estructural.</w:t>
      </w:r>
      <w:r>
        <w:rPr>
          <w:rFonts w:ascii="Times New Roman" w:hAnsi="Times New Roman" w:cs="Times New Roman"/>
          <w:rFonts w:ascii="Times New Roman" w:hAnsi="Times New Roman"/>
          <w:b w:val="0"/>
          <w:i w:val="0"/>
          <w:sz w:val="24"/>
        </w:rPr>
        <w:t xml:space="preserve"> La combinación de tests de Chow en puntos de quiebre económicamente motivados con el análisis CUSUM proporciona evidencia formal de que las relaciones estimadas cambian en los episodios de crisis. Esta formalización va más allá de la mera descripción de correlaciones rolling, habitual en la literatura, y permite datar con precisión cuándo y en qué magnitud las relaciones econométricas se alteraron.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Tercera: validación cruzada VECM-SHAP.</w:t>
      </w:r>
      <w:r>
        <w:rPr>
          <w:rFonts w:ascii="Times New Roman" w:hAnsi="Times New Roman" w:cs="Times New Roman"/>
          <w:rFonts w:ascii="Times New Roman" w:hAnsi="Times New Roman"/>
          <w:b w:val="0"/>
          <w:i w:val="0"/>
          <w:sz w:val="24"/>
        </w:rPr>
        <w:t xml:space="preserve"> La comparación sistemática entre la importancia de las variables medida por la descomposición de varianza del VECM y los valores SHAP del modelo de ML con el mismo conjunto de variables y el mismo período constituye una forma de validación cruzada metodológica que no se encuentra frecuentemente en la literatura aplicada. La convergencia de resultados entre dos metodologías con supuestos tan diferentes tiene valor epistémico propio, independientemente de la precisión absoluta de cada modelo individual.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Cuarta: análisis integrador del episodio 2022-2024.</w:t>
      </w:r>
      <w:r>
        <w:rPr>
          <w:rFonts w:ascii="Times New Roman" w:hAnsi="Times New Roman" w:cs="Times New Roman"/>
          <w:rFonts w:ascii="Times New Roman" w:hAnsi="Times New Roman"/>
          <w:b w:val="0"/>
          <w:i w:val="0"/>
          <w:sz w:val="24"/>
        </w:rPr>
        <w:t xml:space="preserve"> La "paradoja" de un oro históricamente alto coexistiendo con tipos reales históricamente altos se analiza de forma integrada con las tres metodologías, conectando la detección econométrica de la ruptura estructural con la explicación económica de la de-dolarización y con el cambio en los pesos SHAP en ese sub-período. Este análisis integrador de un episodio reciente tiene relevancia directa para la gestión de carteras y para el debate de política económica sobre el futuro del sistema monetario internacional.</w:t>
      </w:r>
    </w:p>
    <w:p>
      <w:pPr>
        <w:pStyle w:val="Heading2"/>
      </w:pPr>
      <w:r>
        <w:t>9.3 Limitaciones y cautelas</w:t>
      </w:r>
    </w:p>
    <w:p>
      <w:pPr/>
      <w:r>
        <w:rPr>
          <w:rFonts w:ascii="Times New Roman" w:hAnsi="Times New Roman" w:cs="Times New Roman"/>
          <w:rFonts w:ascii="Times New Roman" w:hAnsi="Times New Roman"/>
          <w:b w:val="0"/>
          <w:i w:val="0"/>
          <w:sz w:val="24"/>
        </w:rPr>
        <w:t>Las conclusiones deben leerse con las siguientes cautelas:</w:t>
      </w:r>
    </w:p>
    <w:p>
      <w:pPr/>
      <w:r>
        <w:rPr>
          <w:rFonts w:ascii="Times New Roman" w:hAnsi="Times New Roman" w:cs="Times New Roman"/>
          <w:rFonts w:ascii="Times New Roman" w:hAnsi="Times New Roman"/>
          <w:b w:val="0"/>
          <w:i w:val="0"/>
          <w:sz w:val="24"/>
        </w:rPr>
        <w:t>La dimensión cross-sectional del panel (N = 4) es insuficiente para extraer inferencia robusta sobre la heterogeneidad entre países: los resultados son ilustrativos del orden de magnitud de los efectos pero no permiten generalizaciones estadísticas sobre poblaciones de economías. El tamaño de la muestra de ML (271 observaciones, 35 características) implica que los resultados predictivos deben interpretarse como indicativos, no como estimaciones definitivas de la mejora sobre el benchmark. La ausencia de una variable que capture las compras de bancos centrales emergentes a alta frecuencia es la omisión más importante del modelo, especialmente para la interpretación del episodio 2022-2024. Por último, los tests de raíz unitaria y cointegración en panel no se aplican formalmente, lo que constituye una limitación metodológica respecto al rigor exigible a un trabajo de investigación doctoral o de máster.</w:t>
      </w:r>
    </w:p>
    <w:p>
      <w:pPr>
        <w:pStyle w:val="Heading2"/>
      </w:pPr>
      <w:r>
        <w:t>9.4 Líneas de investigación futura</w:t>
      </w:r>
    </w:p>
    <w:p>
      <w:pPr/>
      <w:r>
        <w:rPr>
          <w:rFonts w:ascii="Times New Roman" w:hAnsi="Times New Roman" w:cs="Times New Roman"/>
          <w:rFonts w:ascii="Times New Roman" w:hAnsi="Times New Roman"/>
          <w:b w:val="0"/>
          <w:i w:val="0"/>
          <w:sz w:val="24"/>
        </w:rPr>
        <w:t>Los resultados de este trabajo apuntan a cuatro extensiones naturales que quedan pendientes de desarrollo: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Ampliar el panel a economías emergentes.</w:t>
      </w:r>
      <w:r>
        <w:rPr>
          <w:rFonts w:ascii="Times New Roman" w:hAnsi="Times New Roman" w:cs="Times New Roman"/>
          <w:rFonts w:ascii="Times New Roman" w:hAnsi="Times New Roman"/>
          <w:b w:val="0"/>
          <w:i w:val="0"/>
          <w:sz w:val="24"/>
        </w:rPr>
        <w:t xml:space="preserve"> La motivación de Baur y McDermott (2010) para distinguir entre economías avanzadas y BRIC sigue siendo válida. Un panel ampliado que incluya China, India, Brasil y Turquía permitiría contrastar si el mecanismo de coste de oportunidad opera de forma diferente en economías con menor desarrollo de los mercados de capitales locales y con distintos patrones culturales de demanda de oro físico.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Modelización explícita de la demanda de bancos centrales.</w:t>
      </w:r>
      <w:r>
        <w:rPr>
          <w:rFonts w:ascii="Times New Roman" w:hAnsi="Times New Roman" w:cs="Times New Roman"/>
          <w:rFonts w:ascii="Times New Roman" w:hAnsi="Times New Roman"/>
          <w:b w:val="0"/>
          <w:i w:val="0"/>
          <w:sz w:val="24"/>
        </w:rPr>
        <w:t xml:space="preserve"> La inclusión de los datos trimestrales de reservas oficiales de oro del FMI-IFS como variable explicativa adicional en el VECM y en el modelo de panel permitiría capturar directamente el canal de de-dolarización que este trabajo solo puede inferir indirectamente de los tests de estabilidad estructural.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Extensión temporal a frecuencia diaria.</w:t>
      </w:r>
      <w:r>
        <w:rPr>
          <w:rFonts w:ascii="Times New Roman" w:hAnsi="Times New Roman" w:cs="Times New Roman"/>
          <w:rFonts w:ascii="Times New Roman" w:hAnsi="Times New Roman"/>
          <w:b w:val="0"/>
          <w:i w:val="0"/>
          <w:sz w:val="24"/>
        </w:rPr>
        <w:t xml:space="preserve"> El análisis a frecuencia mensual es apropiado para capturar los determinantes macroeconómicos de largo plazo, pero pierde información sobre la dinámica intradiaria y los efectos de los anuncios de política monetaria sobre el precio del oro. Un modelo de alta frecuencia con datos diarios y variables de texto (NLP sobre actas de la Fed, noticias geopolíticas) podría capturar dimensiones del comportamiento del oro que este trabajo no alcanza.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Modelos de cambio de régimen.</w:t>
      </w:r>
      <w:r>
        <w:rPr>
          <w:rFonts w:ascii="Times New Roman" w:hAnsi="Times New Roman" w:cs="Times New Roman"/>
          <w:rFonts w:ascii="Times New Roman" w:hAnsi="Times New Roman"/>
          <w:b w:val="0"/>
          <w:i w:val="0"/>
          <w:sz w:val="24"/>
        </w:rPr>
        <w:t xml:space="preserve"> La evidencia de inestabilidad estructural documentada en este trabajo es consistente con la hipótesis de que el oro opera bajo distintos regímenes macroeconómicos. La estimación de un modelo de Markov Switching VAR —que permite que los parámetros del sistema cambien entre dos o más regímenes de forma endógena— sería la extensión econométrica más directa y podría proporcionar una caracterización formal de los regímenes de "alta sensibilidad a los tipos reales" y "dominancia de la demanda soberana" que este trabajo identifica de forma descriptiva.</w:t>
      </w:r>
    </w:p>
    <w:p>
      <w:pPr>
        <w:pStyle w:val="Heading2"/>
      </w:pPr>
      <w:r>
        <w:t>9.5 Reflexión final</w:t>
      </w:r>
    </w:p>
    <w:p>
      <w:pPr/>
      <w:r>
        <w:rPr>
          <w:rFonts w:ascii="Times New Roman" w:hAnsi="Times New Roman" w:cs="Times New Roman"/>
          <w:rFonts w:ascii="Times New Roman" w:hAnsi="Times New Roman"/>
          <w:b w:val="0"/>
          <w:i w:val="0"/>
          <w:sz w:val="24"/>
        </w:rPr>
        <w:t>El oro es un activo que desafía las categorías convencionales de la teoría financiera. No genera flujos de caja, no tiene valor de uso mayoritario, y sin embargo ha preservado poder adquisitivo durante milenios. Su precio en el periodo 2000-2025 concentra algunos de los episodios macroeconómicos y geopolíticos más extraordinarios de la historia reciente, y su comportamiento en cada uno de ellos —a veces predecible, a veces desconcertante— refleja la complejidad de las fuerzas que lo mueven.</w:t>
      </w:r>
    </w:p>
    <w:p>
      <w:pPr/>
      <w:r>
        <w:rPr>
          <w:rFonts w:ascii="Times New Roman" w:hAnsi="Times New Roman" w:cs="Times New Roman"/>
          <w:rFonts w:ascii="Times New Roman" w:hAnsi="Times New Roman"/>
          <w:b w:val="0"/>
          <w:i w:val="0"/>
          <w:sz w:val="24"/>
        </w:rPr>
        <w:t>Este trabajo ha demostrado que, a pesar de esa complejidad, existe un núcleo de determinantes que los datos confirman con robustez metodológica notable: los tipos de interés reales y la inflación como catalizadores macroeconómicos fundamentales, la incertidumbre financiera global como activador del rol de refugio, y la inestabilidad estructural como característica permanente de sus relaciones con el entorno. El oro no es, como a veces se sostiene en el debate popular, ni un activo perfectamente predecible por modelos mecánicos ni un misterio económico impenetrable. Es un activo con determinantes identificables cuyas ponderaciones cambian según el régimen de mercado dominante, y cuya comprensión requiere exactamente la combinación de econometría estructural, perspectiva comparada y herramientas adaptativas que este trabajo ha intentado aportar.</w:t>
      </w:r>
    </w:p>
    <w:p>
      <w:pPr/>
      <w:r>
        <w:rPr>
          <w:rFonts w:ascii="Times New Roman" w:hAnsi="Times New Roman" w:cs="Times New Roman"/>
          <w:rFonts w:ascii="Times New Roman" w:hAnsi="Times New Roman"/>
          <w:b w:val="0"/>
          <w:i w:val="0"/>
          <w:sz w:val="24"/>
        </w:rPr>
        <w:t>En el momento de redactar estas conclusiones, el precio del oro supera los 4.500 dólares por onza y los bancos centrales siguen acumulando reservas a un ritmo sin precedentes. Los modelos estimados en este trabajo no predicen con exactitud qué ocurrirá el mes que viene. Pero sí establecen las condiciones bajo las que el oro tenderá a subir —tipos reales cayendo, incertidumbre financiera elevada, dólar débil, demanda soberana sostenida— y las condiciones bajo las que su coste de oportunidad se hace difícilmente justificable. Esa capacidad de articular condiciones, más que un número concreto, es lo que la econometría rigurosa puede aportar al análisis de los mercados financieros.</w:t>
      </w:r>
    </w:p>
    <w:p>
      <w:r>
        <w:br w:type="page"/>
      </w:r>
    </w:p>
    <w:p>
      <w:pPr>
        <w:pStyle w:val="Heading1"/>
      </w:pPr>
      <w:r>
        <w:t>REFERENCIAS BIBLIOGRAFICAS</w:t>
      </w:r>
    </w:p>
    <w:p>
      <w:pPr>
        <w:spacing w:line="240" w:lineRule="auto" w:after="120"/>
        <w:ind w:hanging="567" w:left="567"/>
      </w:pPr>
      <w:r>
        <w:rPr>
          <w:rFonts w:ascii="Times New Roman" w:hAnsi="Times New Roman" w:cs="Times New Roman"/>
          <w:rFonts w:ascii="Times New Roman" w:hAnsi="Times New Roman"/>
          <w:b w:val="0"/>
          <w:i w:val="0"/>
          <w:sz w:val="24"/>
        </w:rPr>
        <w:t>Barsky, R. B., &amp; Summers, L. H. (1988). Gibson's paradox and the gold standard. Journal of Political Economy, 96(3), 528-550.</w:t>
      </w:r>
    </w:p>
    <w:p>
      <w:pPr>
        <w:spacing w:line="240" w:lineRule="auto" w:after="120"/>
        <w:ind w:hanging="567" w:left="567"/>
      </w:pPr>
      <w:r>
        <w:rPr>
          <w:rFonts w:ascii="Times New Roman" w:hAnsi="Times New Roman" w:cs="Times New Roman"/>
          <w:rFonts w:ascii="Times New Roman" w:hAnsi="Times New Roman"/>
          <w:b w:val="0"/>
          <w:i w:val="0"/>
          <w:sz w:val="24"/>
        </w:rPr>
        <w:t>Baur, D. G., &amp; Lucey, B. M. (2010). Is gold a hedge or a safe haven? An analysis of stocks, bonds and gold. Financial Review, 45(2), 217-229.</w:t>
      </w:r>
    </w:p>
    <w:p>
      <w:pPr>
        <w:spacing w:line="240" w:lineRule="auto" w:after="120"/>
        <w:ind w:hanging="567" w:left="567"/>
      </w:pPr>
      <w:r>
        <w:rPr>
          <w:rFonts w:ascii="Times New Roman" w:hAnsi="Times New Roman" w:cs="Times New Roman"/>
          <w:rFonts w:ascii="Times New Roman" w:hAnsi="Times New Roman"/>
          <w:b w:val="0"/>
          <w:i w:val="0"/>
          <w:sz w:val="24"/>
        </w:rPr>
        <w:t>Baur, D. G., &amp; McDermott, T. K. (2010). Is gold a safe haven? International evidence. Journal of Banking &amp; Finance, 34(8), 1886-1898.</w:t>
      </w:r>
    </w:p>
    <w:p>
      <w:pPr>
        <w:spacing w:line="240" w:lineRule="auto" w:after="120"/>
        <w:ind w:hanging="567" w:left="567"/>
      </w:pPr>
      <w:r>
        <w:rPr>
          <w:rFonts w:ascii="Times New Roman" w:hAnsi="Times New Roman" w:cs="Times New Roman"/>
          <w:rFonts w:ascii="Times New Roman" w:hAnsi="Times New Roman"/>
          <w:b w:val="0"/>
          <w:i w:val="0"/>
          <w:sz w:val="24"/>
        </w:rPr>
        <w:t>Bollerslev, T. (1986). Generalized autoregressive conditional heteroskedasticity. Journal of Econometrics, 31(3), 307-327.</w:t>
      </w:r>
    </w:p>
    <w:p>
      <w:pPr>
        <w:spacing w:line="240" w:lineRule="auto" w:after="120"/>
        <w:ind w:hanging="567" w:left="567"/>
      </w:pPr>
      <w:r>
        <w:rPr>
          <w:rFonts w:ascii="Times New Roman" w:hAnsi="Times New Roman" w:cs="Times New Roman"/>
          <w:rFonts w:ascii="Times New Roman" w:hAnsi="Times New Roman"/>
          <w:b w:val="0"/>
          <w:i w:val="0"/>
          <w:sz w:val="24"/>
        </w:rPr>
        <w:t>Breiman, L. (2001). Random forests. Machine Learning, 45(1), 5-32.</w:t>
      </w:r>
    </w:p>
    <w:p>
      <w:pPr>
        <w:spacing w:line="240" w:lineRule="auto" w:after="120"/>
        <w:ind w:hanging="567" w:left="567"/>
      </w:pPr>
      <w:r>
        <w:rPr>
          <w:rFonts w:ascii="Times New Roman" w:hAnsi="Times New Roman" w:cs="Times New Roman"/>
          <w:rFonts w:ascii="Times New Roman" w:hAnsi="Times New Roman"/>
          <w:b w:val="0"/>
          <w:i w:val="0"/>
          <w:sz w:val="24"/>
        </w:rPr>
        <w:t>Chen, T., &amp; Guestrin, C. (2016). XGBoost: A scalable tree boosting system. Proceedings of the 22nd ACM SIGKDD, 785-794.</w:t>
      </w:r>
    </w:p>
    <w:p>
      <w:pPr>
        <w:spacing w:line="240" w:lineRule="auto" w:after="120"/>
        <w:ind w:hanging="567" w:left="567"/>
      </w:pPr>
      <w:r>
        <w:rPr>
          <w:rFonts w:ascii="Times New Roman" w:hAnsi="Times New Roman" w:cs="Times New Roman"/>
          <w:rFonts w:ascii="Times New Roman" w:hAnsi="Times New Roman"/>
          <w:b w:val="0"/>
          <w:i w:val="0"/>
          <w:sz w:val="24"/>
        </w:rPr>
        <w:t>Chicago Fed. (2021). What drives gold prices? Chicago Fed Letter, No. 464.</w:t>
      </w:r>
    </w:p>
    <w:p>
      <w:pPr>
        <w:spacing w:line="240" w:lineRule="auto" w:after="120"/>
        <w:ind w:hanging="567" w:left="567"/>
      </w:pPr>
      <w:r>
        <w:rPr>
          <w:rFonts w:ascii="Times New Roman" w:hAnsi="Times New Roman" w:cs="Times New Roman"/>
          <w:rFonts w:ascii="Times New Roman" w:hAnsi="Times New Roman"/>
          <w:b w:val="0"/>
          <w:i w:val="0"/>
          <w:sz w:val="24"/>
        </w:rPr>
        <w:t>Christie-David, R., Chaudhry, M., &amp; Koch, T. W. (2000). Do macroeconomics news releases affect gold and silver prices? Journal of Economics and Business, 52(5), 405-421.</w:t>
      </w:r>
    </w:p>
    <w:p>
      <w:pPr>
        <w:spacing w:line="240" w:lineRule="auto" w:after="120"/>
        <w:ind w:hanging="567" w:left="567"/>
      </w:pPr>
      <w:r>
        <w:rPr>
          <w:rFonts w:ascii="Times New Roman" w:hAnsi="Times New Roman" w:cs="Times New Roman"/>
          <w:rFonts w:ascii="Times New Roman" w:hAnsi="Times New Roman"/>
          <w:b w:val="0"/>
          <w:i w:val="0"/>
          <w:sz w:val="24"/>
        </w:rPr>
        <w:t>Dornbusch, R. (1976). Expectations and exchange rate dynamics. Journal of Political Economy, 84(6), 1161-1176.</w:t>
      </w:r>
    </w:p>
    <w:p>
      <w:pPr>
        <w:spacing w:line="240" w:lineRule="auto" w:after="120"/>
        <w:ind w:hanging="567" w:left="567"/>
      </w:pPr>
      <w:r>
        <w:rPr>
          <w:rFonts w:ascii="Times New Roman" w:hAnsi="Times New Roman" w:cs="Times New Roman"/>
          <w:rFonts w:ascii="Times New Roman" w:hAnsi="Times New Roman"/>
          <w:b w:val="0"/>
          <w:i w:val="0"/>
          <w:sz w:val="24"/>
        </w:rPr>
        <w:t>Driscoll, J. C., &amp; Kraay, A. C. (1998). Consistent covariance matrix estimation with spatially dependent panel data. Review of Economics and Statistics, 80(4), 549-560.</w:t>
      </w:r>
    </w:p>
    <w:p>
      <w:pPr>
        <w:spacing w:line="240" w:lineRule="auto" w:after="120"/>
        <w:ind w:hanging="567" w:left="567"/>
      </w:pPr>
      <w:r>
        <w:rPr>
          <w:rFonts w:ascii="Times New Roman" w:hAnsi="Times New Roman" w:cs="Times New Roman"/>
          <w:rFonts w:ascii="Times New Roman" w:hAnsi="Times New Roman"/>
          <w:b w:val="0"/>
          <w:i w:val="0"/>
          <w:sz w:val="24"/>
        </w:rPr>
        <w:t>Engle, R. F. (1982). Autoregressive conditional heteroscedasticity with estimates of the variance of United Kingdom inflation. Econometrica, 50(4), 987-1007.</w:t>
      </w:r>
    </w:p>
    <w:p>
      <w:pPr>
        <w:spacing w:line="240" w:lineRule="auto" w:after="120"/>
        <w:ind w:hanging="567" w:left="567"/>
      </w:pPr>
      <w:r>
        <w:rPr>
          <w:rFonts w:ascii="Times New Roman" w:hAnsi="Times New Roman" w:cs="Times New Roman"/>
          <w:rFonts w:ascii="Times New Roman" w:hAnsi="Times New Roman"/>
          <w:b w:val="0"/>
          <w:i w:val="0"/>
          <w:sz w:val="24"/>
        </w:rPr>
        <w:t>Erb, C. B., &amp; Harvey, C. R. (2013). The golden dilemma. Financial Analysts Journal, 69(4), 10-42.</w:t>
      </w:r>
    </w:p>
    <w:p>
      <w:pPr>
        <w:spacing w:line="240" w:lineRule="auto" w:after="120"/>
        <w:ind w:hanging="567" w:left="567"/>
      </w:pPr>
      <w:r>
        <w:rPr>
          <w:rFonts w:ascii="Times New Roman" w:hAnsi="Times New Roman" w:cs="Times New Roman"/>
          <w:rFonts w:ascii="Times New Roman" w:hAnsi="Times New Roman"/>
          <w:b w:val="0"/>
          <w:i w:val="0"/>
          <w:sz w:val="24"/>
        </w:rPr>
        <w:t>Glosten, L. R., Jagannathan, R., &amp; Runkle, D. E. (1993). On the relation between the expected value and the volatility of the nominal excess return on stocks. Journal of Finance, 48(5), 1779-1801.</w:t>
      </w:r>
    </w:p>
    <w:p>
      <w:pPr>
        <w:spacing w:line="240" w:lineRule="auto" w:after="120"/>
        <w:ind w:hanging="567" w:left="567"/>
      </w:pPr>
      <w:r>
        <w:rPr>
          <w:rFonts w:ascii="Times New Roman" w:hAnsi="Times New Roman" w:cs="Times New Roman"/>
          <w:rFonts w:ascii="Times New Roman" w:hAnsi="Times New Roman"/>
          <w:b w:val="0"/>
          <w:i w:val="0"/>
          <w:sz w:val="24"/>
        </w:rPr>
        <w:t>Granger, C. W. J., &amp; Newbold, P. (1974). Spurious regressions in econometrics. Journal of Econometrics, 2(2), 111-120.</w:t>
      </w:r>
    </w:p>
    <w:p>
      <w:pPr>
        <w:spacing w:line="240" w:lineRule="auto" w:after="120"/>
        <w:ind w:hanging="567" w:left="567"/>
      </w:pPr>
      <w:r>
        <w:rPr>
          <w:rFonts w:ascii="Times New Roman" w:hAnsi="Times New Roman" w:cs="Times New Roman"/>
          <w:rFonts w:ascii="Times New Roman" w:hAnsi="Times New Roman"/>
          <w:b w:val="0"/>
          <w:i w:val="0"/>
          <w:sz w:val="24"/>
        </w:rPr>
        <w:t>Hausman, J. A. (1978). Specification tests in econometrics. Econometrica, 46(6), 1251-1271.</w:t>
      </w:r>
    </w:p>
    <w:p>
      <w:pPr>
        <w:spacing w:line="240" w:lineRule="auto" w:after="120"/>
        <w:ind w:hanging="567" w:left="567"/>
      </w:pPr>
      <w:r>
        <w:rPr>
          <w:rFonts w:ascii="Times New Roman" w:hAnsi="Times New Roman" w:cs="Times New Roman"/>
          <w:rFonts w:ascii="Times New Roman" w:hAnsi="Times New Roman"/>
          <w:b w:val="0"/>
          <w:i w:val="0"/>
          <w:sz w:val="24"/>
        </w:rPr>
        <w:t>Hochreiter, S., &amp; Schmidhuber, J. (1997). Long short-term memory. Neural Computation, 9(8), 1735-1780.</w:t>
      </w:r>
    </w:p>
    <w:p>
      <w:pPr>
        <w:spacing w:line="240" w:lineRule="auto" w:after="120"/>
        <w:ind w:hanging="567" w:left="567"/>
      </w:pPr>
      <w:r>
        <w:rPr>
          <w:rFonts w:ascii="Times New Roman" w:hAnsi="Times New Roman" w:cs="Times New Roman"/>
          <w:rFonts w:ascii="Times New Roman" w:hAnsi="Times New Roman"/>
          <w:b w:val="0"/>
          <w:i w:val="0"/>
          <w:sz w:val="24"/>
        </w:rPr>
        <w:t>Johansen, S. (1991). Estimation and hypothesis testing of cointegration vectors in Gaussian vector autoregressive models. Econometrica, 59(6), 1551-1580.</w:t>
      </w:r>
    </w:p>
    <w:p>
      <w:pPr>
        <w:spacing w:line="240" w:lineRule="auto" w:after="120"/>
        <w:ind w:hanging="567" w:left="567"/>
      </w:pPr>
      <w:r>
        <w:rPr>
          <w:rFonts w:ascii="Times New Roman" w:hAnsi="Times New Roman" w:cs="Times New Roman"/>
          <w:rFonts w:ascii="Times New Roman" w:hAnsi="Times New Roman"/>
          <w:b w:val="0"/>
          <w:i w:val="0"/>
          <w:sz w:val="24"/>
        </w:rPr>
        <w:t>Johansen, S., &amp; Juselius, K. (1990). Maximum likelihood estimation and inference on cointegration with applications to the demand for money. Oxford Bulletin of Economics and Statistics, 52(2), 169-210.</w:t>
      </w:r>
    </w:p>
    <w:p>
      <w:pPr>
        <w:spacing w:line="240" w:lineRule="auto" w:after="120"/>
        <w:ind w:hanging="567" w:left="567"/>
      </w:pPr>
      <w:r>
        <w:rPr>
          <w:rFonts w:ascii="Times New Roman" w:hAnsi="Times New Roman" w:cs="Times New Roman"/>
          <w:rFonts w:ascii="Times New Roman" w:hAnsi="Times New Roman"/>
          <w:b w:val="0"/>
          <w:i w:val="0"/>
          <w:sz w:val="24"/>
        </w:rPr>
        <w:t>Liang, C., Li, Y., Ma, F., &amp; Wei, Y. (2023). Forecasting gold price using machine learning methodologies. Chaos, Solitons &amp; Fractals, 173, 113589.</w:t>
      </w:r>
    </w:p>
    <w:p>
      <w:pPr>
        <w:spacing w:line="240" w:lineRule="auto" w:after="120"/>
        <w:ind w:hanging="567" w:left="567"/>
      </w:pPr>
      <w:r>
        <w:rPr>
          <w:rFonts w:ascii="Times New Roman" w:hAnsi="Times New Roman" w:cs="Times New Roman"/>
          <w:rFonts w:ascii="Times New Roman" w:hAnsi="Times New Roman"/>
          <w:b w:val="0"/>
          <w:i w:val="0"/>
          <w:sz w:val="24"/>
        </w:rPr>
        <w:t>Lopez de Prado, M. (2018). Advances in Financial Machine Learning. Wiley.</w:t>
      </w:r>
    </w:p>
    <w:p>
      <w:pPr>
        <w:spacing w:line="240" w:lineRule="auto" w:after="120"/>
        <w:ind w:hanging="567" w:left="567"/>
      </w:pPr>
      <w:r>
        <w:rPr>
          <w:rFonts w:ascii="Times New Roman" w:hAnsi="Times New Roman" w:cs="Times New Roman"/>
          <w:rFonts w:ascii="Times New Roman" w:hAnsi="Times New Roman"/>
          <w:b w:val="0"/>
          <w:i w:val="0"/>
          <w:sz w:val="24"/>
        </w:rPr>
        <w:t>Lundberg, S. M., &amp; Lee, S.-I. (2017). A unified approach to interpreting model predictions. Advances in Neural Information Processing Systems, 30, 4765-4774.</w:t>
      </w:r>
    </w:p>
    <w:p>
      <w:pPr>
        <w:spacing w:line="240" w:lineRule="auto" w:after="120"/>
        <w:ind w:hanging="567" w:left="567"/>
      </w:pPr>
      <w:r>
        <w:rPr>
          <w:rFonts w:ascii="Times New Roman" w:hAnsi="Times New Roman" w:cs="Times New Roman"/>
          <w:rFonts w:ascii="Times New Roman" w:hAnsi="Times New Roman"/>
          <w:b w:val="0"/>
          <w:i w:val="0"/>
          <w:sz w:val="24"/>
        </w:rPr>
        <w:t>Lundberg, S. M., Erion, G., Chen, H., DeGrave, A., Prutkin, J. M., Nair, B., Katz, R., Himmelfarb, J., Bansal, N., &amp; Lee, S.-I. (2020). From local explanations to global understanding with explainable AI for trees. Nature Machine Intelligence, 2(1), 56-67.</w:t>
      </w:r>
    </w:p>
    <w:p>
      <w:pPr>
        <w:spacing w:line="240" w:lineRule="auto" w:after="120"/>
        <w:ind w:hanging="567" w:left="567"/>
      </w:pPr>
      <w:r>
        <w:rPr>
          <w:rFonts w:ascii="Times New Roman" w:hAnsi="Times New Roman" w:cs="Times New Roman"/>
          <w:rFonts w:ascii="Times New Roman" w:hAnsi="Times New Roman"/>
          <w:b w:val="0"/>
          <w:i w:val="0"/>
          <w:sz w:val="24"/>
        </w:rPr>
        <w:t>O'Connor, F. A., Lucey, B. M., Batten, J. A., &amp; Baur, D. G. (2015). The financial economics of gold: A survey. International Review of Financial Analysis, 41, 186-205.</w:t>
      </w:r>
    </w:p>
    <w:p>
      <w:pPr>
        <w:spacing w:line="240" w:lineRule="auto" w:after="120"/>
        <w:ind w:hanging="567" w:left="567"/>
      </w:pPr>
      <w:r>
        <w:rPr>
          <w:rFonts w:ascii="Times New Roman" w:hAnsi="Times New Roman" w:cs="Times New Roman"/>
          <w:rFonts w:ascii="Times New Roman" w:hAnsi="Times New Roman"/>
          <w:b w:val="0"/>
          <w:i w:val="0"/>
          <w:sz w:val="24"/>
        </w:rPr>
        <w:t>Plakandaras, V., Gupta, R., Wohar, M. E., &amp; Kaplanis, T. (2022). Forecasting the price of gold using machine learning methodologies. Applied Economics, 54(33), 3768-3783.</w:t>
      </w:r>
    </w:p>
    <w:p>
      <w:pPr>
        <w:spacing w:line="240" w:lineRule="auto" w:after="120"/>
        <w:ind w:hanging="567" w:left="567"/>
      </w:pPr>
      <w:r>
        <w:rPr>
          <w:rFonts w:ascii="Times New Roman" w:hAnsi="Times New Roman" w:cs="Times New Roman"/>
          <w:rFonts w:ascii="Times New Roman" w:hAnsi="Times New Roman"/>
          <w:b w:val="0"/>
          <w:i w:val="0"/>
          <w:sz w:val="24"/>
        </w:rPr>
        <w:t>Sims, C. A. (1980). Macroeconomics and reality. Econometrica, 48(1), 1-48.</w:t>
      </w:r>
    </w:p>
    <w:p>
      <w:pPr>
        <w:spacing w:line="240" w:lineRule="auto" w:after="120"/>
        <w:ind w:hanging="567" w:left="567"/>
      </w:pPr>
      <w:r>
        <w:rPr>
          <w:rFonts w:ascii="Times New Roman" w:hAnsi="Times New Roman" w:cs="Times New Roman"/>
          <w:rFonts w:ascii="Times New Roman" w:hAnsi="Times New Roman"/>
          <w:b w:val="0"/>
          <w:i w:val="0"/>
          <w:sz w:val="24"/>
        </w:rPr>
        <w:t>Wooldridge, J. M. (2007). Introduccion a la econometria: un enfoque moderno (3.a ed.). Thomson.</w:t>
      </w:r>
    </w:p>
    <w:p>
      <w:pPr>
        <w:spacing w:line="240" w:lineRule="auto" w:after="120"/>
        <w:ind w:hanging="567" w:left="567"/>
      </w:pPr>
      <w:r>
        <w:rPr>
          <w:rFonts w:ascii="Times New Roman" w:hAnsi="Times New Roman" w:cs="Times New Roman"/>
          <w:rFonts w:ascii="Times New Roman" w:hAnsi="Times New Roman"/>
          <w:b w:val="0"/>
          <w:i w:val="0"/>
          <w:sz w:val="24"/>
        </w:rPr>
        <w:t>World Gold Council. (2023). Gold Demand Trends: Full Year 2023. World Gold Council.</w:t>
      </w:r>
    </w:p>
    <w:p>
      <w:pPr>
        <w:spacing w:line="240" w:lineRule="auto" w:after="120"/>
        <w:ind w:hanging="567" w:left="567"/>
      </w:pPr>
      <w:r>
        <w:rPr>
          <w:rFonts w:ascii="Times New Roman" w:hAnsi="Times New Roman" w:cs="Times New Roman"/>
          <w:rFonts w:ascii="Times New Roman" w:hAnsi="Times New Roman"/>
          <w:b w:val="0"/>
          <w:i w:val="0"/>
          <w:sz w:val="24"/>
        </w:rPr>
        <w:t>World Gold Council. (2024). Gold Demand Trends: Full Year 2024. World Gold Council.</w:t>
      </w:r>
    </w:p>
    <w:p>
      <w:r>
        <w:br w:type="page"/>
      </w:r>
    </w:p>
    <w:p>
      <w:pPr>
        <w:pStyle w:val="Heading1"/>
      </w:pPr>
      <w:r>
        <w:t>SUMMARY</w:t>
      </w:r>
    </w:p>
    <w:p>
      <w:pPr>
        <w:pStyle w:val="Heading2"/>
      </w:pPr>
      <w:r>
        <w:t>Gold Price Dynamics (2000-2025): An Econometric and Machine Learning Analysis</w:t>
      </w:r>
    </w:p>
    <w:p>
      <w:pPr>
        <w:pStyle w:val="Heading3"/>
      </w:pPr>
      <w:r>
        <w:t>Introduction and motivation</w:t>
      </w:r>
    </w:p>
    <w:p>
      <w:pPr/>
      <w:r>
        <w:rPr>
          <w:rFonts w:ascii="Times New Roman" w:hAnsi="Times New Roman" w:cs="Times New Roman"/>
          <w:rFonts w:ascii="Times New Roman" w:hAnsi="Times New Roman"/>
          <w:b w:val="0"/>
          <w:i w:val="0"/>
          <w:sz w:val="24"/>
        </w:rPr>
        <w:t>Gold occupies a unique position in the taxonomy of financial assets. It generates no cash flows, pays no dividends or coupons, and has limited productive use compared to industrial commodities. Yet central banks, sovereign wealth funds, and private investors continue to accumulate it as a store of value and safe haven. The period 2000-2025 concentrated five exceptional market episodes: the Global Financial Crisis (GFC) of 2008, the post-quantitative easing (QE) peak of 2011, the COVID-19 pandemic of 2020, the most aggressive interest rate hiking cycle in four decades from 2022 to 2024, and an extraordinary rally in 2025 that pushed prices above USD 4,500 per troy ounce for the first time in history. In each episode, gold behaved differently -- sometimes as a predictable safe haven, sometimes defying conventional economic logic -- making this period an exceptionally rich laboratory for applying modern econometric and machine learning tools.</w:t>
      </w:r>
    </w:p>
    <w:p>
      <w:pPr/>
      <w:r>
        <w:rPr>
          <w:rFonts w:ascii="Times New Roman" w:hAnsi="Times New Roman" w:cs="Times New Roman"/>
          <w:rFonts w:ascii="Times New Roman" w:hAnsi="Times New Roman"/>
          <w:b w:val="0"/>
          <w:i w:val="0"/>
          <w:sz w:val="24"/>
        </w:rPr>
        <w:t>This thesis is organised around three research questions. First, which macroeconomic and financial variables determine the price of gold over the period 2000-2025, and what is their relative importance at different time horizons? Second, have those determinants remained stable across the major crisis episodes, or can formal structural breaks be identified? Third, can machine learning improve short-run predictive accuracy beyond classical econometric benchmarks, and what does it reveal about the relative weight of each variable across different market regimes?</w:t>
      </w:r>
    </w:p>
    <w:p>
      <w:pPr>
        <w:pStyle w:val="Heading3"/>
      </w:pPr>
      <w:r>
        <w:t>Theoretical framework</w:t>
      </w:r>
    </w:p>
    <w:p>
      <w:pPr/>
      <w:r>
        <w:rPr>
          <w:rFonts w:ascii="Times New Roman" w:hAnsi="Times New Roman" w:cs="Times New Roman"/>
          <w:rFonts w:ascii="Times New Roman" w:hAnsi="Times New Roman"/>
          <w:b w:val="0"/>
          <w:i w:val="0"/>
          <w:sz w:val="24"/>
        </w:rPr>
        <w:t>The analysis rests on four theoretical pillars from the financial economics literature. First, the opportunity cost mechanism: since gold bears no yield, its equilibrium price should be a decreasing function of the real interest rate -- the forgone return on risk-free real assets. This mechanism, formalised by Barsky and Summers (1988) and documented empirically by Erb and Harvey (2013), forms the backbone of the Vector Error Correction Model estimated in Chapter 5. Second, the hedge and safe haven distinctions introduced by Baur and Lucey (2010): gold is a hedge if its unconditional correlation with risk assets is negative on average, and a safe haven if that correlation is negative conditionally on extreme negative market returns. Third, the role of inflation expectations -- measured by Treasury breakeven rates -- as a high-frequency signal of the opportunity cost of holding gold. Fourth, the institutional context of the de-dollarisation process, through which emerging market central banks have been systematically increasing gold reserves since 2022 at historically unprecedented rates, creating a demand channel structurally different from the financial investor channel modelled by classical econometrics.</w:t>
      </w:r>
    </w:p>
    <w:p>
      <w:pPr/>
      <w:r>
        <w:rPr>
          <w:rFonts w:ascii="Times New Roman" w:hAnsi="Times New Roman" w:cs="Times New Roman"/>
          <w:rFonts w:ascii="Times New Roman" w:hAnsi="Times New Roman"/>
          <w:b w:val="0"/>
          <w:i w:val="0"/>
          <w:sz w:val="24"/>
        </w:rPr>
        <w:t>The methodological choice of a VAR/VECM framework follows Sims's (1980) critique of structural simultaneous equation models: since gold, the dollar, real interest rates, and equity markets mutually affect each other in ways that cannot be specified a priori, treating all variables as equally endogenous is the most methodologically honest approach.</w:t>
      </w:r>
    </w:p>
    <w:p>
      <w:pPr>
        <w:pStyle w:val="Heading3"/>
      </w:pPr>
      <w:r>
        <w:t>Data and methodology</w:t>
      </w:r>
    </w:p>
    <w:p>
      <w:pPr/>
      <w:r>
        <w:rPr>
          <w:rFonts w:ascii="Times New Roman" w:hAnsi="Times New Roman" w:cs="Times New Roman"/>
          <w:rFonts w:ascii="Times New Roman" w:hAnsi="Times New Roman"/>
          <w:b w:val="0"/>
          <w:i w:val="0"/>
          <w:sz w:val="24"/>
        </w:rPr>
        <w:t>The dataset covers 312 monthly observations from January 2000 to December 2025. Gold prices are sourced from Yahoo Finance (futures contract GC=F). Macroeconomic variables -- 10-year TIPS yields, CPI, 10-year breakeven inflation rates -- are obtained from the Federal Reserve Economic Data (FRED) database. Financial market variables -- DXY dollar index, S&amp;P 500, VIX, WTI crude oil, and the 10-year Treasury nominal yield -- are also sourced from Yahoo Finance. All price series are transformed to logarithmic first differences to ensure stationarity; interest rate and volatility series are used in levels. Five historical episodes are demarcated: GFC 2008 (August 2007 - June 2009), post-QE peak 2011 (July 2011 - June 2013), COVID-19 2020 (February - August 2020), the rate hike cycle 2022 (March 2022 - July 2024), and the 2025 triple-confluence rally.</w:t>
      </w:r>
    </w:p>
    <w:p>
      <w:pPr>
        <w:pStyle w:val="Heading3"/>
      </w:pPr>
      <w:r>
        <w:t>VAR/VECM econometric results</w:t>
      </w:r>
    </w:p>
    <w:p>
      <w:pPr/>
      <w:r>
        <w:rPr>
          <w:rFonts w:ascii="Times New Roman" w:hAnsi="Times New Roman" w:cs="Times New Roman"/>
          <w:rFonts w:ascii="Times New Roman" w:hAnsi="Times New Roman"/>
          <w:b w:val="0"/>
          <w:i w:val="0"/>
          <w:sz w:val="24"/>
        </w:rPr>
        <w:t>Augmented Dickey-Fuller and KPSS unit root tests confirm that all five variables in the core system are integrated of order one, I(1). The Johansen trace and maximum eigenvalue tests identify two cointegrating vectors at the 5% significance level, justifying the VECM specification. The long-run cointegrating vector assigns the largest coefficient to TIPS yields (approximately -0.72), confirming the opportunity cost mechanism as the primary structural determinant. The DXY enters with a coefficient of approximately -0.43. The error correction coefficient of -0.08 implies that approximately 8% of any deviation from long-run equilibrium is corrected each month, corresponding to a half-life of about eight months.</w:t>
      </w:r>
    </w:p>
    <w:p>
      <w:pPr/>
      <w:r>
        <w:rPr>
          <w:rFonts w:ascii="Times New Roman" w:hAnsi="Times New Roman" w:cs="Times New Roman"/>
          <w:rFonts w:ascii="Times New Roman" w:hAnsi="Times New Roman"/>
          <w:b w:val="0"/>
          <w:i w:val="0"/>
          <w:sz w:val="24"/>
        </w:rPr>
        <w:t>Granger causality tests reject the null of non-causality from TIPS to gold at all lags (p &lt; 0.001). Impulse response functions confirm that a one-standard-deviation positive shock to real rates generates a persistent negative response lasting 12-18 months. Forecast error variance decomposition attributes 38% of the 24-month variance of gold to TIPS shocks and 21% to DXY shocks. GJR-GARCH modelling reveals significant asymmetric volatility: negative shocks generate larger subsequent variance increases than positive shocks of the same magnitude. Structural stability tests reject parameter stability at all five episode breakpoints, with the highest F-statistic at March 2022. CUSUM analysis exits the 5% confidence bands during 2022-2024. Rolling coefficient estimates confirm that the historical TIPS-gold coefficient of approximately -0.7 attenuated significantly during 2022-2024, when gold rose despite historically high real yields.</w:t>
      </w:r>
    </w:p>
    <w:p>
      <w:pPr>
        <w:pStyle w:val="Heading3"/>
      </w:pPr>
      <w:r>
        <w:t>Panel data analysis</w:t>
      </w:r>
    </w:p>
    <w:p>
      <w:pPr/>
      <w:r>
        <w:rPr>
          <w:rFonts w:ascii="Times New Roman" w:hAnsi="Times New Roman" w:cs="Times New Roman"/>
          <w:rFonts w:ascii="Times New Roman" w:hAnsi="Times New Roman"/>
          <w:b w:val="0"/>
          <w:i w:val="0"/>
          <w:sz w:val="24"/>
        </w:rPr>
        <w:t>Chapter 6 extends the analysis to a cross-country panel of four advanced economies: the United States, the Euro Area, Japan, and the United Kingdom, using 96 monthly observations (January 2016 - December 2023) and local-currency gold prices. The Hausman test rejects the random effects specification (chi-squared = 14.73, p &lt; 0.01), confirming that fixed effects capture stable unobserved country-level heterogeneity -- likely differences in the gold-currency correlation driven by exchange rate regimes and local market structure. Under fixed effects with Driscoll-Kraay standard errors (robust to cross-sectional dependence), the real interest rate coefficient is negative and statistically significant in all four economies, with estimates ranging from -0.31 (Japan) to -0.68 (United States). The VIX coefficient is positive and significant across all countries, validating the safe haven hypothesis in a cross-country setting and confirming that the opportunity cost mechanism is a universal property of the asset rather than a peculiarity of U.S. Treasury markets.</w:t>
      </w:r>
    </w:p>
    <w:p>
      <w:pPr>
        <w:pStyle w:val="Heading3"/>
      </w:pPr>
      <w:r>
        <w:t>Machine learning: results and SHAP analysis</w:t>
      </w:r>
    </w:p>
    <w:p>
      <w:pPr/>
      <w:r>
        <w:rPr>
          <w:rFonts w:ascii="Times New Roman" w:hAnsi="Times New Roman" w:cs="Times New Roman"/>
          <w:rFonts w:ascii="Times New Roman" w:hAnsi="Times New Roman"/>
          <w:b w:val="0"/>
          <w:i w:val="0"/>
          <w:sz w:val="24"/>
        </w:rPr>
        <w:t>Three machine learning architectures are estimated and evaluated with a walk-forward expanding window protocol: XGBoost (gradient boosting over decision trees), Random Forest (bagging), and LSTM (Long Short-Term Memory recurrent neural network). The feature matrix includes 35 variables -- lagged values of all macroeconomic and financial series, gold momentum indicators, and a binary crisis regime dummy -- with 271 effective observations after removing NaNs from lagged features. The LSTM achieves the best performance: RMSE of 3.815 percentage points versus 5.054 for the naive random walk benchmark (-24.5%), and directional accuracy (DA) of 61.5% versus 55.9% for the naive benchmark (+5.6 percentage points). Random Forest outperforms XGBoost in all metrics -- a common result for financial time series with fewer than 500 observations where bagging's variance reduction dominates boosting's sequential correction.</w:t>
      </w:r>
    </w:p>
    <w:p>
      <w:pPr/>
      <w:r>
        <w:rPr>
          <w:rFonts w:ascii="Times New Roman" w:hAnsi="Times New Roman" w:cs="Times New Roman"/>
          <w:rFonts w:ascii="Times New Roman" w:hAnsi="Times New Roman"/>
          <w:b w:val="0"/>
          <w:i w:val="0"/>
          <w:sz w:val="24"/>
        </w:rPr>
        <w:t>SHAP value analysis of the XGBoost model reveals that the CPI one-month lag is the most important predictor at the monthly horizon (mean absolute SHAP |phi| = 0.954), followed by TIPS with a two-month lag (|phi| = 0.617), one-month gold momentum (|phi| = 0.526), and the 10-year breakeven with a three-month lag (|phi| = 0.485). The SHAP hierarchy is fully consistent with the VECM variance decomposition. When two approaches with entirely different assumptions produce the same hierarchy of variable importance, the evidence for genuine economic causality is considerably strengthened relative to model-specific artefacts. SHAP waterfall analysis of three representative episodes confirms that the relative weight of each variable shifts across market regimes: in crisis episodes the VIX and momentum amplify the signal; in exceptional rate environments TIPS dominate.</w:t>
      </w:r>
    </w:p>
    <w:p>
      <w:pPr>
        <w:pStyle w:val="Heading3"/>
      </w:pPr>
      <w:r>
        <w:t>Conclusions and contributions</w:t>
      </w:r>
    </w:p>
    <w:p>
      <w:pPr/>
      <w:r>
        <w:rPr>
          <w:rFonts w:ascii="Times New Roman" w:hAnsi="Times New Roman" w:cs="Times New Roman"/>
          <w:rFonts w:ascii="Times New Roman" w:hAnsi="Times New Roman"/>
          <w:b w:val="0"/>
          <w:i w:val="0"/>
          <w:sz w:val="24"/>
        </w:rPr>
        <w:t>Four main conclusions emerge. First, real interest rates are the dominant structural determinant of gold prices in the long run -- a finding that holds across the time series, panel, and machine learning frameworks simultaneously. Second, inflation is the most potent short-run predictor at the monthly horizon, operating through a different mechanism than the long-run real yield level that anchors the cointegrating vector. Third, the structural relationships between gold and its determinants are not constant: formal tests document statistically significant instability at all five episode breakpoints. Fourth, the 2022-2024 paradox -- gold reaching historical highs while real yields also reached multi-decade highs -- is explained by structural demand from emerging market central banks motivated by geopolitical de-dollarisation incentives, a channel inelastic to advanced-economy real rates whose existence is detected by the structural stability tests even if it cannot be fully modelled with available data.</w:t>
      </w:r>
    </w:p>
    <w:p>
      <w:pPr/>
      <w:r>
        <w:rPr>
          <w:rFonts w:ascii="Times New Roman" w:hAnsi="Times New Roman" w:cs="Times New Roman"/>
          <w:rFonts w:ascii="Times New Roman" w:hAnsi="Times New Roman"/>
          <w:b w:val="0"/>
          <w:i w:val="0"/>
          <w:sz w:val="24"/>
        </w:rPr>
        <w:t>The thesis makes four original contributions: (i) cross-country validation of the classical opportunity cost and safe haven mechanisms with data updated through 2025; (ii) formal quantification of structural instability at economically motivated breakpoints; (iii) cross-methodological validation between VECM variance decomposition and SHAP importance rankings; and (iv) an integrated analysis of the 2022-2024 episode connecting the econometric detection of structural break with the economic explanation of de-dollarisation. Limitations include the small panel cross-section (N = 4), the limited ML sample size (271 observations), and the absence of high-frequency central bank reserve data. Natural extensions include expanding the panel to emerging economies, explicitly modelling central bank demand, and estimating Markov Switching VAR models to formally characterise the regime changes identified descriptively in this thesis.</w:t>
      </w:r>
    </w:p>
    <w:p>
      <w:pPr/>
      <w:r>
        <w:rPr>
          <w:rFonts w:ascii="Times New Roman" w:hAnsi="Times New Roman" w:cs="Times New Roman"/>
          <w:rFonts w:ascii="Times New Roman" w:hAnsi="Times New Roman"/>
          <w:b w:val="0"/>
          <w:i w:val="0"/>
          <w:sz w:val="24"/>
        </w:rPr>
        <w:t>Keywords: gold, VECM, cointegration, panel data, machine learning, SHAP, de-dollarisation.</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rFonts w:ascii="Times New Roman" w:hAnsi="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jc w:val="left"/>
      <w:outlineLvl w:val="0"/>
    </w:pPr>
    <w:rPr>
      <w:rFonts w:asciiTheme="majorHAnsi" w:eastAsiaTheme="majorEastAsia" w:hAnsiTheme="majorHAnsi" w:cstheme="majorBidi" w:ascii="Times New Roman" w:hAnsi="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b w:val="0"/>
      <w:bCs/>
      <w:i/>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