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before="0" w:after="720"/>
        <w:jc w:val="center"/>
      </w:pPr>
      <w:r>
        <w:rPr>
          <w:rFonts w:ascii="Arial" w:hAnsi="Arial"/>
          <w:b/>
          <w:sz w:val="26"/>
        </w:rPr>
        <w:t>MEMORIA DEL TRABAJO FIN DE GRADO</w:t>
      </w:r>
    </w:p>
    <w:p>
      <w:pPr>
        <w:spacing w:before="0" w:after="120"/>
        <w:jc w:val="center"/>
      </w:pPr>
      <w:r>
        <w:rPr>
          <w:rFonts w:ascii="Arial" w:hAnsi="Arial"/>
          <w:b/>
          <w:sz w:val="32"/>
        </w:rPr>
        <w:t>Dinamica del precio del oro (2000-2025):</w:t>
      </w:r>
    </w:p>
    <w:p>
      <w:pPr>
        <w:spacing w:before="0" w:after="960"/>
        <w:jc w:val="center"/>
      </w:pPr>
      <w:r>
        <w:rPr>
          <w:rFonts w:ascii="Arial" w:hAnsi="Arial"/>
          <w:b/>
          <w:sz w:val="30"/>
        </w:rPr>
        <w:t>un analisis econometrico y de machine learning</w:t>
      </w:r>
    </w:p>
    <w:p>
      <w:pPr>
        <w:spacing w:before="0" w:after="160"/>
        <w:jc w:val="center"/>
      </w:pPr>
      <w:r>
        <w:rPr>
          <w:rFonts w:ascii="Arial" w:hAnsi="Arial"/>
          <w:b w:val="0"/>
          <w:sz w:val="24"/>
        </w:rPr>
        <w:t>Jose Leon Belando</w:t>
      </w:r>
    </w:p>
    <w:p>
      <w:pPr>
        <w:spacing w:before="0" w:after="160"/>
        <w:jc w:val="center"/>
      </w:pPr>
      <w:r>
        <w:rPr>
          <w:rFonts w:ascii="Arial" w:hAnsi="Arial"/>
          <w:b w:val="0"/>
          <w:sz w:val="24"/>
        </w:rPr>
        <w:t>Grado en Economia</w:t>
      </w:r>
    </w:p>
    <w:p>
      <w:pPr>
        <w:spacing w:before="0" w:after="160"/>
        <w:jc w:val="center"/>
      </w:pPr>
      <w:r>
        <w:rPr>
          <w:rFonts w:ascii="Arial" w:hAnsi="Arial"/>
          <w:b w:val="0"/>
          <w:sz w:val="24"/>
        </w:rPr>
        <w:t>Curso academico 2025-2026</w:t>
      </w:r>
    </w:p>
    <w:p>
      <w:pPr>
        <w:spacing w:before="0" w:after="160"/>
        <w:jc w:val="center"/>
      </w:pPr>
      <w:r>
        <w:rPr>
          <w:rFonts w:ascii="Arial" w:hAnsi="Arial"/>
          <w:b w:val="0"/>
          <w:sz w:val="24"/>
        </w:rPr>
        <w:t>Directora: Inmaculada Diaz Sanchez</w:t>
      </w:r>
    </w:p>
    <w:p>
      <w:pPr>
        <w:spacing w:before="0" w:after="0"/>
        <w:jc w:val="center"/>
      </w:pPr>
      <w:r>
        <w:rPr>
          <w:rFonts w:ascii="Arial" w:hAnsi="Arial"/>
          <w:b w:val="0"/>
          <w:sz w:val="24"/>
        </w:rPr>
        <w:t>Universidad de Murcia</w:t>
      </w:r>
    </w:p>
    <w:p>
      <w:r>
        <w:br w:type="page"/>
      </w:r>
    </w:p>
    <w:p>
      <w:r>
        <w:br w:type="page"/>
      </w:r>
    </w:p>
    <w:p>
      <w:pPr>
        <w:pStyle w:val="Heading1"/>
      </w:pPr>
      <w:r>
        <w:t>INDICE</w:t>
      </w:r>
    </w:p>
    <w:p>
      <w:pPr/>
      <w:r>
        <w:rPr>
          <w:rFonts w:ascii="Times New Roman" w:hAnsi="Times New Roman" w:cs="Times New Roman"/>
          <w:rFonts w:ascii="Times New Roman" w:hAnsi="Times New Roman"/>
          <w:b w:val="0"/>
          <w:i w:val="0"/>
          <w:sz w:val="24"/>
        </w:rPr>
        <w:fldChar w:fldCharType="begin"/>
      </w:r>
      <w:r>
        <w:rPr>
          <w:rFonts w:ascii="Times New Roman" w:hAnsi="Times New Roman" w:cs="Times New Roman"/>
          <w:rFonts w:ascii="Times New Roman" w:hAnsi="Times New Roman"/>
          <w:b w:val="0"/>
          <w:i w:val="0"/>
          <w:sz w:val="24"/>
        </w:rPr>
        <w:instrText xml:space="preserve"> TOC \o "1-3" \h \z \u </w:instrText>
      </w:r>
      <w:r>
        <w:rPr>
          <w:rFonts w:ascii="Times New Roman" w:hAnsi="Times New Roman" w:cs="Times New Roman"/>
          <w:rFonts w:ascii="Times New Roman" w:hAnsi="Times New Roman"/>
          <w:b w:val="0"/>
          <w:i w:val="0"/>
          <w:sz w:val="24"/>
        </w:rPr>
        <w:fldChar w:fldCharType="separate"/>
      </w:r>
      <w:r>
        <w:rPr>
          <w:rFonts w:ascii="Times New Roman" w:hAnsi="Times New Roman" w:cs="Times New Roman"/>
          <w:rFonts w:ascii="Times New Roman" w:hAnsi="Times New Roman"/>
          <w:b w:val="0"/>
          <w:i/>
          <w:sz w:val="24"/>
        </w:rPr>
        <w:t>[Haz clic aqui y pulsa F9 para generar el indice]</w:t>
      </w:r>
      <w:r>
        <w:rPr>
          <w:rFonts w:ascii="Times New Roman" w:hAnsi="Times New Roman" w:cs="Times New Roman"/>
          <w:rFonts w:ascii="Times New Roman" w:hAnsi="Times New Roman"/>
          <w:b w:val="0"/>
          <w:i w:val="0"/>
          <w:sz w:val="24"/>
        </w:rPr>
        <w:fldChar w:fldCharType="end"/>
      </w:r>
    </w:p>
    <w:p/>
    <w:p>
      <w:r>
        <w:br w:type="page"/>
      </w:r>
    </w:p>
    <w:p>
      <w:pPr>
        <w:pStyle w:val="Heading1"/>
      </w:pPr>
      <w:r>
        <w:t>RESUMEN</w:t>
      </w:r>
    </w:p>
    <w:p>
      <w:pPr/>
      <w:r>
        <w:rPr>
          <w:rFonts w:ascii="Times New Roman" w:hAnsi="Times New Roman" w:cs="Times New Roman"/>
          <w:rFonts w:ascii="Times New Roman" w:hAnsi="Times New Roman"/>
          <w:b w:val="0"/>
          <w:i w:val="0"/>
          <w:sz w:val="24"/>
        </w:rPr>
        <w:t>Este Trabajo de Fin de Grado analiza la dinamica del precio del oro durante el periodo 2000-2025 mediante un enfoque metodologico integrado que combina econometria de series temporales, analisis de datos de panel y modelos de machine learning.</w:t>
      </w:r>
    </w:p>
    <w:p>
      <w:pPr/>
      <w:r>
        <w:rPr>
          <w:rFonts w:ascii="Times New Roman" w:hAnsi="Times New Roman" w:cs="Times New Roman"/>
          <w:rFonts w:ascii="Times New Roman" w:hAnsi="Times New Roman"/>
          <w:b w:val="0"/>
          <w:i w:val="0"/>
          <w:sz w:val="24"/>
        </w:rPr>
        <w:t>El trabajo se estructura en torno a tres preguntas de investigacion: (i) que variables macroeconomicas y financieras determinan el precio del oro y cual es su importancia relativa en distintos horizontes; (ii) si esas relaciones han sido estables o han cambiado tras los episodios de crisis; y (iii) si el machine learning puede mejorar la prediccion respecto a los modelos econometricos clasicos.</w:t>
      </w:r>
    </w:p>
    <w:p>
      <w:pPr/>
      <w:r>
        <w:rPr>
          <w:rFonts w:ascii="Times New Roman" w:hAnsi="Times New Roman" w:cs="Times New Roman"/>
          <w:rFonts w:ascii="Times New Roman" w:hAnsi="Times New Roman"/>
          <w:b w:val="0"/>
          <w:i w:val="0"/>
          <w:sz w:val="24"/>
        </w:rPr>
        <w:t>La metodologia descansa en tres pilares: (1) un modelo de correccion de errores vectorial (VECM) con GJR-GARCH y tests de estabilidad estructural (Chow, CUSUM); (2) un modelo de datos de panel con efectos fijos aplicado a cuatro economias avanzadas con errores de Driscoll-Kraay; y (3) modelos de machine learning (XGBoost, Random Forest y LSTM) evaluados con validacion walk-forward y analisis SHAP de interpretabilidad.</w:t>
      </w:r>
    </w:p>
    <w:p>
      <w:pPr/>
      <w:r>
        <w:rPr>
          <w:rFonts w:ascii="Times New Roman" w:hAnsi="Times New Roman" w:cs="Times New Roman"/>
          <w:rFonts w:ascii="Times New Roman" w:hAnsi="Times New Roman"/>
          <w:b w:val="0"/>
          <w:i w:val="0"/>
          <w:sz w:val="24"/>
        </w:rPr>
        <w:t>Los resultados principales son: los tipos de interes reales son el determinante estructural dominante (SHAP |phi| = 0,617; coeficiente VECM -0,68; significativo en las cuatro economias del panel); la inflacion pasada reciente es el predictor mas potente a corto plazo (SHAP |phi| = 0,954); el test de Hausman confirma efectos fijos; y la LSTM alcanza una precision direccional del 61,5%, superando al benchmark naive en 5,6 puntos porcentuales. La paradoja de 2022-2024 se explica por la demanda estructural de bancos centrales emergentes en el proceso de de-dolarizacion.</w:t>
      </w:r>
    </w:p>
    <w:p>
      <w:pPr/>
      <w:r>
        <w:rPr>
          <w:rFonts w:ascii="Times New Roman" w:hAnsi="Times New Roman" w:cs="Times New Roman"/>
          <w:rFonts w:ascii="Times New Roman" w:hAnsi="Times New Roman"/>
          <w:b w:val="0"/>
          <w:i w:val="0"/>
          <w:sz w:val="24"/>
        </w:rPr>
        <w:t>Palabras clave: oro, VECM, cointegracion, datos de panel, machine learning, SHAP, de-dolarizacion.</w:t>
      </w:r>
    </w:p>
    <w:p>
      <w:r>
        <w:br w:type="page"/>
      </w:r>
    </w:p>
    <w:p>
      <w:pPr>
        <w:pStyle w:val="Heading1"/>
      </w:pPr>
      <w:r>
        <w:t>Capitulo 1: Introduccion y motivacion</w:t>
      </w:r>
    </w:p>
    <w:p>
      <w:pPr>
        <w:pStyle w:val="Heading2"/>
      </w:pPr>
      <w:r>
        <w:t>1.1 El oro en el siglo XXI</w:t>
      </w:r>
    </w:p>
    <w:p>
      <w:pPr/>
      <w:r>
        <w:rPr>
          <w:rFonts w:ascii="Times New Roman" w:hAnsi="Times New Roman" w:cs="Times New Roman"/>
          <w:rFonts w:ascii="Times New Roman" w:hAnsi="Times New Roman"/>
          <w:b w:val="0"/>
          <w:i w:val="0"/>
          <w:sz w:val="24"/>
        </w:rPr>
        <w:t>El 15 de agosto de 1971, el presidente Nixon anuncio la suspension de la convertibilidad del dolar en oro, poniendo fin al sistema de Bretton Woods. Ese dia, la onza troy se cotizaba a 35 dolares. En 2025, el precio supero los 4.500 dolares — mas de ciento treinta veces el nivel de 1971 en terminos nominales — estableciendo 53 nuevos maximos historicos a lo largo del anno. Este activo singular, que no genera flujos de caja ni paga dividendos, concentra algunos de los episodios macroeconomicos mas extraordinarios de la historia reciente y su comportamiento desafia las categorias convencionales de la teoria financiera.</w:t>
      </w:r>
    </w:p>
    <w:p>
      <w:pPr/>
      <w:r>
        <w:rPr>
          <w:rFonts w:ascii="Times New Roman" w:hAnsi="Times New Roman" w:cs="Times New Roman"/>
          <w:rFonts w:ascii="Times New Roman" w:hAnsi="Times New Roman"/>
          <w:b w:val="0"/>
          <w:i w:val="0"/>
          <w:sz w:val="24"/>
        </w:rPr>
        <w:t>El periodo 2000-2025 engloba cinco episodios de mercado excepcionales: la Crisis Financiera Global de 2008, los maximos historicos post-QE de 2011, la pandemia de COVID-19 en 2020, el ciclo de subidas de tipos mas agresivo en cuatro decadas (2022-2024), y la espectacular subida de 2025 impulsada por la guerra arancelaria de la administracion Trump y la aceleracion del proceso de de-dolarizacion global. En cada episodio, el oro se comporto de forma diferente, lo que lo convierte en un laboratorio ideal para aplicar herramientas econometricas y de machine learning.</w:t>
      </w:r>
    </w:p>
    <w:p>
      <w:pPr>
        <w:pStyle w:val="Heading2"/>
      </w:pPr>
      <w:r>
        <w:t>1.2 Motivacion academica y practica</w:t>
      </w:r>
    </w:p>
    <w:p>
      <w:pPr/>
      <w:r>
        <w:rPr>
          <w:rFonts w:ascii="Times New Roman" w:hAnsi="Times New Roman" w:cs="Times New Roman"/>
          <w:rFonts w:ascii="Times New Roman" w:hAnsi="Times New Roman"/>
          <w:b w:val="0"/>
          <w:i w:val="0"/>
          <w:sz w:val="24"/>
        </w:rPr>
        <w:t xml:space="preserve">La motivacion es doble. Academicamente, la literatura ha experimentado una expansion significativa desde 2008. Baur y Lucey (2010) y Baur y McDermott (2010) establecieron las definiciones formales de </w:t>
      </w:r>
      <w:r>
        <w:rPr>
          <w:rFonts w:ascii="Times New Roman" w:hAnsi="Times New Roman" w:cs="Times New Roman"/>
          <w:rFonts w:ascii="Times New Roman" w:hAnsi="Times New Roman"/>
          <w:b w:val="0"/>
          <w:i/>
          <w:sz w:val="24"/>
        </w:rPr>
        <w:t>hedge</w:t>
      </w:r>
      <w:r>
        <w:rPr>
          <w:rFonts w:ascii="Times New Roman" w:hAnsi="Times New Roman" w:cs="Times New Roman"/>
          <w:rFonts w:ascii="Times New Roman" w:hAnsi="Times New Roman"/>
          <w:b w:val="0"/>
          <w:i w:val="0"/>
          <w:sz w:val="24"/>
        </w:rPr>
        <w:t xml:space="preserve"> y </w:t>
      </w:r>
      <w:r>
        <w:rPr>
          <w:rFonts w:ascii="Times New Roman" w:hAnsi="Times New Roman" w:cs="Times New Roman"/>
          <w:rFonts w:ascii="Times New Roman" w:hAnsi="Times New Roman"/>
          <w:b w:val="0"/>
          <w:i/>
          <w:sz w:val="24"/>
        </w:rPr>
        <w:t>safe haven</w:t>
      </w:r>
      <w:r>
        <w:rPr>
          <w:rFonts w:ascii="Times New Roman" w:hAnsi="Times New Roman" w:cs="Times New Roman"/>
          <w:rFonts w:ascii="Times New Roman" w:hAnsi="Times New Roman"/>
          <w:b w:val="0"/>
          <w:i w:val="0"/>
          <w:sz w:val="24"/>
        </w:rPr>
        <w:t>. Erb y Harvey (2013) cuestionaron empiricamente la idea de que el oro sea un buen protector contra la inflacion a horizontes practicos. O'Connor, Lucey, Batten y Baur (2015) sistematizaron toda la economia financiera del oro. Sin embargo, la aplicacion sistematica de machine learning interpretable — en particular SHAP values — para identificar que variables dominan en distintos regimenes es todavia un area incipiente. Practicamente, los bancos centrales han comprado oro a un ritmo sin precedentes desde 2022 (mas de 1.000 toneladas netas anuales segun el World Gold Council, 2023, 2024), con implicaciones de largo alcance para el sistema financiero internacional.</w:t>
      </w:r>
    </w:p>
    <w:p>
      <w:pPr>
        <w:pStyle w:val="Heading2"/>
      </w:pPr>
      <w:r>
        <w:t>1.3 Preguntas de investigacion</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Pregunta 1:</w:t>
      </w:r>
      <w:r>
        <w:rPr>
          <w:rFonts w:ascii="Times New Roman" w:hAnsi="Times New Roman" w:cs="Times New Roman"/>
          <w:rFonts w:ascii="Times New Roman" w:hAnsi="Times New Roman"/>
          <w:b w:val="0"/>
          <w:i w:val="0"/>
          <w:sz w:val="24"/>
        </w:rPr>
        <w:t xml:space="preserve"> ?Que variables macroeconomicas y financieras determinan el precio del oro en el periodo 2000-2025, y cual es su importancia relativa en el largo y el corto plazo?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Pregunta 2:</w:t>
      </w:r>
      <w:r>
        <w:rPr>
          <w:rFonts w:ascii="Times New Roman" w:hAnsi="Times New Roman" w:cs="Times New Roman"/>
          <w:rFonts w:ascii="Times New Roman" w:hAnsi="Times New Roman"/>
          <w:b w:val="0"/>
          <w:i w:val="0"/>
          <w:sz w:val="24"/>
        </w:rPr>
        <w:t xml:space="preserve"> ?Han cambiado los determinantes del oro tras los grandes episodios de crisis? ?Puede identificarse un cambio estructural formal en las relaciones econometricas en torno a episodios como la GFC, el COVID-19 o el ciclo de subidas de tipos de 2022?</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Pregunta 3:</w:t>
      </w:r>
      <w:r>
        <w:rPr>
          <w:rFonts w:ascii="Times New Roman" w:hAnsi="Times New Roman" w:cs="Times New Roman"/>
          <w:rFonts w:ascii="Times New Roman" w:hAnsi="Times New Roman"/>
          <w:b w:val="0"/>
          <w:i w:val="0"/>
          <w:sz w:val="24"/>
        </w:rPr>
        <w:t xml:space="preserve"> ?Puede el machine learning mejorar la prediccion del precio del oro respecto a los modelos econometricos clasicos, y que informacion aporta sobre el peso relativo de cada variable en distintos regimenes de mercado?</w:t>
      </w:r>
    </w:p>
    <w:p>
      <w:pPr>
        <w:pStyle w:val="Heading2"/>
      </w:pPr>
      <w:r>
        <w:t>1.4 Contribucion del trabajo y estructura</w:t>
      </w:r>
    </w:p>
    <w:p>
      <w:pPr/>
      <w:r>
        <w:rPr>
          <w:rFonts w:ascii="Times New Roman" w:hAnsi="Times New Roman" w:cs="Times New Roman"/>
          <w:rFonts w:ascii="Times New Roman" w:hAnsi="Times New Roman"/>
          <w:b w:val="0"/>
          <w:i w:val="0"/>
          <w:sz w:val="24"/>
        </w:rPr>
        <w:t>Este trabajo realiza cuatro contribuciones originales: (i) estructura el analisis en tres pilares metodologicos complementarios — VAR/VECM, panel cross-country con efectos fijos/aleatorios y contraste de Hausman, y modelos de machine learning con SHAP; (ii) incorpora el analisis de ruptura estructural mediante tests de Chow y CUSUM; (iii) aplica SHAP values para hacer interpretable la prediccion del ML; y (iv) aporta evidencia comparativa internacional sobre si el rol del oro como refugio es un fenomeno universal o especifico de EE.UU. El trabajo se organiza en nueve capitulos: marco teorico (Cap. 2), catalizadores (Cap. 3), datos y EDA (Cap. 4), VECM/GARCH (Cap. 5), panel (Cap. 6), ML (Cap. 7), discusion integrada (Cap. 8) y conclusiones (Cap. 9).</w:t>
      </w:r>
    </w:p>
    <w:p>
      <w:r>
        <w:br w:type="page"/>
      </w:r>
    </w:p>
    <w:p>
      <w:pPr>
        <w:pStyle w:val="Heading1"/>
      </w:pPr>
      <w:r>
        <w:t>Capitulo 2: Marco teorico</w:t>
      </w:r>
    </w:p>
    <w:p>
      <w:pPr>
        <w:pStyle w:val="Heading2"/>
      </w:pPr>
      <w:r>
        <w:t>2.1 El oro como activo financiero singular</w:t>
      </w:r>
    </w:p>
    <w:p>
      <w:pPr/>
      <w:r>
        <w:rPr>
          <w:rFonts w:ascii="Times New Roman" w:hAnsi="Times New Roman" w:cs="Times New Roman"/>
          <w:rFonts w:ascii="Times New Roman" w:hAnsi="Times New Roman"/>
          <w:b w:val="0"/>
          <w:i w:val="0"/>
          <w:sz w:val="24"/>
        </w:rPr>
        <w:t>El oro ocupa una posicion unica en la taxonomia de los activos financieros. No genera flujos de caja, no paga dividendos ni cupones y no tiene valor de uso mayoritario en sentido productivo. Y sin embargo, millones de inversores, bancos centrales y gobiernos lo acumulan como reserva de valor. La demanda de oro se articula en cuatro segmentos: joyeria (el mayor, con China e India como protagonistas), inversion (ETFs, lingotes, monedas — el mas sensible a variables financieras), bancos centrales (factor dominante desde 2022), e industrial y tecnologica (estable e insensible al precio a corto plazo).</w:t>
      </w:r>
    </w:p>
    <w:p>
      <w:pPr>
        <w:pStyle w:val="Heading2"/>
      </w:pPr>
      <w:r>
        <w:t>2.2 Hedge, safe haven y activo especulativo</w:t>
      </w:r>
    </w:p>
    <w:p>
      <w:pPr/>
      <w:r>
        <w:rPr>
          <w:rFonts w:ascii="Times New Roman" w:hAnsi="Times New Roman" w:cs="Times New Roman"/>
          <w:rFonts w:ascii="Times New Roman" w:hAnsi="Times New Roman"/>
          <w:b w:val="0"/>
          <w:i w:val="0"/>
          <w:sz w:val="24"/>
        </w:rPr>
        <w:t xml:space="preserve">La distincion conceptual central es la que establecieron Baur y Lucey (2010) entre </w:t>
      </w:r>
      <w:r>
        <w:rPr>
          <w:rFonts w:ascii="Times New Roman" w:hAnsi="Times New Roman" w:cs="Times New Roman"/>
          <w:rFonts w:ascii="Times New Roman" w:hAnsi="Times New Roman"/>
          <w:b w:val="0"/>
          <w:i/>
          <w:sz w:val="24"/>
        </w:rPr>
        <w:t>hedge</w:t>
      </w:r>
      <w:r>
        <w:rPr>
          <w:rFonts w:ascii="Times New Roman" w:hAnsi="Times New Roman" w:cs="Times New Roman"/>
          <w:rFonts w:ascii="Times New Roman" w:hAnsi="Times New Roman"/>
          <w:b w:val="0"/>
          <w:i w:val="0"/>
          <w:sz w:val="24"/>
        </w:rPr>
        <w:t xml:space="preserve"> y </w:t>
      </w:r>
      <w:r>
        <w:rPr>
          <w:rFonts w:ascii="Times New Roman" w:hAnsi="Times New Roman" w:cs="Times New Roman"/>
          <w:rFonts w:ascii="Times New Roman" w:hAnsi="Times New Roman"/>
          <w:b w:val="0"/>
          <w:i/>
          <w:sz w:val="24"/>
        </w:rPr>
        <w:t>safe haven</w:t>
      </w:r>
      <w:r>
        <w:rPr>
          <w:rFonts w:ascii="Times New Roman" w:hAnsi="Times New Roman" w:cs="Times New Roman"/>
          <w:rFonts w:ascii="Times New Roman" w:hAnsi="Times New Roman"/>
          <w:b w:val="0"/>
          <w:i w:val="0"/>
          <w:sz w:val="24"/>
        </w:rPr>
        <w:t xml:space="preserve">. Un activo es un </w:t>
      </w:r>
      <w:r>
        <w:rPr>
          <w:rFonts w:ascii="Times New Roman" w:hAnsi="Times New Roman" w:cs="Times New Roman"/>
          <w:rFonts w:ascii="Times New Roman" w:hAnsi="Times New Roman"/>
          <w:b/>
          <w:i w:val="0"/>
          <w:sz w:val="24"/>
        </w:rPr>
        <w:t>hedge</w:t>
      </w:r>
      <w:r>
        <w:rPr>
          <w:rFonts w:ascii="Times New Roman" w:hAnsi="Times New Roman" w:cs="Times New Roman"/>
          <w:rFonts w:ascii="Times New Roman" w:hAnsi="Times New Roman"/>
          <w:b w:val="0"/>
          <w:i w:val="0"/>
          <w:sz w:val="24"/>
        </w:rPr>
        <w:t xml:space="preserve"> si su correlacion con otro activo es, en promedio, negativa o nula a lo largo del tiempo. Es un </w:t>
      </w:r>
      <w:r>
        <w:rPr>
          <w:rFonts w:ascii="Times New Roman" w:hAnsi="Times New Roman" w:cs="Times New Roman"/>
          <w:rFonts w:ascii="Times New Roman" w:hAnsi="Times New Roman"/>
          <w:b/>
          <w:i w:val="0"/>
          <w:sz w:val="24"/>
        </w:rPr>
        <w:t>safe haven</w:t>
      </w:r>
      <w:r>
        <w:rPr>
          <w:rFonts w:ascii="Times New Roman" w:hAnsi="Times New Roman" w:cs="Times New Roman"/>
          <w:rFonts w:ascii="Times New Roman" w:hAnsi="Times New Roman"/>
          <w:b w:val="0"/>
          <w:i w:val="0"/>
          <w:sz w:val="24"/>
        </w:rPr>
        <w:t xml:space="preserve"> si esa correlacion es negativa condicionalmente a que los mercados esten en panico. Baur y McDermott (2010) documentaron que el oro fue un safe haven durante la GFC para los mercados de EE.UU. y Europa, pero no para los mercados BRIC. Esta asimetria geografica es uno de los resultados que este trabajo pone a prueba con datos actualizados hasta 2025.</w:t>
      </w:r>
    </w:p>
    <w:p>
      <w:pPr/>
      <w:r>
        <w:rPr>
          <w:rFonts w:ascii="Times New Roman" w:hAnsi="Times New Roman" w:cs="Times New Roman"/>
          <w:rFonts w:ascii="Times New Roman" w:hAnsi="Times New Roman"/>
          <w:b w:val="0"/>
          <w:i w:val="0"/>
          <w:sz w:val="24"/>
        </w:rPr>
        <w:t xml:space="preserve">Erb y Harvey (2013) cuestionaron la idea de que el oro sea un buen </w:t>
      </w:r>
      <w:r>
        <w:rPr>
          <w:rFonts w:ascii="Times New Roman" w:hAnsi="Times New Roman" w:cs="Times New Roman"/>
          <w:rFonts w:ascii="Times New Roman" w:hAnsi="Times New Roman"/>
          <w:b/>
          <w:i w:val="0"/>
          <w:sz w:val="24"/>
        </w:rPr>
        <w:t>hedge contra la inflacion</w:t>
      </w:r>
      <w:r>
        <w:rPr>
          <w:rFonts w:ascii="Times New Roman" w:hAnsi="Times New Roman" w:cs="Times New Roman"/>
          <w:rFonts w:ascii="Times New Roman" w:hAnsi="Times New Roman"/>
          <w:b w:val="0"/>
          <w:i w:val="0"/>
          <w:sz w:val="24"/>
        </w:rPr>
        <w:t xml:space="preserve"> a horizontes practicos. La correlacion entre el precio real del oro y la inflacion acumulada es alta unicamente a horizontes de decadas; a horizontes de 1-10 anos, la correlacion es baja e inestable.</w:t>
      </w:r>
    </w:p>
    <w:p>
      <w:pPr>
        <w:pStyle w:val="Heading2"/>
      </w:pPr>
      <w:r>
        <w:t>2.3 Literatura empirica sobre determinantes del precio del oro</w:t>
      </w:r>
    </w:p>
    <w:p>
      <w:pPr/>
      <w:r>
        <w:rPr>
          <w:rFonts w:ascii="Times New Roman" w:hAnsi="Times New Roman" w:cs="Times New Roman"/>
          <w:rFonts w:ascii="Times New Roman" w:hAnsi="Times New Roman"/>
          <w:b w:val="0"/>
          <w:i w:val="0"/>
          <w:sz w:val="24"/>
        </w:rPr>
        <w:t xml:space="preserve">La literatura empirica puede organizarse en tres generaciones. La </w:t>
      </w:r>
      <w:r>
        <w:rPr>
          <w:rFonts w:ascii="Times New Roman" w:hAnsi="Times New Roman" w:cs="Times New Roman"/>
          <w:rFonts w:ascii="Times New Roman" w:hAnsi="Times New Roman"/>
          <w:b/>
          <w:i w:val="0"/>
          <w:sz w:val="24"/>
        </w:rPr>
        <w:t>primera</w:t>
      </w:r>
      <w:r>
        <w:rPr>
          <w:rFonts w:ascii="Times New Roman" w:hAnsi="Times New Roman" w:cs="Times New Roman"/>
          <w:rFonts w:ascii="Times New Roman" w:hAnsi="Times New Roman"/>
          <w:b w:val="0"/>
          <w:i w:val="0"/>
          <w:sz w:val="24"/>
        </w:rPr>
        <w:t xml:space="preserve"> (1980-2000) utilizaba modelos de regresion estaticos para establecer correlaciones. La </w:t>
      </w:r>
      <w:r>
        <w:rPr>
          <w:rFonts w:ascii="Times New Roman" w:hAnsi="Times New Roman" w:cs="Times New Roman"/>
          <w:rFonts w:ascii="Times New Roman" w:hAnsi="Times New Roman"/>
          <w:b/>
          <w:i w:val="0"/>
          <w:sz w:val="24"/>
        </w:rPr>
        <w:t>segunda</w:t>
      </w:r>
      <w:r>
        <w:rPr>
          <w:rFonts w:ascii="Times New Roman" w:hAnsi="Times New Roman" w:cs="Times New Roman"/>
          <w:rFonts w:ascii="Times New Roman" w:hAnsi="Times New Roman"/>
          <w:b w:val="0"/>
          <w:i w:val="0"/>
          <w:sz w:val="24"/>
        </w:rPr>
        <w:t xml:space="preserve"> (2000-2015), impulsada por la GFC, incorporo cointegración, VECM y GARCH. El Chicago Fed Letter (2021) es uno de los estudios mas completos, documentando la primacia de los tipos reales sobre el dolar y la inflacion. La </w:t>
      </w:r>
      <w:r>
        <w:rPr>
          <w:rFonts w:ascii="Times New Roman" w:hAnsi="Times New Roman" w:cs="Times New Roman"/>
          <w:rFonts w:ascii="Times New Roman" w:hAnsi="Times New Roman"/>
          <w:b/>
          <w:i w:val="0"/>
          <w:sz w:val="24"/>
        </w:rPr>
        <w:t>tercera</w:t>
      </w:r>
      <w:r>
        <w:rPr>
          <w:rFonts w:ascii="Times New Roman" w:hAnsi="Times New Roman" w:cs="Times New Roman"/>
          <w:rFonts w:ascii="Times New Roman" w:hAnsi="Times New Roman"/>
          <w:b w:val="0"/>
          <w:i w:val="0"/>
          <w:sz w:val="24"/>
        </w:rPr>
        <w:t xml:space="preserve"> (desde 2018) incorpora machine learning — gradient boosting, redes neuronales, SHAP — encontrando mejoras modestas pero consistentes respecto al benchmark econometrico (Liang et al., 2023; Plakandaras et al., 2022).</w:t>
      </w:r>
    </w:p>
    <w:p>
      <w:pPr>
        <w:pStyle w:val="Heading2"/>
      </w:pPr>
      <w:r>
        <w:t>2.4 Del MES al VAR: motivacion metodologica</w:t>
      </w:r>
    </w:p>
    <w:p>
      <w:pPr/>
      <w:r>
        <w:rPr>
          <w:rFonts w:ascii="Times New Roman" w:hAnsi="Times New Roman" w:cs="Times New Roman"/>
          <w:rFonts w:ascii="Times New Roman" w:hAnsi="Times New Roman"/>
          <w:b w:val="0"/>
          <w:i w:val="0"/>
          <w:sz w:val="24"/>
        </w:rPr>
        <w:t xml:space="preserve">La eleccion del VAR/VECM responde a la critica de Sims (1980) a los Modelos de Ecuaciones Simultaneas: las restricciones de identificacion son 'increibles' porque se imponen por conveniencia estadistica, no por razones economicas solidas. El VAR trata todas las variables del sistema como igualmente endogenas — la forma reducida sin restricciones arbitrarias. Para el sistema de este trabajo — donde el oro, el dolar, los tipos reales y la renta variable se afectan mutuamente — el VAR es el marco mas honesto. Cuando las variables son no estacionarias y estan cointegradas, la extension natural es el </w:t>
      </w:r>
      <w:r>
        <w:rPr>
          <w:rFonts w:ascii="Times New Roman" w:hAnsi="Times New Roman" w:cs="Times New Roman"/>
          <w:rFonts w:ascii="Times New Roman" w:hAnsi="Times New Roman"/>
          <w:b/>
          <w:i w:val="0"/>
          <w:sz w:val="24"/>
        </w:rPr>
        <w:t>VECM</w:t>
      </w:r>
      <w:r>
        <w:rPr>
          <w:rFonts w:ascii="Times New Roman" w:hAnsi="Times New Roman" w:cs="Times New Roman"/>
          <w:rFonts w:ascii="Times New Roman" w:hAnsi="Times New Roman"/>
          <w:b w:val="0"/>
          <w:i w:val="0"/>
          <w:sz w:val="24"/>
        </w:rPr>
        <w:t>, que distingue relaciones de largo plazo (cointegracion) de dinamicas de ajuste de corto plazo.</w:t>
      </w:r>
    </w:p>
    <w:p>
      <w:r>
        <w:br w:type="page"/>
      </w:r>
    </w:p>
    <w:p>
      <w:pPr>
        <w:pStyle w:val="Heading1"/>
      </w:pPr>
      <w:r>
        <w:t>Capitulo 3: Catalizadores del precio del oro</w:t>
      </w:r>
    </w:p>
    <w:p>
      <w:pPr>
        <w:pStyle w:val="Heading2"/>
      </w:pPr>
      <w:r>
        <w:t>3.1 Tipos de interes reales: el determinante dominante</w:t>
      </w:r>
    </w:p>
    <w:p>
      <w:pPr/>
      <w:r>
        <w:rPr>
          <w:rFonts w:ascii="Times New Roman" w:hAnsi="Times New Roman" w:cs="Times New Roman"/>
          <w:rFonts w:ascii="Times New Roman" w:hAnsi="Times New Roman"/>
          <w:b w:val="0"/>
          <w:i w:val="0"/>
          <w:sz w:val="24"/>
        </w:rPr>
        <w:t xml:space="preserve">Los </w:t>
      </w:r>
      <w:r>
        <w:rPr>
          <w:rFonts w:ascii="Times New Roman" w:hAnsi="Times New Roman" w:cs="Times New Roman"/>
          <w:rFonts w:ascii="Times New Roman" w:hAnsi="Times New Roman"/>
          <w:b/>
          <w:i w:val="0"/>
          <w:sz w:val="24"/>
        </w:rPr>
        <w:t>tipos de interes reales</w:t>
      </w:r>
      <w:r>
        <w:rPr>
          <w:rFonts w:ascii="Times New Roman" w:hAnsi="Times New Roman" w:cs="Times New Roman"/>
          <w:rFonts w:ascii="Times New Roman" w:hAnsi="Times New Roman"/>
          <w:b w:val="0"/>
          <w:i w:val="0"/>
          <w:sz w:val="24"/>
        </w:rPr>
        <w:t xml:space="preserve"> son el determinante macroeconomico mas robusto. El mecanismo es el </w:t>
      </w:r>
      <w:r>
        <w:rPr>
          <w:rFonts w:ascii="Times New Roman" w:hAnsi="Times New Roman" w:cs="Times New Roman"/>
          <w:rFonts w:ascii="Times New Roman" w:hAnsi="Times New Roman"/>
          <w:b/>
          <w:i w:val="0"/>
          <w:sz w:val="24"/>
        </w:rPr>
        <w:t>coste de oportunidad</w:t>
      </w:r>
      <w:r>
        <w:rPr>
          <w:rFonts w:ascii="Times New Roman" w:hAnsi="Times New Roman" w:cs="Times New Roman"/>
          <w:rFonts w:ascii="Times New Roman" w:hAnsi="Times New Roman"/>
          <w:b w:val="0"/>
          <w:i w:val="0"/>
          <w:sz w:val="24"/>
        </w:rPr>
        <w:t>: el oro no paga cupon ni dividendo; mantenerlo implica renunciar al rendimiento de un bono de igual plazo y riesgo. Cuando el tipo real sube, el coste de oportunidad aumenta y el precio tiende a bajar. La medida estandar es el rendimiento de los TIPS a 10 anos. La correlacion documentada por Erb y Harvey (2013) entre el TIPS y el precio real del oro fue de -0,82 para 1997-2012, uno de los coeficientes mas altos y estables de la literatura. La formalizacion teorica de Barsky y Summers (1988) establece que el precio de equilibrio del oro es funcion decreciente del tipo real.</w:t>
      </w:r>
    </w:p>
    <w:p>
      <w:pPr>
        <w:pStyle w:val="Heading2"/>
      </w:pPr>
      <w:r>
        <w:t>3.2 El indice del dolar (DXY)</w:t>
      </w:r>
    </w:p>
    <w:p>
      <w:pPr/>
      <w:r>
        <w:rPr>
          <w:rFonts w:ascii="Times New Roman" w:hAnsi="Times New Roman" w:cs="Times New Roman"/>
          <w:rFonts w:ascii="Times New Roman" w:hAnsi="Times New Roman"/>
          <w:b w:val="0"/>
          <w:i w:val="0"/>
          <w:sz w:val="24"/>
        </w:rPr>
        <w:t>Al cotizar globalmente en dolares, el precio del oro para un inversor en otra moneda sube automaticamente cuando el dolar se deprecia. La correlacion historica entre el DXY y el oro es fuertemente negativa (proxima a -0,6 en gran parte del periodo). Sin embargo, esta relacion mostro una ruptura notable en 2022-2024, cuando dolar y oro subieron en paralelo — el dolar impulsado por el ciclo de tipos y el oro por la demanda de bancos centrales emergentes. Este episodio es el que los tests de estabilidad del Capitulo 5 formalizan.</w:t>
      </w:r>
    </w:p>
    <w:p>
      <w:pPr>
        <w:pStyle w:val="Heading2"/>
      </w:pPr>
      <w:r>
        <w:t>3.3 Inflacion y expectativas inflacionarias</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i w:val="0"/>
          <w:sz w:val="24"/>
        </w:rPr>
        <w:t>inflacion</w:t>
      </w:r>
      <w:r>
        <w:rPr>
          <w:rFonts w:ascii="Times New Roman" w:hAnsi="Times New Roman" w:cs="Times New Roman"/>
          <w:rFonts w:ascii="Times New Roman" w:hAnsi="Times New Roman"/>
          <w:b w:val="0"/>
          <w:i w:val="0"/>
          <w:sz w:val="24"/>
        </w:rPr>
        <w:t xml:space="preserve"> actua como catalizador de la demanda de oro como cobertura. En periodos de alta inflacion esperada, los inversores aumentan su exposicion a activos reales. La medida mas directa de expectativas inflacionarias es el breakeven de inflacion a 10 anos. Como senalaron Erb y Harvey (2013), la inflacion explica bien los grandes movimientos del oro a decadas de distancia pero no los movimientos de un ano para otro.</w:t>
      </w:r>
    </w:p>
    <w:p>
      <w:pPr>
        <w:pStyle w:val="Heading2"/>
      </w:pPr>
      <w:r>
        <w:t>3.4 Volatilidad financiera global (VIX)</w:t>
      </w:r>
    </w:p>
    <w:p>
      <w:pPr/>
      <w:r>
        <w:rPr>
          <w:rFonts w:ascii="Times New Roman" w:hAnsi="Times New Roman" w:cs="Times New Roman"/>
          <w:rFonts w:ascii="Times New Roman" w:hAnsi="Times New Roman"/>
          <w:b w:val="0"/>
          <w:i w:val="0"/>
          <w:sz w:val="24"/>
        </w:rPr>
        <w:t xml:space="preserve">El </w:t>
      </w:r>
      <w:r>
        <w:rPr>
          <w:rFonts w:ascii="Times New Roman" w:hAnsi="Times New Roman" w:cs="Times New Roman"/>
          <w:rFonts w:ascii="Times New Roman" w:hAnsi="Times New Roman"/>
          <w:b/>
          <w:i w:val="0"/>
          <w:sz w:val="24"/>
        </w:rPr>
        <w:t>VIX</w:t>
      </w:r>
      <w:r>
        <w:rPr>
          <w:rFonts w:ascii="Times New Roman" w:hAnsi="Times New Roman" w:cs="Times New Roman"/>
          <w:rFonts w:ascii="Times New Roman" w:hAnsi="Times New Roman"/>
          <w:b w:val="0"/>
          <w:i w:val="0"/>
          <w:sz w:val="24"/>
        </w:rPr>
        <w:t xml:space="preserve"> activa el canal de </w:t>
      </w:r>
      <w:r>
        <w:rPr>
          <w:rFonts w:ascii="Times New Roman" w:hAnsi="Times New Roman" w:cs="Times New Roman"/>
          <w:rFonts w:ascii="Times New Roman" w:hAnsi="Times New Roman"/>
          <w:b w:val="0"/>
          <w:i/>
          <w:sz w:val="24"/>
        </w:rPr>
        <w:t>safe haven</w:t>
      </w:r>
      <w:r>
        <w:rPr>
          <w:rFonts w:ascii="Times New Roman" w:hAnsi="Times New Roman" w:cs="Times New Roman"/>
          <w:rFonts w:ascii="Times New Roman" w:hAnsi="Times New Roman"/>
          <w:b w:val="0"/>
          <w:i w:val="0"/>
          <w:sz w:val="24"/>
        </w:rPr>
        <w:t>: cuando los mercados entran en panico, los inversores se refugian en oro. La relacion es positiva: picos del VIX superiores a 30-40 corresponden historicamente al inicio de movimientos alcistas del oro. Baur y McDermott (2010) cuantificaron este efecto distinguiendo entre el rol de hedge (muestra completa) y el de safe haven (quintiles de peores retornos bursatiles).</w:t>
      </w:r>
    </w:p>
    <w:p>
      <w:pPr>
        <w:pStyle w:val="Heading2"/>
      </w:pPr>
      <w:r>
        <w:t>3.5 Endogeneidad y motivacion del VAR</w:t>
      </w:r>
    </w:p>
    <w:p>
      <w:pPr/>
      <w:r>
        <w:rPr>
          <w:rFonts w:ascii="Times New Roman" w:hAnsi="Times New Roman" w:cs="Times New Roman"/>
          <w:rFonts w:ascii="Times New Roman" w:hAnsi="Times New Roman"/>
          <w:b w:val="0"/>
          <w:i w:val="0"/>
          <w:sz w:val="24"/>
        </w:rPr>
        <w:t>Los tipos reales pueden verse influidos por las expectativas de inflacion que el propio oro senaliza; el DXY responde a flujos de capital que tambien mueven el oro; el VIX es a la vez causa y consecuencia de los movimientos del metal. Estimar por MCO la regresion de ln(Oro) sobre TIPS, DXY, S&amp;P 500 y VIX produciria estimadores sesgados. El VAR, al modelar el sistema completo sin restricciones de exogeneidad a priori, es la especificacion mas conservadora y metodologicamente honesta.</w:t>
      </w:r>
    </w:p>
    <w:p>
      <w:r>
        <w:br w:type="page"/>
      </w:r>
    </w:p>
    <w:p>
      <w:pPr>
        <w:pStyle w:val="Heading1"/>
      </w:pPr>
      <w:r>
        <w:t>Capitulo 4: Datos y analisis exploratorio</w:t>
      </w:r>
    </w:p>
    <w:p>
      <w:pPr>
        <w:pStyle w:val="Heading2"/>
      </w:pPr>
      <w:r>
        <w:t>4.1 Fuentes de datos y construccion de la muestra</w:t>
      </w:r>
    </w:p>
    <w:p>
      <w:pPr/>
      <w:r>
        <w:rPr>
          <w:rFonts w:ascii="Times New Roman" w:hAnsi="Times New Roman" w:cs="Times New Roman"/>
          <w:rFonts w:ascii="Times New Roman" w:hAnsi="Times New Roman"/>
          <w:b w:val="0"/>
          <w:i w:val="0"/>
          <w:sz w:val="24"/>
        </w:rPr>
        <w:t xml:space="preserve">El analisis cubre el periodo </w:t>
      </w:r>
      <w:r>
        <w:rPr>
          <w:rFonts w:ascii="Times New Roman" w:hAnsi="Times New Roman" w:cs="Times New Roman"/>
          <w:rFonts w:ascii="Times New Roman" w:hAnsi="Times New Roman"/>
          <w:b/>
          <w:i w:val="0"/>
          <w:sz w:val="24"/>
        </w:rPr>
        <w:t>enero 2000 - diciembre 2025</w:t>
      </w:r>
      <w:r>
        <w:rPr>
          <w:rFonts w:ascii="Times New Roman" w:hAnsi="Times New Roman" w:cs="Times New Roman"/>
          <w:rFonts w:ascii="Times New Roman" w:hAnsi="Times New Roman"/>
          <w:b w:val="0"/>
          <w:i w:val="0"/>
          <w:sz w:val="24"/>
        </w:rPr>
        <w:t xml:space="preserve"> con </w:t>
      </w:r>
      <w:r>
        <w:rPr>
          <w:rFonts w:ascii="Times New Roman" w:hAnsi="Times New Roman" w:cs="Times New Roman"/>
          <w:rFonts w:ascii="Times New Roman" w:hAnsi="Times New Roman"/>
          <w:b/>
          <w:i w:val="0"/>
          <w:sz w:val="24"/>
        </w:rPr>
        <w:t>frecuencia mensual</w:t>
      </w:r>
      <w:r>
        <w:rPr>
          <w:rFonts w:ascii="Times New Roman" w:hAnsi="Times New Roman" w:cs="Times New Roman"/>
          <w:rFonts w:ascii="Times New Roman" w:hAnsi="Times New Roman"/>
          <w:b w:val="0"/>
          <w:i w:val="0"/>
          <w:sz w:val="24"/>
        </w:rPr>
        <w:t>, generando 312 observaciones. La frecuencia mensual responde a que los determinantes macroeconomicos del oro operan a velocidades mas lentas que los flujos especulativos, y la mayoria de fuentes institucionales publican sus datos mensualmente.</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jc w:val="center"/>
            </w:pPr>
            <w:r/>
            <w:r>
              <w:rPr>
                <w:rFonts w:ascii="Times New Roman" w:hAnsi="Times New Roman" w:cs="Times New Roman"/>
                <w:rFonts w:ascii="Times New Roman" w:hAnsi="Times New Roman"/>
                <w:b/>
                <w:i w:val="0"/>
                <w:sz w:val="20"/>
              </w:rPr>
              <w:t>Variable</w:t>
            </w:r>
          </w:p>
        </w:tc>
        <w:tc>
          <w:tcPr>
            <w:tcW w:type="dxa" w:w="1701"/>
          </w:tcPr>
          <w:p>
            <w:pPr>
              <w:spacing w:line="240" w:lineRule="auto"/>
              <w:jc w:val="center"/>
            </w:pPr>
            <w:r/>
            <w:r>
              <w:rPr>
                <w:rFonts w:ascii="Times New Roman" w:hAnsi="Times New Roman" w:cs="Times New Roman"/>
                <w:rFonts w:ascii="Times New Roman" w:hAnsi="Times New Roman"/>
                <w:b/>
                <w:i w:val="0"/>
                <w:sz w:val="20"/>
              </w:rPr>
              <w:t>Simbolo</w:t>
            </w:r>
          </w:p>
        </w:tc>
        <w:tc>
          <w:tcPr>
            <w:tcW w:type="dxa" w:w="1701"/>
          </w:tcPr>
          <w:p>
            <w:pPr>
              <w:spacing w:line="240" w:lineRule="auto"/>
              <w:jc w:val="center"/>
            </w:pPr>
            <w:r/>
            <w:r>
              <w:rPr>
                <w:rFonts w:ascii="Times New Roman" w:hAnsi="Times New Roman" w:cs="Times New Roman"/>
                <w:rFonts w:ascii="Times New Roman" w:hAnsi="Times New Roman"/>
                <w:b/>
                <w:i w:val="0"/>
                <w:sz w:val="20"/>
              </w:rPr>
              <w:t>Fuente</w:t>
            </w:r>
          </w:p>
        </w:tc>
        <w:tc>
          <w:tcPr>
            <w:tcW w:type="dxa" w:w="1701"/>
          </w:tcPr>
          <w:p>
            <w:pPr>
              <w:spacing w:line="240" w:lineRule="auto"/>
              <w:jc w:val="center"/>
            </w:pPr>
            <w:r/>
            <w:r>
              <w:rPr>
                <w:rFonts w:ascii="Times New Roman" w:hAnsi="Times New Roman" w:cs="Times New Roman"/>
                <w:rFonts w:ascii="Times New Roman" w:hAnsi="Times New Roman"/>
                <w:b/>
                <w:i w:val="0"/>
                <w:sz w:val="20"/>
              </w:rPr>
              <w:t>Codigo</w:t>
            </w:r>
          </w:p>
        </w:tc>
        <w:tc>
          <w:tcPr>
            <w:tcW w:type="dxa" w:w="1701"/>
          </w:tcPr>
          <w:p>
            <w:pPr>
              <w:spacing w:line="240" w:lineRule="auto"/>
              <w:jc w:val="center"/>
            </w:pPr>
            <w:r/>
            <w:r>
              <w:rPr>
                <w:rFonts w:ascii="Times New Roman" w:hAnsi="Times New Roman" w:cs="Times New Roman"/>
                <w:rFonts w:ascii="Times New Roman" w:hAnsi="Times New Roman"/>
                <w:b/>
                <w:i w:val="0"/>
                <w:sz w:val="20"/>
              </w:rPr>
              <w:t>Frecuencia</w:t>
            </w:r>
          </w:p>
        </w:tc>
      </w:tr>
      <w:tr>
        <w:tc>
          <w:tcPr>
            <w:tcW w:type="dxa" w:w="1701"/>
          </w:tcPr>
          <w:p>
            <w:pPr>
              <w:spacing w:line="240" w:lineRule="auto"/>
            </w:pPr>
            <w:r/>
            <w:r>
              <w:rPr>
                <w:rFonts w:ascii="Times New Roman" w:hAnsi="Times New Roman" w:cs="Times New Roman"/>
                <w:rFonts w:ascii="Times New Roman" w:hAnsi="Times New Roman"/>
                <w:b w:val="0"/>
                <w:i w:val="0"/>
                <w:sz w:val="20"/>
              </w:rPr>
              <w:t>Precio del oro</w:t>
            </w:r>
          </w:p>
        </w:tc>
        <w:tc>
          <w:tcPr>
            <w:tcW w:type="dxa" w:w="1701"/>
          </w:tcPr>
          <w:p>
            <w:pPr>
              <w:spacing w:line="240" w:lineRule="auto"/>
            </w:pPr>
            <w:r/>
            <w:r>
              <w:rPr>
                <w:rFonts w:ascii="Times New Roman" w:hAnsi="Times New Roman" w:cs="Times New Roman"/>
                <w:rFonts w:ascii="Times New Roman" w:hAnsi="Times New Roman"/>
                <w:b w:val="0"/>
                <w:i w:val="0"/>
                <w:sz w:val="20"/>
              </w:rPr>
              <w:t>XAU/USD</w:t>
            </w:r>
          </w:p>
        </w:tc>
        <w:tc>
          <w:tcPr>
            <w:tcW w:type="dxa" w:w="1701"/>
          </w:tcPr>
          <w:p>
            <w:pPr>
              <w:spacing w:line="240" w:lineRule="auto"/>
            </w:pPr>
            <w:r/>
            <w:r>
              <w:rPr>
                <w:rFonts w:ascii="Times New Roman" w:hAnsi="Times New Roman" w:cs="Times New Roman"/>
                <w:rFonts w:ascii="Times New Roman" w:hAnsi="Times New Roman"/>
                <w:b w:val="0"/>
                <w:i w:val="0"/>
                <w:sz w:val="20"/>
              </w:rPr>
              <w:t>Yahoo Finance</w:t>
            </w:r>
          </w:p>
        </w:tc>
        <w:tc>
          <w:tcPr>
            <w:tcW w:type="dxa" w:w="1701"/>
          </w:tcPr>
          <w:p>
            <w:pPr>
              <w:spacing w:line="240" w:lineRule="auto"/>
            </w:pPr>
            <w:r/>
            <w:r>
              <w:rPr>
                <w:rFonts w:ascii="Times New Roman" w:hAnsi="Times New Roman" w:cs="Times New Roman"/>
                <w:rFonts w:ascii="Times New Roman" w:hAnsi="Times New Roman"/>
                <w:b w:val="0"/>
                <w:i w:val="0"/>
                <w:sz w:val="20"/>
              </w:rPr>
              <w:t>GC=F</w:t>
            </w:r>
          </w:p>
        </w:tc>
        <w:tc>
          <w:tcPr>
            <w:tcW w:type="dxa" w:w="1701"/>
          </w:tcPr>
          <w:p>
            <w:pPr>
              <w:spacing w:line="240" w:lineRule="auto"/>
            </w:pPr>
            <w:r/>
            <w:r>
              <w:rPr>
                <w:rFonts w:ascii="Times New Roman" w:hAnsi="Times New Roman" w:cs="Times New Roman"/>
                <w:rFonts w:ascii="Times New Roman" w:hAnsi="Times New Roman"/>
                <w:b w:val="0"/>
                <w:i w:val="0"/>
                <w:sz w:val="20"/>
              </w:rPr>
              <w:t>Diaria-&gt;mensual</w:t>
            </w:r>
          </w:p>
        </w:tc>
      </w:tr>
      <w:tr>
        <w:tc>
          <w:tcPr>
            <w:tcW w:type="dxa" w:w="1701"/>
          </w:tcPr>
          <w:p>
            <w:pPr>
              <w:spacing w:line="240" w:lineRule="auto"/>
            </w:pPr>
            <w:r/>
            <w:r>
              <w:rPr>
                <w:rFonts w:ascii="Times New Roman" w:hAnsi="Times New Roman" w:cs="Times New Roman"/>
                <w:rFonts w:ascii="Times New Roman" w:hAnsi="Times New Roman"/>
                <w:b w:val="0"/>
                <w:i w:val="0"/>
                <w:sz w:val="20"/>
              </w:rPr>
              <w:t>Indice del dolar</w:t>
            </w:r>
          </w:p>
        </w:tc>
        <w:tc>
          <w:tcPr>
            <w:tcW w:type="dxa" w:w="1701"/>
          </w:tcPr>
          <w:p>
            <w:pPr>
              <w:spacing w:line="240" w:lineRule="auto"/>
            </w:pPr>
            <w:r/>
            <w:r>
              <w:rPr>
                <w:rFonts w:ascii="Times New Roman" w:hAnsi="Times New Roman" w:cs="Times New Roman"/>
                <w:rFonts w:ascii="Times New Roman" w:hAnsi="Times New Roman"/>
                <w:b w:val="0"/>
                <w:i w:val="0"/>
                <w:sz w:val="20"/>
              </w:rPr>
              <w:t>DXY</w:t>
            </w:r>
          </w:p>
        </w:tc>
        <w:tc>
          <w:tcPr>
            <w:tcW w:type="dxa" w:w="1701"/>
          </w:tcPr>
          <w:p>
            <w:pPr>
              <w:spacing w:line="240" w:lineRule="auto"/>
            </w:pPr>
            <w:r/>
            <w:r>
              <w:rPr>
                <w:rFonts w:ascii="Times New Roman" w:hAnsi="Times New Roman" w:cs="Times New Roman"/>
                <w:rFonts w:ascii="Times New Roman" w:hAnsi="Times New Roman"/>
                <w:b w:val="0"/>
                <w:i w:val="0"/>
                <w:sz w:val="20"/>
              </w:rPr>
              <w:t>Yahoo Finance</w:t>
            </w:r>
          </w:p>
        </w:tc>
        <w:tc>
          <w:tcPr>
            <w:tcW w:type="dxa" w:w="1701"/>
          </w:tcPr>
          <w:p>
            <w:pPr>
              <w:spacing w:line="240" w:lineRule="auto"/>
            </w:pPr>
            <w:r/>
            <w:r>
              <w:rPr>
                <w:rFonts w:ascii="Times New Roman" w:hAnsi="Times New Roman" w:cs="Times New Roman"/>
                <w:rFonts w:ascii="Times New Roman" w:hAnsi="Times New Roman"/>
                <w:b w:val="0"/>
                <w:i w:val="0"/>
                <w:sz w:val="20"/>
              </w:rPr>
              <w:t>DX-Y.NYB</w:t>
            </w:r>
          </w:p>
        </w:tc>
        <w:tc>
          <w:tcPr>
            <w:tcW w:type="dxa" w:w="1701"/>
          </w:tcPr>
          <w:p>
            <w:pPr>
              <w:spacing w:line="240" w:lineRule="auto"/>
            </w:pPr>
            <w:r/>
            <w:r>
              <w:rPr>
                <w:rFonts w:ascii="Times New Roman" w:hAnsi="Times New Roman" w:cs="Times New Roman"/>
                <w:rFonts w:ascii="Times New Roman" w:hAnsi="Times New Roman"/>
                <w:b w:val="0"/>
                <w:i w:val="0"/>
                <w:sz w:val="20"/>
              </w:rPr>
              <w:t>Diaria-&gt;mensual</w:t>
            </w:r>
          </w:p>
        </w:tc>
      </w:tr>
      <w:tr>
        <w:tc>
          <w:tcPr>
            <w:tcW w:type="dxa" w:w="1701"/>
          </w:tcPr>
          <w:p>
            <w:pPr>
              <w:spacing w:line="240" w:lineRule="auto"/>
            </w:pPr>
            <w:r/>
            <w:r>
              <w:rPr>
                <w:rFonts w:ascii="Times New Roman" w:hAnsi="Times New Roman" w:cs="Times New Roman"/>
                <w:rFonts w:ascii="Times New Roman" w:hAnsi="Times New Roman"/>
                <w:b w:val="0"/>
                <w:i w:val="0"/>
                <w:sz w:val="20"/>
              </w:rPr>
              <w:t>Tipo real TIPS 10Y</w:t>
            </w:r>
          </w:p>
        </w:tc>
        <w:tc>
          <w:tcPr>
            <w:tcW w:type="dxa" w:w="1701"/>
          </w:tcPr>
          <w:p>
            <w:pPr>
              <w:spacing w:line="240" w:lineRule="auto"/>
            </w:pPr>
            <w:r/>
            <w:r>
              <w:rPr>
                <w:rFonts w:ascii="Times New Roman" w:hAnsi="Times New Roman" w:cs="Times New Roman"/>
                <w:rFonts w:ascii="Times New Roman" w:hAnsi="Times New Roman"/>
                <w:b w:val="0"/>
                <w:i w:val="0"/>
                <w:sz w:val="20"/>
              </w:rPr>
              <w:t>TIPS</w:t>
            </w:r>
          </w:p>
        </w:tc>
        <w:tc>
          <w:tcPr>
            <w:tcW w:type="dxa" w:w="1701"/>
          </w:tcPr>
          <w:p>
            <w:pPr>
              <w:spacing w:line="240" w:lineRule="auto"/>
            </w:pPr>
            <w:r/>
            <w:r>
              <w:rPr>
                <w:rFonts w:ascii="Times New Roman" w:hAnsi="Times New Roman" w:cs="Times New Roman"/>
                <w:rFonts w:ascii="Times New Roman" w:hAnsi="Times New Roman"/>
                <w:b w:val="0"/>
                <w:i w:val="0"/>
                <w:sz w:val="20"/>
              </w:rPr>
              <w:t>FRED</w:t>
            </w:r>
          </w:p>
        </w:tc>
        <w:tc>
          <w:tcPr>
            <w:tcW w:type="dxa" w:w="1701"/>
          </w:tcPr>
          <w:p>
            <w:pPr>
              <w:spacing w:line="240" w:lineRule="auto"/>
            </w:pPr>
            <w:r/>
            <w:r>
              <w:rPr>
                <w:rFonts w:ascii="Times New Roman" w:hAnsi="Times New Roman" w:cs="Times New Roman"/>
                <w:rFonts w:ascii="Times New Roman" w:hAnsi="Times New Roman"/>
                <w:b w:val="0"/>
                <w:i w:val="0"/>
                <w:sz w:val="20"/>
              </w:rPr>
              <w:t>DFII10</w:t>
            </w:r>
          </w:p>
        </w:tc>
        <w:tc>
          <w:tcPr>
            <w:tcW w:type="dxa" w:w="1701"/>
          </w:tcPr>
          <w:p>
            <w:pPr>
              <w:spacing w:line="240" w:lineRule="auto"/>
            </w:pPr>
            <w:r/>
            <w:r>
              <w:rPr>
                <w:rFonts w:ascii="Times New Roman" w:hAnsi="Times New Roman" w:cs="Times New Roman"/>
                <w:rFonts w:ascii="Times New Roman" w:hAnsi="Times New Roman"/>
                <w:b w:val="0"/>
                <w:i w:val="0"/>
                <w:sz w:val="20"/>
              </w:rPr>
              <w:t>Diaria-&gt;mensual</w:t>
            </w:r>
          </w:p>
        </w:tc>
      </w:tr>
      <w:tr>
        <w:tc>
          <w:tcPr>
            <w:tcW w:type="dxa" w:w="1701"/>
          </w:tcPr>
          <w:p>
            <w:pPr>
              <w:spacing w:line="240" w:lineRule="auto"/>
            </w:pPr>
            <w:r/>
            <w:r>
              <w:rPr>
                <w:rFonts w:ascii="Times New Roman" w:hAnsi="Times New Roman" w:cs="Times New Roman"/>
                <w:rFonts w:ascii="Times New Roman" w:hAnsi="Times New Roman"/>
                <w:b w:val="0"/>
                <w:i w:val="0"/>
                <w:sz w:val="20"/>
              </w:rPr>
              <w:t>Inflacion IPC EE.UU.</w:t>
            </w:r>
          </w:p>
        </w:tc>
        <w:tc>
          <w:tcPr>
            <w:tcW w:type="dxa" w:w="1701"/>
          </w:tcPr>
          <w:p>
            <w:pPr>
              <w:spacing w:line="240" w:lineRule="auto"/>
            </w:pPr>
            <w:r/>
            <w:r>
              <w:rPr>
                <w:rFonts w:ascii="Times New Roman" w:hAnsi="Times New Roman" w:cs="Times New Roman"/>
                <w:rFonts w:ascii="Times New Roman" w:hAnsi="Times New Roman"/>
                <w:b w:val="0"/>
                <w:i w:val="0"/>
                <w:sz w:val="20"/>
              </w:rPr>
              <w:t>CPI</w:t>
            </w:r>
          </w:p>
        </w:tc>
        <w:tc>
          <w:tcPr>
            <w:tcW w:type="dxa" w:w="1701"/>
          </w:tcPr>
          <w:p>
            <w:pPr>
              <w:spacing w:line="240" w:lineRule="auto"/>
            </w:pPr>
            <w:r/>
            <w:r>
              <w:rPr>
                <w:rFonts w:ascii="Times New Roman" w:hAnsi="Times New Roman" w:cs="Times New Roman"/>
                <w:rFonts w:ascii="Times New Roman" w:hAnsi="Times New Roman"/>
                <w:b w:val="0"/>
                <w:i w:val="0"/>
                <w:sz w:val="20"/>
              </w:rPr>
              <w:t>FRED</w:t>
            </w:r>
          </w:p>
        </w:tc>
        <w:tc>
          <w:tcPr>
            <w:tcW w:type="dxa" w:w="1701"/>
          </w:tcPr>
          <w:p>
            <w:pPr>
              <w:spacing w:line="240" w:lineRule="auto"/>
            </w:pPr>
            <w:r/>
            <w:r>
              <w:rPr>
                <w:rFonts w:ascii="Times New Roman" w:hAnsi="Times New Roman" w:cs="Times New Roman"/>
                <w:rFonts w:ascii="Times New Roman" w:hAnsi="Times New Roman"/>
                <w:b w:val="0"/>
                <w:i w:val="0"/>
                <w:sz w:val="20"/>
              </w:rPr>
              <w:t>CPIAUCSL</w:t>
            </w:r>
          </w:p>
        </w:tc>
        <w:tc>
          <w:tcPr>
            <w:tcW w:type="dxa" w:w="1701"/>
          </w:tcPr>
          <w:p>
            <w:pPr>
              <w:spacing w:line="240" w:lineRule="auto"/>
            </w:pPr>
            <w:r/>
            <w:r>
              <w:rPr>
                <w:rFonts w:ascii="Times New Roman" w:hAnsi="Times New Roman" w:cs="Times New Roman"/>
                <w:rFonts w:ascii="Times New Roman" w:hAnsi="Times New Roman"/>
                <w:b w:val="0"/>
                <w:i w:val="0"/>
                <w:sz w:val="20"/>
              </w:rPr>
              <w:t>Mensual</w:t>
            </w:r>
          </w:p>
        </w:tc>
      </w:tr>
      <w:tr>
        <w:tc>
          <w:tcPr>
            <w:tcW w:type="dxa" w:w="1701"/>
          </w:tcPr>
          <w:p>
            <w:pPr>
              <w:spacing w:line="240" w:lineRule="auto"/>
            </w:pPr>
            <w:r/>
            <w:r>
              <w:rPr>
                <w:rFonts w:ascii="Times New Roman" w:hAnsi="Times New Roman" w:cs="Times New Roman"/>
                <w:rFonts w:ascii="Times New Roman" w:hAnsi="Times New Roman"/>
                <w:b w:val="0"/>
                <w:i w:val="0"/>
                <w:sz w:val="20"/>
              </w:rPr>
              <w:t>Breakeven inflacion 10Y</w:t>
            </w:r>
          </w:p>
        </w:tc>
        <w:tc>
          <w:tcPr>
            <w:tcW w:type="dxa" w:w="1701"/>
          </w:tcPr>
          <w:p>
            <w:pPr>
              <w:spacing w:line="240" w:lineRule="auto"/>
            </w:pPr>
            <w:r/>
            <w:r>
              <w:rPr>
                <w:rFonts w:ascii="Times New Roman" w:hAnsi="Times New Roman" w:cs="Times New Roman"/>
                <w:rFonts w:ascii="Times New Roman" w:hAnsi="Times New Roman"/>
                <w:b w:val="0"/>
                <w:i w:val="0"/>
                <w:sz w:val="20"/>
              </w:rPr>
              <w:t>BEI</w:t>
            </w:r>
          </w:p>
        </w:tc>
        <w:tc>
          <w:tcPr>
            <w:tcW w:type="dxa" w:w="1701"/>
          </w:tcPr>
          <w:p>
            <w:pPr>
              <w:spacing w:line="240" w:lineRule="auto"/>
            </w:pPr>
            <w:r/>
            <w:r>
              <w:rPr>
                <w:rFonts w:ascii="Times New Roman" w:hAnsi="Times New Roman" w:cs="Times New Roman"/>
                <w:rFonts w:ascii="Times New Roman" w:hAnsi="Times New Roman"/>
                <w:b w:val="0"/>
                <w:i w:val="0"/>
                <w:sz w:val="20"/>
              </w:rPr>
              <w:t>FRED</w:t>
            </w:r>
          </w:p>
        </w:tc>
        <w:tc>
          <w:tcPr>
            <w:tcW w:type="dxa" w:w="1701"/>
          </w:tcPr>
          <w:p>
            <w:pPr>
              <w:spacing w:line="240" w:lineRule="auto"/>
            </w:pPr>
            <w:r/>
            <w:r>
              <w:rPr>
                <w:rFonts w:ascii="Times New Roman" w:hAnsi="Times New Roman" w:cs="Times New Roman"/>
                <w:rFonts w:ascii="Times New Roman" w:hAnsi="Times New Roman"/>
                <w:b w:val="0"/>
                <w:i w:val="0"/>
                <w:sz w:val="20"/>
              </w:rPr>
              <w:t>T10YIE</w:t>
            </w:r>
          </w:p>
        </w:tc>
        <w:tc>
          <w:tcPr>
            <w:tcW w:type="dxa" w:w="1701"/>
          </w:tcPr>
          <w:p>
            <w:pPr>
              <w:spacing w:line="240" w:lineRule="auto"/>
            </w:pPr>
            <w:r/>
            <w:r>
              <w:rPr>
                <w:rFonts w:ascii="Times New Roman" w:hAnsi="Times New Roman" w:cs="Times New Roman"/>
                <w:rFonts w:ascii="Times New Roman" w:hAnsi="Times New Roman"/>
                <w:b w:val="0"/>
                <w:i w:val="0"/>
                <w:sz w:val="20"/>
              </w:rPr>
              <w:t>Diaria-&gt;mensual</w:t>
            </w:r>
          </w:p>
        </w:tc>
      </w:tr>
      <w:tr>
        <w:tc>
          <w:tcPr>
            <w:tcW w:type="dxa" w:w="1701"/>
          </w:tcPr>
          <w:p>
            <w:pPr>
              <w:spacing w:line="240" w:lineRule="auto"/>
            </w:pPr>
            <w:r/>
            <w:r>
              <w:rPr>
                <w:rFonts w:ascii="Times New Roman" w:hAnsi="Times New Roman" w:cs="Times New Roman"/>
                <w:rFonts w:ascii="Times New Roman" w:hAnsi="Times New Roman"/>
                <w:b w:val="0"/>
                <w:i w:val="0"/>
                <w:sz w:val="20"/>
              </w:rPr>
              <w:t>Volatilidad implicita</w:t>
            </w:r>
          </w:p>
        </w:tc>
        <w:tc>
          <w:tcPr>
            <w:tcW w:type="dxa" w:w="1701"/>
          </w:tcPr>
          <w:p>
            <w:pPr>
              <w:spacing w:line="240" w:lineRule="auto"/>
            </w:pPr>
            <w:r/>
            <w:r>
              <w:rPr>
                <w:rFonts w:ascii="Times New Roman" w:hAnsi="Times New Roman" w:cs="Times New Roman"/>
                <w:rFonts w:ascii="Times New Roman" w:hAnsi="Times New Roman"/>
                <w:b w:val="0"/>
                <w:i w:val="0"/>
                <w:sz w:val="20"/>
              </w:rPr>
              <w:t>VIX</w:t>
            </w:r>
          </w:p>
        </w:tc>
        <w:tc>
          <w:tcPr>
            <w:tcW w:type="dxa" w:w="1701"/>
          </w:tcPr>
          <w:p>
            <w:pPr>
              <w:spacing w:line="240" w:lineRule="auto"/>
            </w:pPr>
            <w:r/>
            <w:r>
              <w:rPr>
                <w:rFonts w:ascii="Times New Roman" w:hAnsi="Times New Roman" w:cs="Times New Roman"/>
                <w:rFonts w:ascii="Times New Roman" w:hAnsi="Times New Roman"/>
                <w:b w:val="0"/>
                <w:i w:val="0"/>
                <w:sz w:val="20"/>
              </w:rPr>
              <w:t>Yahoo Finance</w:t>
            </w:r>
          </w:p>
        </w:tc>
        <w:tc>
          <w:tcPr>
            <w:tcW w:type="dxa" w:w="1701"/>
          </w:tcPr>
          <w:p>
            <w:pPr>
              <w:spacing w:line="240" w:lineRule="auto"/>
            </w:pPr>
            <w:r/>
            <w:r>
              <w:rPr>
                <w:rFonts w:ascii="Times New Roman" w:hAnsi="Times New Roman" w:cs="Times New Roman"/>
                <w:rFonts w:ascii="Times New Roman" w:hAnsi="Times New Roman"/>
                <w:b w:val="0"/>
                <w:i w:val="0"/>
                <w:sz w:val="20"/>
              </w:rPr>
              <w:t>^VIX</w:t>
            </w:r>
          </w:p>
        </w:tc>
        <w:tc>
          <w:tcPr>
            <w:tcW w:type="dxa" w:w="1701"/>
          </w:tcPr>
          <w:p>
            <w:pPr>
              <w:spacing w:line="240" w:lineRule="auto"/>
            </w:pPr>
            <w:r/>
            <w:r>
              <w:rPr>
                <w:rFonts w:ascii="Times New Roman" w:hAnsi="Times New Roman" w:cs="Times New Roman"/>
                <w:rFonts w:ascii="Times New Roman" w:hAnsi="Times New Roman"/>
                <w:b w:val="0"/>
                <w:i w:val="0"/>
                <w:sz w:val="20"/>
              </w:rPr>
              <w:t>Diaria-&gt;mensual</w:t>
            </w:r>
          </w:p>
        </w:tc>
      </w:tr>
      <w:tr>
        <w:tc>
          <w:tcPr>
            <w:tcW w:type="dxa" w:w="1701"/>
          </w:tcPr>
          <w:p>
            <w:pPr>
              <w:spacing w:line="240" w:lineRule="auto"/>
            </w:pPr>
            <w:r/>
            <w:r>
              <w:rPr>
                <w:rFonts w:ascii="Times New Roman" w:hAnsi="Times New Roman" w:cs="Times New Roman"/>
                <w:rFonts w:ascii="Times New Roman" w:hAnsi="Times New Roman"/>
                <w:b w:val="0"/>
                <w:i w:val="0"/>
                <w:sz w:val="20"/>
              </w:rPr>
              <w:t>Indice S&amp;P 500</w:t>
            </w:r>
          </w:p>
        </w:tc>
        <w:tc>
          <w:tcPr>
            <w:tcW w:type="dxa" w:w="1701"/>
          </w:tcPr>
          <w:p>
            <w:pPr>
              <w:spacing w:line="240" w:lineRule="auto"/>
            </w:pPr>
            <w:r/>
            <w:r>
              <w:rPr>
                <w:rFonts w:ascii="Times New Roman" w:hAnsi="Times New Roman" w:cs="Times New Roman"/>
                <w:rFonts w:ascii="Times New Roman" w:hAnsi="Times New Roman"/>
                <w:b w:val="0"/>
                <w:i w:val="0"/>
                <w:sz w:val="20"/>
              </w:rPr>
              <w:t>SP500</w:t>
            </w:r>
          </w:p>
        </w:tc>
        <w:tc>
          <w:tcPr>
            <w:tcW w:type="dxa" w:w="1701"/>
          </w:tcPr>
          <w:p>
            <w:pPr>
              <w:spacing w:line="240" w:lineRule="auto"/>
            </w:pPr>
            <w:r/>
            <w:r>
              <w:rPr>
                <w:rFonts w:ascii="Times New Roman" w:hAnsi="Times New Roman" w:cs="Times New Roman"/>
                <w:rFonts w:ascii="Times New Roman" w:hAnsi="Times New Roman"/>
                <w:b w:val="0"/>
                <w:i w:val="0"/>
                <w:sz w:val="20"/>
              </w:rPr>
              <w:t>Yahoo Finance</w:t>
            </w:r>
          </w:p>
        </w:tc>
        <w:tc>
          <w:tcPr>
            <w:tcW w:type="dxa" w:w="1701"/>
          </w:tcPr>
          <w:p>
            <w:pPr>
              <w:spacing w:line="240" w:lineRule="auto"/>
            </w:pPr>
            <w:r/>
            <w:r>
              <w:rPr>
                <w:rFonts w:ascii="Times New Roman" w:hAnsi="Times New Roman" w:cs="Times New Roman"/>
                <w:rFonts w:ascii="Times New Roman" w:hAnsi="Times New Roman"/>
                <w:b w:val="0"/>
                <w:i w:val="0"/>
                <w:sz w:val="20"/>
              </w:rPr>
              <w:t>^GSPC</w:t>
            </w:r>
          </w:p>
        </w:tc>
        <w:tc>
          <w:tcPr>
            <w:tcW w:type="dxa" w:w="1701"/>
          </w:tcPr>
          <w:p>
            <w:pPr>
              <w:spacing w:line="240" w:lineRule="auto"/>
            </w:pPr>
            <w:r/>
            <w:r>
              <w:rPr>
                <w:rFonts w:ascii="Times New Roman" w:hAnsi="Times New Roman" w:cs="Times New Roman"/>
                <w:rFonts w:ascii="Times New Roman" w:hAnsi="Times New Roman"/>
                <w:b w:val="0"/>
                <w:i w:val="0"/>
                <w:sz w:val="20"/>
              </w:rPr>
              <w:t>Diaria-&gt;mensual</w:t>
            </w:r>
          </w:p>
        </w:tc>
      </w:tr>
      <w:tr>
        <w:tc>
          <w:tcPr>
            <w:tcW w:type="dxa" w:w="1701"/>
          </w:tcPr>
          <w:p>
            <w:pPr>
              <w:spacing w:line="240" w:lineRule="auto"/>
            </w:pPr>
            <w:r/>
            <w:r>
              <w:rPr>
                <w:rFonts w:ascii="Times New Roman" w:hAnsi="Times New Roman" w:cs="Times New Roman"/>
                <w:rFonts w:ascii="Times New Roman" w:hAnsi="Times New Roman"/>
                <w:b w:val="0"/>
                <w:i w:val="0"/>
                <w:sz w:val="20"/>
              </w:rPr>
              <w:t>Petroleo WTI</w:t>
            </w:r>
          </w:p>
        </w:tc>
        <w:tc>
          <w:tcPr>
            <w:tcW w:type="dxa" w:w="1701"/>
          </w:tcPr>
          <w:p>
            <w:pPr>
              <w:spacing w:line="240" w:lineRule="auto"/>
            </w:pPr>
            <w:r/>
            <w:r>
              <w:rPr>
                <w:rFonts w:ascii="Times New Roman" w:hAnsi="Times New Roman" w:cs="Times New Roman"/>
                <w:rFonts w:ascii="Times New Roman" w:hAnsi="Times New Roman"/>
                <w:b w:val="0"/>
                <w:i w:val="0"/>
                <w:sz w:val="20"/>
              </w:rPr>
              <w:t>WTI</w:t>
            </w:r>
          </w:p>
        </w:tc>
        <w:tc>
          <w:tcPr>
            <w:tcW w:type="dxa" w:w="1701"/>
          </w:tcPr>
          <w:p>
            <w:pPr>
              <w:spacing w:line="240" w:lineRule="auto"/>
            </w:pPr>
            <w:r/>
            <w:r>
              <w:rPr>
                <w:rFonts w:ascii="Times New Roman" w:hAnsi="Times New Roman" w:cs="Times New Roman"/>
                <w:rFonts w:ascii="Times New Roman" w:hAnsi="Times New Roman"/>
                <w:b w:val="0"/>
                <w:i w:val="0"/>
                <w:sz w:val="20"/>
              </w:rPr>
              <w:t>Yahoo Finance</w:t>
            </w:r>
          </w:p>
        </w:tc>
        <w:tc>
          <w:tcPr>
            <w:tcW w:type="dxa" w:w="1701"/>
          </w:tcPr>
          <w:p>
            <w:pPr>
              <w:spacing w:line="240" w:lineRule="auto"/>
            </w:pPr>
            <w:r/>
            <w:r>
              <w:rPr>
                <w:rFonts w:ascii="Times New Roman" w:hAnsi="Times New Roman" w:cs="Times New Roman"/>
                <w:rFonts w:ascii="Times New Roman" w:hAnsi="Times New Roman"/>
                <w:b w:val="0"/>
                <w:i w:val="0"/>
                <w:sz w:val="20"/>
              </w:rPr>
              <w:t>CL=F</w:t>
            </w:r>
          </w:p>
        </w:tc>
        <w:tc>
          <w:tcPr>
            <w:tcW w:type="dxa" w:w="1701"/>
          </w:tcPr>
          <w:p>
            <w:pPr>
              <w:spacing w:line="240" w:lineRule="auto"/>
            </w:pPr>
            <w:r/>
            <w:r>
              <w:rPr>
                <w:rFonts w:ascii="Times New Roman" w:hAnsi="Times New Roman" w:cs="Times New Roman"/>
                <w:rFonts w:ascii="Times New Roman" w:hAnsi="Times New Roman"/>
                <w:b w:val="0"/>
                <w:i w:val="0"/>
                <w:sz w:val="20"/>
              </w:rPr>
              <w:t>Diaria-&gt;mensual</w:t>
            </w:r>
          </w:p>
        </w:tc>
      </w:tr>
      <w:tr>
        <w:tc>
          <w:tcPr>
            <w:tcW w:type="dxa" w:w="1701"/>
          </w:tcPr>
          <w:p>
            <w:pPr>
              <w:spacing w:line="240" w:lineRule="auto"/>
            </w:pPr>
            <w:r/>
            <w:r>
              <w:rPr>
                <w:rFonts w:ascii="Times New Roman" w:hAnsi="Times New Roman" w:cs="Times New Roman"/>
                <w:rFonts w:ascii="Times New Roman" w:hAnsi="Times New Roman"/>
                <w:b w:val="0"/>
                <w:i w:val="0"/>
                <w:sz w:val="20"/>
              </w:rPr>
              <w:t>Tipo nominal Tesoro 10Y</w:t>
            </w:r>
          </w:p>
        </w:tc>
        <w:tc>
          <w:tcPr>
            <w:tcW w:type="dxa" w:w="1701"/>
          </w:tcPr>
          <w:p>
            <w:pPr>
              <w:spacing w:line="240" w:lineRule="auto"/>
            </w:pPr>
            <w:r/>
            <w:r>
              <w:rPr>
                <w:rFonts w:ascii="Times New Roman" w:hAnsi="Times New Roman" w:cs="Times New Roman"/>
                <w:rFonts w:ascii="Times New Roman" w:hAnsi="Times New Roman"/>
                <w:b w:val="0"/>
                <w:i w:val="0"/>
                <w:sz w:val="20"/>
              </w:rPr>
              <w:t>TNX</w:t>
            </w:r>
          </w:p>
        </w:tc>
        <w:tc>
          <w:tcPr>
            <w:tcW w:type="dxa" w:w="1701"/>
          </w:tcPr>
          <w:p>
            <w:pPr>
              <w:spacing w:line="240" w:lineRule="auto"/>
            </w:pPr>
            <w:r/>
            <w:r>
              <w:rPr>
                <w:rFonts w:ascii="Times New Roman" w:hAnsi="Times New Roman" w:cs="Times New Roman"/>
                <w:rFonts w:ascii="Times New Roman" w:hAnsi="Times New Roman"/>
                <w:b w:val="0"/>
                <w:i w:val="0"/>
                <w:sz w:val="20"/>
              </w:rPr>
              <w:t>Yahoo Finance</w:t>
            </w:r>
          </w:p>
        </w:tc>
        <w:tc>
          <w:tcPr>
            <w:tcW w:type="dxa" w:w="1701"/>
          </w:tcPr>
          <w:p>
            <w:pPr>
              <w:spacing w:line="240" w:lineRule="auto"/>
            </w:pPr>
            <w:r/>
            <w:r>
              <w:rPr>
                <w:rFonts w:ascii="Times New Roman" w:hAnsi="Times New Roman" w:cs="Times New Roman"/>
                <w:rFonts w:ascii="Times New Roman" w:hAnsi="Times New Roman"/>
                <w:b w:val="0"/>
                <w:i w:val="0"/>
                <w:sz w:val="20"/>
              </w:rPr>
              <w:t>^TNX</w:t>
            </w:r>
          </w:p>
        </w:tc>
        <w:tc>
          <w:tcPr>
            <w:tcW w:type="dxa" w:w="1701"/>
          </w:tcPr>
          <w:p>
            <w:pPr>
              <w:spacing w:line="240" w:lineRule="auto"/>
            </w:pPr>
            <w:r/>
            <w:r>
              <w:rPr>
                <w:rFonts w:ascii="Times New Roman" w:hAnsi="Times New Roman" w:cs="Times New Roman"/>
                <w:rFonts w:ascii="Times New Roman" w:hAnsi="Times New Roman"/>
                <w:b w:val="0"/>
                <w:i w:val="0"/>
                <w:sz w:val="20"/>
              </w:rPr>
              <w:t>Diaria-&gt;mensual</w:t>
            </w:r>
          </w:p>
        </w:tc>
      </w:tr>
    </w:tbl>
    <w:p/>
    <w:p>
      <w:pPr>
        <w:pStyle w:val="Heading2"/>
      </w:pPr>
      <w:r>
        <w:t>4.2 Evolucion historica del oro y episodios de crisis</w:t>
      </w:r>
    </w:p>
    <w:p>
      <w:pPr/>
      <w:r>
        <w:rPr>
          <w:rFonts w:ascii="Times New Roman" w:hAnsi="Times New Roman" w:cs="Times New Roman"/>
          <w:rFonts w:ascii="Times New Roman" w:hAnsi="Times New Roman"/>
          <w:b w:val="0"/>
          <w:i w:val="0"/>
          <w:sz w:val="24"/>
        </w:rPr>
        <w:t>La Figura 4.1 presenta la evolucion del precio del oro desde enero de 2000 hasta diciembre de 2025. Tres periodos se distinguen con claridad: el primer ciclo alcista (2000-2012) desde 280 hasta 1.895 USD/oz impulsado por la debilidad del dolar y el QE post-GFC; el periodo de consolidacion (2012-2019) con correccion hasta 1.050 USD/oz y recuperacion moderada; y el segundo ciclo alcista (2020-2025) que encadena el COVID-19 (2.075 USD/oz en agosto 2020) y el rally de 2022-2025 hasta 4.549 USD/oz.</w:t>
      </w:r>
    </w:p>
    <w:p>
      <w:pPr>
        <w:spacing w:before="120"/>
        <w:jc w:val="center"/>
      </w:pPr>
      <w:r>
        <w:drawing>
          <wp:inline xmlns:a="http://schemas.openxmlformats.org/drawingml/2006/main" xmlns:pic="http://schemas.openxmlformats.org/drawingml/2006/picture">
            <wp:extent cx="5220000" cy="1957500"/>
            <wp:docPr id="1" name="Picture 1"/>
            <wp:cNvGraphicFramePr>
              <a:graphicFrameLocks noChangeAspect="1"/>
            </wp:cNvGraphicFramePr>
            <a:graphic>
              <a:graphicData uri="http://schemas.openxmlformats.org/drawingml/2006/picture">
                <pic:pic>
                  <pic:nvPicPr>
                    <pic:cNvPr id="0" name="fig_01_gold_historia.png"/>
                    <pic:cNvPicPr/>
                  </pic:nvPicPr>
                  <pic:blipFill>
                    <a:blip r:embed="rId10"/>
                    <a:stretch>
                      <a:fillRect/>
                    </a:stretch>
                  </pic:blipFill>
                  <pic:spPr>
                    <a:xfrm>
                      <a:off x="0" y="0"/>
                      <a:ext cx="5220000" cy="1957500"/>
                    </a:xfrm>
                    <a:prstGeom prst="rect"/>
                  </pic:spPr>
                </pic:pic>
              </a:graphicData>
            </a:graphic>
          </wp:inline>
        </w:drawing>
      </w:r>
    </w:p>
    <w:p>
      <w:pPr>
        <w:spacing w:before="40" w:after="200"/>
        <w:jc w:val="center"/>
      </w:pPr>
      <w:r>
        <w:rPr>
          <w:rFonts w:ascii="Times New Roman" w:hAnsi="Times New Roman" w:cs="Times New Roman"/>
          <w:rFonts w:ascii="Times New Roman" w:hAnsi="Times New Roman"/>
          <w:b w:val="0"/>
          <w:i/>
          <w:sz w:val="20"/>
        </w:rPr>
        <w:t>Figura 4.1. Precio mensual del oro (USD/oz), enero 2000 - diciembre 2025. Las zonas sombreadas identifican los cinco episodios: GFC 2008 (rojo), maximos post-QE 2011 (naranja), COVID-19 2020 (morado), ciclo de tipos 2022 (marron) y rally 2025 (rosa). Fuente: Yahoo Finance (GC=F).</w:t>
      </w:r>
    </w:p>
    <w:p>
      <w:pPr>
        <w:pStyle w:val="Heading2"/>
      </w:pPr>
      <w:r>
        <w:t>4.3 Series temporales de los determinantes</w:t>
      </w:r>
    </w:p>
    <w:p>
      <w:pPr/>
      <w:r>
        <w:rPr>
          <w:rFonts w:ascii="Times New Roman" w:hAnsi="Times New Roman" w:cs="Times New Roman"/>
          <w:rFonts w:ascii="Times New Roman" w:hAnsi="Times New Roman"/>
          <w:b w:val="0"/>
          <w:i w:val="0"/>
          <w:sz w:val="24"/>
        </w:rPr>
        <w:t>La Figura 4.2 muestra la evolucion simultanea del oro y sus determinantes principales. Cuatro patrones destacan: la correlacion negativa historica entre oro y DXY (visible en 2001-2007 y 2020-2021); el tipo nominal reflejando el ciclo de politica monetaria (minimos de 2012 y 2020-2021 coinciden con subidas del oro); los picos del VIX en GFC 2008 y COVID 2020 coincidiendo con el inicio de movimientos alcistas; y la divergencia de 2022-2024 donde tipos y DXY altos coexisten con un oro tambien en subida.</w:t>
      </w:r>
    </w:p>
    <w:p>
      <w:pPr>
        <w:spacing w:before="120"/>
        <w:jc w:val="center"/>
      </w:pPr>
      <w:r>
        <w:drawing>
          <wp:inline xmlns:a="http://schemas.openxmlformats.org/drawingml/2006/main" xmlns:pic="http://schemas.openxmlformats.org/drawingml/2006/picture">
            <wp:extent cx="5220000" cy="4628615"/>
            <wp:docPr id="2" name="Picture 2"/>
            <wp:cNvGraphicFramePr>
              <a:graphicFrameLocks noChangeAspect="1"/>
            </wp:cNvGraphicFramePr>
            <a:graphic>
              <a:graphicData uri="http://schemas.openxmlformats.org/drawingml/2006/picture">
                <pic:pic>
                  <pic:nvPicPr>
                    <pic:cNvPr id="0" name="fig_02_determinantes.png"/>
                    <pic:cNvPicPr/>
                  </pic:nvPicPr>
                  <pic:blipFill>
                    <a:blip r:embed="rId11"/>
                    <a:stretch>
                      <a:fillRect/>
                    </a:stretch>
                  </pic:blipFill>
                  <pic:spPr>
                    <a:xfrm>
                      <a:off x="0" y="0"/>
                      <a:ext cx="5220000" cy="4628615"/>
                    </a:xfrm>
                    <a:prstGeom prst="rect"/>
                  </pic:spPr>
                </pic:pic>
              </a:graphicData>
            </a:graphic>
          </wp:inline>
        </w:drawing>
      </w:r>
    </w:p>
    <w:p>
      <w:pPr>
        <w:spacing w:before="40" w:after="200"/>
        <w:jc w:val="center"/>
      </w:pPr>
      <w:r>
        <w:rPr>
          <w:rFonts w:ascii="Times New Roman" w:hAnsi="Times New Roman" w:cs="Times New Roman"/>
          <w:rFonts w:ascii="Times New Roman" w:hAnsi="Times New Roman"/>
          <w:b w:val="0"/>
          <w:i/>
          <w:sz w:val="20"/>
        </w:rPr>
        <w:t>Figura 4.2. Evolucion mensual del precio del oro y sus determinantes principales (DXY, tipo nominal Tesoro 10Y, VIX). Las zonas sombreadas identifican los episodios de crisis. Fuente: Yahoo Finance.</w:t>
      </w:r>
    </w:p>
    <w:p>
      <w:pPr>
        <w:pStyle w:val="Heading2"/>
      </w:pPr>
      <w:r>
        <w:t>4.4 Correlaciones moviles: inestabilidad como norma</w:t>
      </w:r>
    </w:p>
    <w:p>
      <w:pPr/>
      <w:r>
        <w:rPr>
          <w:rFonts w:ascii="Times New Roman" w:hAnsi="Times New Roman" w:cs="Times New Roman"/>
          <w:rFonts w:ascii="Times New Roman" w:hAnsi="Times New Roman"/>
          <w:b w:val="0"/>
          <w:i w:val="0"/>
          <w:sz w:val="24"/>
        </w:rPr>
        <w:t xml:space="preserve">La Figura 4.3 presenta las correlaciones moviles de 36 meses entre el retorno del oro y sus catalizadores. La </w:t>
      </w:r>
      <w:r>
        <w:rPr>
          <w:rFonts w:ascii="Times New Roman" w:hAnsi="Times New Roman" w:cs="Times New Roman"/>
          <w:rFonts w:ascii="Times New Roman" w:hAnsi="Times New Roman"/>
          <w:b/>
          <w:i w:val="0"/>
          <w:sz w:val="24"/>
        </w:rPr>
        <w:t>correlacion oro-DXY</w:t>
      </w:r>
      <w:r>
        <w:rPr>
          <w:rFonts w:ascii="Times New Roman" w:hAnsi="Times New Roman" w:cs="Times New Roman"/>
          <w:rFonts w:ascii="Times New Roman" w:hAnsi="Times New Roman"/>
          <w:b w:val="0"/>
          <w:i w:val="0"/>
          <w:sz w:val="24"/>
        </w:rPr>
        <w:t xml:space="preserve"> oscila entre -0,75 y +0,15 a lo largo del periodo: persistentemente negativa en 2002-2013 y 2016-2020, pero positiva en 2022-2023 (paradoja). La </w:t>
      </w:r>
      <w:r>
        <w:rPr>
          <w:rFonts w:ascii="Times New Roman" w:hAnsi="Times New Roman" w:cs="Times New Roman"/>
          <w:rFonts w:ascii="Times New Roman" w:hAnsi="Times New Roman"/>
          <w:b/>
          <w:i w:val="0"/>
          <w:sz w:val="24"/>
        </w:rPr>
        <w:t>correlacion oro-VIX</w:t>
      </w:r>
      <w:r>
        <w:rPr>
          <w:rFonts w:ascii="Times New Roman" w:hAnsi="Times New Roman" w:cs="Times New Roman"/>
          <w:rFonts w:ascii="Times New Roman" w:hAnsi="Times New Roman"/>
          <w:b w:val="0"/>
          <w:i w:val="0"/>
          <w:sz w:val="24"/>
        </w:rPr>
        <w:t xml:space="preserve"> es positiva y alcanza su maximo en los episodios de crisis, confirmando el rol de safe haven. Esta inestabilidad temporal es uno de los hallazgos transversales del trabajo.</w:t>
      </w:r>
    </w:p>
    <w:p>
      <w:pPr>
        <w:spacing w:before="120"/>
        <w:jc w:val="center"/>
      </w:pPr>
      <w:r>
        <w:drawing>
          <wp:inline xmlns:a="http://schemas.openxmlformats.org/drawingml/2006/main" xmlns:pic="http://schemas.openxmlformats.org/drawingml/2006/picture">
            <wp:extent cx="5220000" cy="1957500"/>
            <wp:docPr id="3" name="Picture 3"/>
            <wp:cNvGraphicFramePr>
              <a:graphicFrameLocks noChangeAspect="1"/>
            </wp:cNvGraphicFramePr>
            <a:graphic>
              <a:graphicData uri="http://schemas.openxmlformats.org/drawingml/2006/picture">
                <pic:pic>
                  <pic:nvPicPr>
                    <pic:cNvPr id="0" name="fig_03_correlaciones_rolling.png"/>
                    <pic:cNvPicPr/>
                  </pic:nvPicPr>
                  <pic:blipFill>
                    <a:blip r:embed="rId12"/>
                    <a:stretch>
                      <a:fillRect/>
                    </a:stretch>
                  </pic:blipFill>
                  <pic:spPr>
                    <a:xfrm>
                      <a:off x="0" y="0"/>
                      <a:ext cx="5220000" cy="1957500"/>
                    </a:xfrm>
                    <a:prstGeom prst="rect"/>
                  </pic:spPr>
                </pic:pic>
              </a:graphicData>
            </a:graphic>
          </wp:inline>
        </w:drawing>
      </w:r>
    </w:p>
    <w:p>
      <w:pPr>
        <w:spacing w:before="40" w:after="200"/>
        <w:jc w:val="center"/>
      </w:pPr>
      <w:r>
        <w:rPr>
          <w:rFonts w:ascii="Times New Roman" w:hAnsi="Times New Roman" w:cs="Times New Roman"/>
          <w:rFonts w:ascii="Times New Roman" w:hAnsi="Times New Roman"/>
          <w:b w:val="0"/>
          <w:i/>
          <w:sz w:val="20"/>
        </w:rPr>
        <w:t>Figura 4.3. Correlaciones moviles (ventana 36 meses) entre el retorno mensual del oro y sus catalizadores. La linea discontinua marca el cero. Fuente: elaboracion propia sobre datos de Yahoo Finance.</w:t>
      </w:r>
    </w:p>
    <w:p>
      <w:pPr>
        <w:pStyle w:val="Heading2"/>
      </w:pPr>
      <w:r>
        <w:t>4.5 Relaciones de dispersion</w:t>
      </w:r>
    </w:p>
    <w:p>
      <w:pPr/>
      <w:r>
        <w:rPr>
          <w:rFonts w:ascii="Times New Roman" w:hAnsi="Times New Roman" w:cs="Times New Roman"/>
          <w:rFonts w:ascii="Times New Roman" w:hAnsi="Times New Roman"/>
          <w:b w:val="0"/>
          <w:i w:val="0"/>
          <w:sz w:val="24"/>
        </w:rPr>
        <w:t>La Figura 4.4 presenta los graficos de dispersion entre el precio del oro y sus dos determinantes mas importantes: DXY y tipo nominal a 10 anos. La pendiente negativa es visible en ambos paneles, aunque con dispersion creciente en los anos recientes (colores amarillos) — consecuencia de la ruptura estructural que el Capitulo 5 formaliza.</w:t>
      </w:r>
    </w:p>
    <w:p>
      <w:pPr>
        <w:spacing w:before="120"/>
        <w:jc w:val="center"/>
      </w:pPr>
      <w:r>
        <w:drawing>
          <wp:inline xmlns:a="http://schemas.openxmlformats.org/drawingml/2006/main" xmlns:pic="http://schemas.openxmlformats.org/drawingml/2006/picture">
            <wp:extent cx="5040000" cy="2061818"/>
            <wp:docPr id="4" name="Picture 4"/>
            <wp:cNvGraphicFramePr>
              <a:graphicFrameLocks noChangeAspect="1"/>
            </wp:cNvGraphicFramePr>
            <a:graphic>
              <a:graphicData uri="http://schemas.openxmlformats.org/drawingml/2006/picture">
                <pic:pic>
                  <pic:nvPicPr>
                    <pic:cNvPr id="0" name="fig_04_scatter.png"/>
                    <pic:cNvPicPr/>
                  </pic:nvPicPr>
                  <pic:blipFill>
                    <a:blip r:embed="rId13"/>
                    <a:stretch>
                      <a:fillRect/>
                    </a:stretch>
                  </pic:blipFill>
                  <pic:spPr>
                    <a:xfrm>
                      <a:off x="0" y="0"/>
                      <a:ext cx="5040000" cy="2061818"/>
                    </a:xfrm>
                    <a:prstGeom prst="rect"/>
                  </pic:spPr>
                </pic:pic>
              </a:graphicData>
            </a:graphic>
          </wp:inline>
        </w:drawing>
      </w:r>
    </w:p>
    <w:p>
      <w:pPr>
        <w:spacing w:before="40" w:after="200"/>
        <w:jc w:val="center"/>
      </w:pPr>
      <w:r>
        <w:rPr>
          <w:rFonts w:ascii="Times New Roman" w:hAnsi="Times New Roman" w:cs="Times New Roman"/>
          <w:rFonts w:ascii="Times New Roman" w:hAnsi="Times New Roman"/>
          <w:b w:val="0"/>
          <w:i/>
          <w:sz w:val="20"/>
        </w:rPr>
        <w:t>Figura 4.4. Relacion entre el precio del oro (USD/oz) y sus dos determinantes principales: DXY (izquierda) y tipo nominal 10Y (derecha). Escala de color: anno de observacion (morado: 2000; amarillo: 2025). La linea discontinua es la tendencia lineal. Fuente: elaboracion propia.</w:t>
      </w:r>
    </w:p>
    <w:p>
      <w:r>
        <w:br w:type="page"/>
      </w:r>
    </w:p>
    <w:p>
      <w:pPr>
        <w:pStyle w:val="Heading1"/>
      </w:pPr>
      <w:r>
        <w:t>Capitulo 5: Analisis econometrico VAR/VECM</w:t>
      </w:r>
    </w:p>
    <w:p>
      <w:pPr>
        <w:pStyle w:val="Heading2"/>
      </w:pPr>
      <w:r>
        <w:t>5.1 Del MES al VAR: motivacion metodologica</w:t>
      </w:r>
    </w:p>
    <w:p>
      <w:pPr/>
      <w:r>
        <w:rPr>
          <w:rFonts w:ascii="Times New Roman" w:hAnsi="Times New Roman" w:cs="Times New Roman"/>
          <w:rFonts w:ascii="Times New Roman" w:hAnsi="Times New Roman"/>
          <w:b w:val="0"/>
          <w:i w:val="0"/>
          <w:sz w:val="24"/>
        </w:rPr>
        <w:t xml:space="preserve">La eleccion del VECM como nucleo del analisis responde a la evolucion descrita en los capitulos anteriores. El VAR propuesto por Sims (1980) trata todas las variables del sistema como igualmente endogenas. Cuando las variables son no estacionarias y cointegradas, la extension natural es el </w:t>
      </w:r>
      <w:r>
        <w:rPr>
          <w:rFonts w:ascii="Times New Roman" w:hAnsi="Times New Roman" w:cs="Times New Roman"/>
          <w:rFonts w:ascii="Times New Roman" w:hAnsi="Times New Roman"/>
          <w:b/>
          <w:i w:val="0"/>
          <w:sz w:val="24"/>
        </w:rPr>
        <w:t>VECM</w:t>
      </w:r>
      <w:r>
        <w:rPr>
          <w:rFonts w:ascii="Times New Roman" w:hAnsi="Times New Roman" w:cs="Times New Roman"/>
          <w:rFonts w:ascii="Times New Roman" w:hAnsi="Times New Roman"/>
          <w:b w:val="0"/>
          <w:i w:val="0"/>
          <w:sz w:val="24"/>
        </w:rPr>
        <w:t>, que distingue las relaciones de largo plazo (vector de cointegracion) de las dinamicas de ajuste de corto plazo (coeficientes Gamma). Esta distincion es central para entender el comportamiento del oro.</w:t>
      </w:r>
    </w:p>
    <w:p>
      <w:pPr>
        <w:pStyle w:val="Heading2"/>
      </w:pPr>
      <w:r>
        <w:t>5.2 Tests de raiz unitaria</w:t>
      </w:r>
    </w:p>
    <w:p>
      <w:pPr/>
      <w:r>
        <w:rPr>
          <w:rFonts w:ascii="Times New Roman" w:hAnsi="Times New Roman" w:cs="Times New Roman"/>
          <w:rFonts w:ascii="Times New Roman" w:hAnsi="Times New Roman"/>
          <w:b w:val="0"/>
          <w:i w:val="0"/>
          <w:sz w:val="24"/>
        </w:rPr>
        <w:t xml:space="preserve">Se aplican sistematicamente el test </w:t>
      </w:r>
      <w:r>
        <w:rPr>
          <w:rFonts w:ascii="Times New Roman" w:hAnsi="Times New Roman" w:cs="Times New Roman"/>
          <w:rFonts w:ascii="Times New Roman" w:hAnsi="Times New Roman"/>
          <w:b/>
          <w:i w:val="0"/>
          <w:sz w:val="24"/>
        </w:rPr>
        <w:t>ADF</w:t>
      </w:r>
      <w:r>
        <w:rPr>
          <w:rFonts w:ascii="Times New Roman" w:hAnsi="Times New Roman" w:cs="Times New Roman"/>
          <w:rFonts w:ascii="Times New Roman" w:hAnsi="Times New Roman"/>
          <w:b w:val="0"/>
          <w:i w:val="0"/>
          <w:sz w:val="24"/>
        </w:rPr>
        <w:t xml:space="preserve"> (H0: raiz unitaria) y el </w:t>
      </w:r>
      <w:r>
        <w:rPr>
          <w:rFonts w:ascii="Times New Roman" w:hAnsi="Times New Roman" w:cs="Times New Roman"/>
          <w:rFonts w:ascii="Times New Roman" w:hAnsi="Times New Roman"/>
          <w:b/>
          <w:i w:val="0"/>
          <w:sz w:val="24"/>
        </w:rPr>
        <w:t>KPSS</w:t>
      </w:r>
      <w:r>
        <w:rPr>
          <w:rFonts w:ascii="Times New Roman" w:hAnsi="Times New Roman" w:cs="Times New Roman"/>
          <w:rFonts w:ascii="Times New Roman" w:hAnsi="Times New Roman"/>
          <w:b w:val="0"/>
          <w:i w:val="0"/>
          <w:sz w:val="24"/>
        </w:rPr>
        <w:t xml:space="preserve"> (H0: estacionariedad). Se clasifica como I(1) si ADF no rechaza H0 y KPSS rechaza H0.</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jc w:val="center"/>
            </w:pPr>
            <w:r/>
            <w:r>
              <w:rPr>
                <w:rFonts w:ascii="Times New Roman" w:hAnsi="Times New Roman" w:cs="Times New Roman"/>
                <w:rFonts w:ascii="Times New Roman" w:hAnsi="Times New Roman"/>
                <w:b/>
                <w:i w:val="0"/>
                <w:sz w:val="20"/>
              </w:rPr>
              <w:t>Variable</w:t>
            </w:r>
          </w:p>
        </w:tc>
        <w:tc>
          <w:tcPr>
            <w:tcW w:type="dxa" w:w="1701"/>
          </w:tcPr>
          <w:p>
            <w:pPr>
              <w:spacing w:line="240" w:lineRule="auto"/>
              <w:jc w:val="center"/>
            </w:pPr>
            <w:r/>
            <w:r>
              <w:rPr>
                <w:rFonts w:ascii="Times New Roman" w:hAnsi="Times New Roman" w:cs="Times New Roman"/>
                <w:rFonts w:ascii="Times New Roman" w:hAnsi="Times New Roman"/>
                <w:b/>
                <w:i w:val="0"/>
                <w:sz w:val="20"/>
              </w:rPr>
              <w:t>ADF p-valor</w:t>
            </w:r>
          </w:p>
        </w:tc>
        <w:tc>
          <w:tcPr>
            <w:tcW w:type="dxa" w:w="1701"/>
          </w:tcPr>
          <w:p>
            <w:pPr>
              <w:spacing w:line="240" w:lineRule="auto"/>
              <w:jc w:val="center"/>
            </w:pPr>
            <w:r/>
            <w:r>
              <w:rPr>
                <w:rFonts w:ascii="Times New Roman" w:hAnsi="Times New Roman" w:cs="Times New Roman"/>
                <w:rFonts w:ascii="Times New Roman" w:hAnsi="Times New Roman"/>
                <w:b/>
                <w:i w:val="0"/>
                <w:sz w:val="20"/>
              </w:rPr>
              <w:t>KPSS estadist.</w:t>
            </w:r>
          </w:p>
        </w:tc>
        <w:tc>
          <w:tcPr>
            <w:tcW w:type="dxa" w:w="1701"/>
          </w:tcPr>
          <w:p>
            <w:pPr>
              <w:spacing w:line="240" w:lineRule="auto"/>
              <w:jc w:val="center"/>
            </w:pPr>
            <w:r/>
            <w:r>
              <w:rPr>
                <w:rFonts w:ascii="Times New Roman" w:hAnsi="Times New Roman" w:cs="Times New Roman"/>
                <w:rFonts w:ascii="Times New Roman" w:hAnsi="Times New Roman"/>
                <w:b/>
                <w:i w:val="0"/>
                <w:sz w:val="20"/>
              </w:rPr>
              <w:t>Decision</w:t>
            </w:r>
          </w:p>
        </w:tc>
        <w:tc>
          <w:tcPr>
            <w:tcW w:type="dxa" w:w="1701"/>
          </w:tcPr>
          <w:p>
            <w:pPr>
              <w:spacing w:line="240" w:lineRule="auto"/>
              <w:jc w:val="center"/>
            </w:pPr>
            <w:r/>
            <w:r>
              <w:rPr>
                <w:rFonts w:ascii="Times New Roman" w:hAnsi="Times New Roman" w:cs="Times New Roman"/>
                <w:rFonts w:ascii="Times New Roman" w:hAnsi="Times New Roman"/>
                <w:b/>
                <w:i w:val="0"/>
                <w:sz w:val="20"/>
              </w:rPr>
              <w:t>ADF en Delta (p-valor)</w:t>
            </w:r>
          </w:p>
        </w:tc>
      </w:tr>
      <w:tr>
        <w:tc>
          <w:tcPr>
            <w:tcW w:type="dxa" w:w="1701"/>
          </w:tcPr>
          <w:p>
            <w:pPr>
              <w:spacing w:line="240" w:lineRule="auto"/>
            </w:pPr>
            <w:r/>
            <w:r>
              <w:rPr>
                <w:rFonts w:ascii="Times New Roman" w:hAnsi="Times New Roman" w:cs="Times New Roman"/>
                <w:rFonts w:ascii="Times New Roman" w:hAnsi="Times New Roman"/>
                <w:b w:val="0"/>
                <w:i w:val="0"/>
                <w:sz w:val="20"/>
              </w:rPr>
              <w:t>ln(Oro)</w:t>
            </w:r>
          </w:p>
        </w:tc>
        <w:tc>
          <w:tcPr>
            <w:tcW w:type="dxa" w:w="1701"/>
          </w:tcPr>
          <w:p>
            <w:pPr>
              <w:spacing w:line="240" w:lineRule="auto"/>
            </w:pPr>
            <w:r/>
            <w:r>
              <w:rPr>
                <w:rFonts w:ascii="Times New Roman" w:hAnsi="Times New Roman" w:cs="Times New Roman"/>
                <w:rFonts w:ascii="Times New Roman" w:hAnsi="Times New Roman"/>
                <w:b w:val="0"/>
                <w:i w:val="0"/>
                <w:sz w:val="20"/>
              </w:rPr>
              <w:t>0,998</w:t>
            </w:r>
          </w:p>
        </w:tc>
        <w:tc>
          <w:tcPr>
            <w:tcW w:type="dxa" w:w="1701"/>
          </w:tcPr>
          <w:p>
            <w:pPr>
              <w:spacing w:line="240" w:lineRule="auto"/>
            </w:pPr>
            <w:r/>
            <w:r>
              <w:rPr>
                <w:rFonts w:ascii="Times New Roman" w:hAnsi="Times New Roman" w:cs="Times New Roman"/>
                <w:rFonts w:ascii="Times New Roman" w:hAnsi="Times New Roman"/>
                <w:b w:val="0"/>
                <w:i w:val="0"/>
                <w:sz w:val="20"/>
              </w:rPr>
              <w:t>0,812**</w:t>
            </w:r>
          </w:p>
        </w:tc>
        <w:tc>
          <w:tcPr>
            <w:tcW w:type="dxa" w:w="1701"/>
          </w:tcPr>
          <w:p>
            <w:pPr>
              <w:spacing w:line="240" w:lineRule="auto"/>
            </w:pPr>
            <w:r/>
            <w:r>
              <w:rPr>
                <w:rFonts w:ascii="Times New Roman" w:hAnsi="Times New Roman" w:cs="Times New Roman"/>
                <w:rFonts w:ascii="Times New Roman" w:hAnsi="Times New Roman"/>
                <w:b w:val="0"/>
                <w:i w:val="0"/>
                <w:sz w:val="20"/>
              </w:rPr>
              <w:t>I(1)</w:t>
            </w:r>
          </w:p>
        </w:tc>
        <w:tc>
          <w:tcPr>
            <w:tcW w:type="dxa" w:w="1701"/>
          </w:tcPr>
          <w:p>
            <w:pPr>
              <w:spacing w:line="240" w:lineRule="auto"/>
            </w:pPr>
            <w:r/>
            <w:r>
              <w:rPr>
                <w:rFonts w:ascii="Times New Roman" w:hAnsi="Times New Roman" w:cs="Times New Roman"/>
                <w:rFonts w:ascii="Times New Roman" w:hAnsi="Times New Roman"/>
                <w:b w:val="0"/>
                <w:i w:val="0"/>
                <w:sz w:val="20"/>
              </w:rPr>
              <w:t>&lt; 0,001</w:t>
            </w:r>
          </w:p>
        </w:tc>
      </w:tr>
      <w:tr>
        <w:tc>
          <w:tcPr>
            <w:tcW w:type="dxa" w:w="1701"/>
          </w:tcPr>
          <w:p>
            <w:pPr>
              <w:spacing w:line="240" w:lineRule="auto"/>
            </w:pPr>
            <w:r/>
            <w:r>
              <w:rPr>
                <w:rFonts w:ascii="Times New Roman" w:hAnsi="Times New Roman" w:cs="Times New Roman"/>
                <w:rFonts w:ascii="Times New Roman" w:hAnsi="Times New Roman"/>
                <w:b w:val="0"/>
                <w:i w:val="0"/>
                <w:sz w:val="20"/>
              </w:rPr>
              <w:t>ln(DXY)</w:t>
            </w:r>
          </w:p>
        </w:tc>
        <w:tc>
          <w:tcPr>
            <w:tcW w:type="dxa" w:w="1701"/>
          </w:tcPr>
          <w:p>
            <w:pPr>
              <w:spacing w:line="240" w:lineRule="auto"/>
            </w:pPr>
            <w:r/>
            <w:r>
              <w:rPr>
                <w:rFonts w:ascii="Times New Roman" w:hAnsi="Times New Roman" w:cs="Times New Roman"/>
                <w:rFonts w:ascii="Times New Roman" w:hAnsi="Times New Roman"/>
                <w:b w:val="0"/>
                <w:i w:val="0"/>
                <w:sz w:val="20"/>
              </w:rPr>
              <w:t>0,693</w:t>
            </w:r>
          </w:p>
        </w:tc>
        <w:tc>
          <w:tcPr>
            <w:tcW w:type="dxa" w:w="1701"/>
          </w:tcPr>
          <w:p>
            <w:pPr>
              <w:spacing w:line="240" w:lineRule="auto"/>
            </w:pPr>
            <w:r/>
            <w:r>
              <w:rPr>
                <w:rFonts w:ascii="Times New Roman" w:hAnsi="Times New Roman" w:cs="Times New Roman"/>
                <w:rFonts w:ascii="Times New Roman" w:hAnsi="Times New Roman"/>
                <w:b w:val="0"/>
                <w:i w:val="0"/>
                <w:sz w:val="20"/>
              </w:rPr>
              <w:t>0,634**</w:t>
            </w:r>
          </w:p>
        </w:tc>
        <w:tc>
          <w:tcPr>
            <w:tcW w:type="dxa" w:w="1701"/>
          </w:tcPr>
          <w:p>
            <w:pPr>
              <w:spacing w:line="240" w:lineRule="auto"/>
            </w:pPr>
            <w:r/>
            <w:r>
              <w:rPr>
                <w:rFonts w:ascii="Times New Roman" w:hAnsi="Times New Roman" w:cs="Times New Roman"/>
                <w:rFonts w:ascii="Times New Roman" w:hAnsi="Times New Roman"/>
                <w:b w:val="0"/>
                <w:i w:val="0"/>
                <w:sz w:val="20"/>
              </w:rPr>
              <w:t>I(1)</w:t>
            </w:r>
          </w:p>
        </w:tc>
        <w:tc>
          <w:tcPr>
            <w:tcW w:type="dxa" w:w="1701"/>
          </w:tcPr>
          <w:p>
            <w:pPr>
              <w:spacing w:line="240" w:lineRule="auto"/>
            </w:pPr>
            <w:r/>
            <w:r>
              <w:rPr>
                <w:rFonts w:ascii="Times New Roman" w:hAnsi="Times New Roman" w:cs="Times New Roman"/>
                <w:rFonts w:ascii="Times New Roman" w:hAnsi="Times New Roman"/>
                <w:b w:val="0"/>
                <w:i w:val="0"/>
                <w:sz w:val="20"/>
              </w:rPr>
              <w:t>&lt; 0,001</w:t>
            </w:r>
          </w:p>
        </w:tc>
      </w:tr>
      <w:tr>
        <w:tc>
          <w:tcPr>
            <w:tcW w:type="dxa" w:w="1701"/>
          </w:tcPr>
          <w:p>
            <w:pPr>
              <w:spacing w:line="240" w:lineRule="auto"/>
            </w:pPr>
            <w:r/>
            <w:r>
              <w:rPr>
                <w:rFonts w:ascii="Times New Roman" w:hAnsi="Times New Roman" w:cs="Times New Roman"/>
                <w:rFonts w:ascii="Times New Roman" w:hAnsi="Times New Roman"/>
                <w:b w:val="0"/>
                <w:i w:val="0"/>
                <w:sz w:val="20"/>
              </w:rPr>
              <w:t>TIPS 10Y</w:t>
            </w:r>
          </w:p>
        </w:tc>
        <w:tc>
          <w:tcPr>
            <w:tcW w:type="dxa" w:w="1701"/>
          </w:tcPr>
          <w:p>
            <w:pPr>
              <w:spacing w:line="240" w:lineRule="auto"/>
            </w:pPr>
            <w:r/>
            <w:r>
              <w:rPr>
                <w:rFonts w:ascii="Times New Roman" w:hAnsi="Times New Roman" w:cs="Times New Roman"/>
                <w:rFonts w:ascii="Times New Roman" w:hAnsi="Times New Roman"/>
                <w:b w:val="0"/>
                <w:i w:val="0"/>
                <w:sz w:val="20"/>
              </w:rPr>
              <w:t>0,333</w:t>
            </w:r>
          </w:p>
        </w:tc>
        <w:tc>
          <w:tcPr>
            <w:tcW w:type="dxa" w:w="1701"/>
          </w:tcPr>
          <w:p>
            <w:pPr>
              <w:spacing w:line="240" w:lineRule="auto"/>
            </w:pPr>
            <w:r/>
            <w:r>
              <w:rPr>
                <w:rFonts w:ascii="Times New Roman" w:hAnsi="Times New Roman" w:cs="Times New Roman"/>
                <w:rFonts w:ascii="Times New Roman" w:hAnsi="Times New Roman"/>
                <w:b w:val="0"/>
                <w:i w:val="0"/>
                <w:sz w:val="20"/>
              </w:rPr>
              <w:t>0,721**</w:t>
            </w:r>
          </w:p>
        </w:tc>
        <w:tc>
          <w:tcPr>
            <w:tcW w:type="dxa" w:w="1701"/>
          </w:tcPr>
          <w:p>
            <w:pPr>
              <w:spacing w:line="240" w:lineRule="auto"/>
            </w:pPr>
            <w:r/>
            <w:r>
              <w:rPr>
                <w:rFonts w:ascii="Times New Roman" w:hAnsi="Times New Roman" w:cs="Times New Roman"/>
                <w:rFonts w:ascii="Times New Roman" w:hAnsi="Times New Roman"/>
                <w:b w:val="0"/>
                <w:i w:val="0"/>
                <w:sz w:val="20"/>
              </w:rPr>
              <w:t>I(1)</w:t>
            </w:r>
          </w:p>
        </w:tc>
        <w:tc>
          <w:tcPr>
            <w:tcW w:type="dxa" w:w="1701"/>
          </w:tcPr>
          <w:p>
            <w:pPr>
              <w:spacing w:line="240" w:lineRule="auto"/>
            </w:pPr>
            <w:r/>
            <w:r>
              <w:rPr>
                <w:rFonts w:ascii="Times New Roman" w:hAnsi="Times New Roman" w:cs="Times New Roman"/>
                <w:rFonts w:ascii="Times New Roman" w:hAnsi="Times New Roman"/>
                <w:b w:val="0"/>
                <w:i w:val="0"/>
                <w:sz w:val="20"/>
              </w:rPr>
              <w:t>&lt; 0,001</w:t>
            </w:r>
          </w:p>
        </w:tc>
      </w:tr>
      <w:tr>
        <w:tc>
          <w:tcPr>
            <w:tcW w:type="dxa" w:w="1701"/>
          </w:tcPr>
          <w:p>
            <w:pPr>
              <w:spacing w:line="240" w:lineRule="auto"/>
            </w:pPr>
            <w:r/>
            <w:r>
              <w:rPr>
                <w:rFonts w:ascii="Times New Roman" w:hAnsi="Times New Roman" w:cs="Times New Roman"/>
                <w:rFonts w:ascii="Times New Roman" w:hAnsi="Times New Roman"/>
                <w:b w:val="0"/>
                <w:i w:val="0"/>
                <w:sz w:val="20"/>
              </w:rPr>
              <w:t>ln(S&amp;P 500)</w:t>
            </w:r>
          </w:p>
        </w:tc>
        <w:tc>
          <w:tcPr>
            <w:tcW w:type="dxa" w:w="1701"/>
          </w:tcPr>
          <w:p>
            <w:pPr>
              <w:spacing w:line="240" w:lineRule="auto"/>
            </w:pPr>
            <w:r/>
            <w:r>
              <w:rPr>
                <w:rFonts w:ascii="Times New Roman" w:hAnsi="Times New Roman" w:cs="Times New Roman"/>
                <w:rFonts w:ascii="Times New Roman" w:hAnsi="Times New Roman"/>
                <w:b w:val="0"/>
                <w:i w:val="0"/>
                <w:sz w:val="20"/>
              </w:rPr>
              <w:t>1,000</w:t>
            </w:r>
          </w:p>
        </w:tc>
        <w:tc>
          <w:tcPr>
            <w:tcW w:type="dxa" w:w="1701"/>
          </w:tcPr>
          <w:p>
            <w:pPr>
              <w:spacing w:line="240" w:lineRule="auto"/>
            </w:pPr>
            <w:r/>
            <w:r>
              <w:rPr>
                <w:rFonts w:ascii="Times New Roman" w:hAnsi="Times New Roman" w:cs="Times New Roman"/>
                <w:rFonts w:ascii="Times New Roman" w:hAnsi="Times New Roman"/>
                <w:b w:val="0"/>
                <w:i w:val="0"/>
                <w:sz w:val="20"/>
              </w:rPr>
              <w:t>0,903**</w:t>
            </w:r>
          </w:p>
        </w:tc>
        <w:tc>
          <w:tcPr>
            <w:tcW w:type="dxa" w:w="1701"/>
          </w:tcPr>
          <w:p>
            <w:pPr>
              <w:spacing w:line="240" w:lineRule="auto"/>
            </w:pPr>
            <w:r/>
            <w:r>
              <w:rPr>
                <w:rFonts w:ascii="Times New Roman" w:hAnsi="Times New Roman" w:cs="Times New Roman"/>
                <w:rFonts w:ascii="Times New Roman" w:hAnsi="Times New Roman"/>
                <w:b w:val="0"/>
                <w:i w:val="0"/>
                <w:sz w:val="20"/>
              </w:rPr>
              <w:t>I(1)</w:t>
            </w:r>
          </w:p>
        </w:tc>
        <w:tc>
          <w:tcPr>
            <w:tcW w:type="dxa" w:w="1701"/>
          </w:tcPr>
          <w:p>
            <w:pPr>
              <w:spacing w:line="240" w:lineRule="auto"/>
            </w:pPr>
            <w:r/>
            <w:r>
              <w:rPr>
                <w:rFonts w:ascii="Times New Roman" w:hAnsi="Times New Roman" w:cs="Times New Roman"/>
                <w:rFonts w:ascii="Times New Roman" w:hAnsi="Times New Roman"/>
                <w:b w:val="0"/>
                <w:i w:val="0"/>
                <w:sz w:val="20"/>
              </w:rPr>
              <w:t>&lt; 0,001</w:t>
            </w:r>
          </w:p>
        </w:tc>
      </w:tr>
      <w:tr>
        <w:tc>
          <w:tcPr>
            <w:tcW w:type="dxa" w:w="1701"/>
          </w:tcPr>
          <w:p>
            <w:pPr>
              <w:spacing w:line="240" w:lineRule="auto"/>
            </w:pPr>
            <w:r/>
            <w:r>
              <w:rPr>
                <w:rFonts w:ascii="Times New Roman" w:hAnsi="Times New Roman" w:cs="Times New Roman"/>
                <w:rFonts w:ascii="Times New Roman" w:hAnsi="Times New Roman"/>
                <w:b w:val="0"/>
                <w:i w:val="0"/>
                <w:sz w:val="20"/>
              </w:rPr>
              <w:t>IPC (YoY)</w:t>
            </w:r>
          </w:p>
        </w:tc>
        <w:tc>
          <w:tcPr>
            <w:tcW w:type="dxa" w:w="1701"/>
          </w:tcPr>
          <w:p>
            <w:pPr>
              <w:spacing w:line="240" w:lineRule="auto"/>
            </w:pPr>
            <w:r/>
            <w:r>
              <w:rPr>
                <w:rFonts w:ascii="Times New Roman" w:hAnsi="Times New Roman" w:cs="Times New Roman"/>
                <w:rFonts w:ascii="Times New Roman" w:hAnsi="Times New Roman"/>
                <w:b w:val="0"/>
                <w:i w:val="0"/>
                <w:sz w:val="20"/>
              </w:rPr>
              <w:t>0,036*</w:t>
            </w:r>
          </w:p>
        </w:tc>
        <w:tc>
          <w:tcPr>
            <w:tcW w:type="dxa" w:w="1701"/>
          </w:tcPr>
          <w:p>
            <w:pPr>
              <w:spacing w:line="240" w:lineRule="auto"/>
            </w:pPr>
            <w:r/>
            <w:r>
              <w:rPr>
                <w:rFonts w:ascii="Times New Roman" w:hAnsi="Times New Roman" w:cs="Times New Roman"/>
                <w:rFonts w:ascii="Times New Roman" w:hAnsi="Times New Roman"/>
                <w:b w:val="0"/>
                <w:i w:val="0"/>
                <w:sz w:val="20"/>
              </w:rPr>
              <w:t>0,220</w:t>
            </w:r>
          </w:p>
        </w:tc>
        <w:tc>
          <w:tcPr>
            <w:tcW w:type="dxa" w:w="1701"/>
          </w:tcPr>
          <w:p>
            <w:pPr>
              <w:spacing w:line="240" w:lineRule="auto"/>
            </w:pPr>
            <w:r/>
            <w:r>
              <w:rPr>
                <w:rFonts w:ascii="Times New Roman" w:hAnsi="Times New Roman" w:cs="Times New Roman"/>
                <w:rFonts w:ascii="Times New Roman" w:hAnsi="Times New Roman"/>
                <w:b w:val="0"/>
                <w:i w:val="0"/>
                <w:sz w:val="20"/>
              </w:rPr>
              <w:t>I(0)</w:t>
            </w:r>
          </w:p>
        </w:tc>
        <w:tc>
          <w:tcPr>
            <w:tcW w:type="dxa" w:w="1701"/>
          </w:tcPr>
          <w:p>
            <w:pPr>
              <w:spacing w:line="240" w:lineRule="auto"/>
            </w:pPr>
            <w:r/>
            <w:r>
              <w:rPr>
                <w:rFonts w:ascii="Times New Roman" w:hAnsi="Times New Roman" w:cs="Times New Roman"/>
                <w:rFonts w:ascii="Times New Roman" w:hAnsi="Times New Roman"/>
                <w:b w:val="0"/>
                <w:i w:val="0"/>
                <w:sz w:val="20"/>
              </w:rPr>
              <w:t>--</w:t>
            </w:r>
          </w:p>
        </w:tc>
      </w:tr>
      <w:tr>
        <w:tc>
          <w:tcPr>
            <w:tcW w:type="dxa" w:w="1701"/>
          </w:tcPr>
          <w:p>
            <w:pPr>
              <w:spacing w:line="240" w:lineRule="auto"/>
            </w:pPr>
            <w:r/>
            <w:r>
              <w:rPr>
                <w:rFonts w:ascii="Times New Roman" w:hAnsi="Times New Roman" w:cs="Times New Roman"/>
                <w:rFonts w:ascii="Times New Roman" w:hAnsi="Times New Roman"/>
                <w:b w:val="0"/>
                <w:i w:val="0"/>
                <w:sz w:val="20"/>
              </w:rPr>
              <w:t>Breakeven</w:t>
            </w:r>
          </w:p>
        </w:tc>
        <w:tc>
          <w:tcPr>
            <w:tcW w:type="dxa" w:w="1701"/>
          </w:tcPr>
          <w:p>
            <w:pPr>
              <w:spacing w:line="240" w:lineRule="auto"/>
            </w:pPr>
            <w:r/>
            <w:r>
              <w:rPr>
                <w:rFonts w:ascii="Times New Roman" w:hAnsi="Times New Roman" w:cs="Times New Roman"/>
                <w:rFonts w:ascii="Times New Roman" w:hAnsi="Times New Roman"/>
                <w:b w:val="0"/>
                <w:i w:val="0"/>
                <w:sz w:val="20"/>
              </w:rPr>
              <w:t>0,002**</w:t>
            </w:r>
          </w:p>
        </w:tc>
        <w:tc>
          <w:tcPr>
            <w:tcW w:type="dxa" w:w="1701"/>
          </w:tcPr>
          <w:p>
            <w:pPr>
              <w:spacing w:line="240" w:lineRule="auto"/>
            </w:pPr>
            <w:r/>
            <w:r>
              <w:rPr>
                <w:rFonts w:ascii="Times New Roman" w:hAnsi="Times New Roman" w:cs="Times New Roman"/>
                <w:rFonts w:ascii="Times New Roman" w:hAnsi="Times New Roman"/>
                <w:b w:val="0"/>
                <w:i w:val="0"/>
                <w:sz w:val="20"/>
              </w:rPr>
              <w:t>0,183</w:t>
            </w:r>
          </w:p>
        </w:tc>
        <w:tc>
          <w:tcPr>
            <w:tcW w:type="dxa" w:w="1701"/>
          </w:tcPr>
          <w:p>
            <w:pPr>
              <w:spacing w:line="240" w:lineRule="auto"/>
            </w:pPr>
            <w:r/>
            <w:r>
              <w:rPr>
                <w:rFonts w:ascii="Times New Roman" w:hAnsi="Times New Roman" w:cs="Times New Roman"/>
                <w:rFonts w:ascii="Times New Roman" w:hAnsi="Times New Roman"/>
                <w:b w:val="0"/>
                <w:i w:val="0"/>
                <w:sz w:val="20"/>
              </w:rPr>
              <w:t>I(0)</w:t>
            </w:r>
          </w:p>
        </w:tc>
        <w:tc>
          <w:tcPr>
            <w:tcW w:type="dxa" w:w="1701"/>
          </w:tcPr>
          <w:p>
            <w:pPr>
              <w:spacing w:line="240" w:lineRule="auto"/>
            </w:pPr>
            <w:r/>
            <w:r>
              <w:rPr>
                <w:rFonts w:ascii="Times New Roman" w:hAnsi="Times New Roman" w:cs="Times New Roman"/>
                <w:rFonts w:ascii="Times New Roman" w:hAnsi="Times New Roman"/>
                <w:b w:val="0"/>
                <w:i w:val="0"/>
                <w:sz w:val="20"/>
              </w:rPr>
              <w:t>--</w:t>
            </w:r>
          </w:p>
        </w:tc>
      </w:tr>
      <w:tr>
        <w:tc>
          <w:tcPr>
            <w:tcW w:type="dxa" w:w="1701"/>
          </w:tcPr>
          <w:p>
            <w:pPr>
              <w:spacing w:line="240" w:lineRule="auto"/>
            </w:pPr>
            <w:r/>
            <w:r>
              <w:rPr>
                <w:rFonts w:ascii="Times New Roman" w:hAnsi="Times New Roman" w:cs="Times New Roman"/>
                <w:rFonts w:ascii="Times New Roman" w:hAnsi="Times New Roman"/>
                <w:b w:val="0"/>
                <w:i w:val="0"/>
                <w:sz w:val="20"/>
              </w:rPr>
              <w:t>VIX</w:t>
            </w:r>
          </w:p>
        </w:tc>
        <w:tc>
          <w:tcPr>
            <w:tcW w:type="dxa" w:w="1701"/>
          </w:tcPr>
          <w:p>
            <w:pPr>
              <w:spacing w:line="240" w:lineRule="auto"/>
            </w:pPr>
            <w:r/>
            <w:r>
              <w:rPr>
                <w:rFonts w:ascii="Times New Roman" w:hAnsi="Times New Roman" w:cs="Times New Roman"/>
                <w:rFonts w:ascii="Times New Roman" w:hAnsi="Times New Roman"/>
                <w:b w:val="0"/>
                <w:i w:val="0"/>
                <w:sz w:val="20"/>
              </w:rPr>
              <w:t>0,0002**</w:t>
            </w:r>
          </w:p>
        </w:tc>
        <w:tc>
          <w:tcPr>
            <w:tcW w:type="dxa" w:w="1701"/>
          </w:tcPr>
          <w:p>
            <w:pPr>
              <w:spacing w:line="240" w:lineRule="auto"/>
            </w:pPr>
            <w:r/>
            <w:r>
              <w:rPr>
                <w:rFonts w:ascii="Times New Roman" w:hAnsi="Times New Roman" w:cs="Times New Roman"/>
                <w:rFonts w:ascii="Times New Roman" w:hAnsi="Times New Roman"/>
                <w:b w:val="0"/>
                <w:i w:val="0"/>
                <w:sz w:val="20"/>
              </w:rPr>
              <w:t>0,101</w:t>
            </w:r>
          </w:p>
        </w:tc>
        <w:tc>
          <w:tcPr>
            <w:tcW w:type="dxa" w:w="1701"/>
          </w:tcPr>
          <w:p>
            <w:pPr>
              <w:spacing w:line="240" w:lineRule="auto"/>
            </w:pPr>
            <w:r/>
            <w:r>
              <w:rPr>
                <w:rFonts w:ascii="Times New Roman" w:hAnsi="Times New Roman" w:cs="Times New Roman"/>
                <w:rFonts w:ascii="Times New Roman" w:hAnsi="Times New Roman"/>
                <w:b w:val="0"/>
                <w:i w:val="0"/>
                <w:sz w:val="20"/>
              </w:rPr>
              <w:t>I(0)</w:t>
            </w:r>
          </w:p>
        </w:tc>
        <w:tc>
          <w:tcPr>
            <w:tcW w:type="dxa" w:w="1701"/>
          </w:tcPr>
          <w:p>
            <w:pPr>
              <w:spacing w:line="240" w:lineRule="auto"/>
            </w:pPr>
            <w:r/>
            <w:r>
              <w:rPr>
                <w:rFonts w:ascii="Times New Roman" w:hAnsi="Times New Roman" w:cs="Times New Roman"/>
                <w:rFonts w:ascii="Times New Roman" w:hAnsi="Times New Roman"/>
                <w:b w:val="0"/>
                <w:i w:val="0"/>
                <w:sz w:val="20"/>
              </w:rPr>
              <w:t>--</w:t>
            </w:r>
          </w:p>
        </w:tc>
      </w:tr>
    </w:tbl>
    <w:p/>
    <w:p>
      <w:pPr/>
      <w:r>
        <w:rPr>
          <w:rFonts w:ascii="Times New Roman" w:hAnsi="Times New Roman" w:cs="Times New Roman"/>
          <w:rFonts w:ascii="Times New Roman" w:hAnsi="Times New Roman"/>
          <w:b w:val="0"/>
          <w:i w:val="0"/>
          <w:sz w:val="24"/>
        </w:rPr>
        <w:t xml:space="preserve">Nota: </w:t>
      </w:r>
      <w:r>
        <w:rPr>
          <w:rFonts w:ascii="Times New Roman" w:hAnsi="Times New Roman" w:cs="Times New Roman"/>
          <w:rFonts w:ascii="Times New Roman" w:hAnsi="Times New Roman"/>
          <w:b w:val="0"/>
          <w:i/>
          <w:sz w:val="24"/>
        </w:rPr>
        <w:t xml:space="preserve"> p &lt; 0,05; </w:t>
      </w:r>
      <w:r>
        <w:rPr>
          <w:rFonts w:ascii="Times New Roman" w:hAnsi="Times New Roman" w:cs="Times New Roman"/>
          <w:rFonts w:ascii="Times New Roman" w:hAnsi="Times New Roman"/>
          <w:b w:val="0"/>
          <w:i w:val="0"/>
          <w:sz w:val="24"/>
        </w:rPr>
        <w:t>* p &lt; 0,01. V.C. KPSS al 5% = 0,463.</w:t>
      </w:r>
    </w:p>
    <w:p>
      <w:pPr/>
      <w:r>
        <w:rPr>
          <w:rFonts w:ascii="Times New Roman" w:hAnsi="Times New Roman" w:cs="Times New Roman"/>
          <w:rFonts w:ascii="Times New Roman" w:hAnsi="Times New Roman"/>
          <w:b w:val="0"/>
          <w:i w:val="0"/>
          <w:sz w:val="24"/>
        </w:rPr>
        <w:t xml:space="preserve">El precio del oro, DXY, TIPS y S&amp;P 500 son </w:t>
      </w:r>
      <w:r>
        <w:rPr>
          <w:rFonts w:ascii="Times New Roman" w:hAnsi="Times New Roman" w:cs="Times New Roman"/>
          <w:rFonts w:ascii="Times New Roman" w:hAnsi="Times New Roman"/>
          <w:b/>
          <w:i w:val="0"/>
          <w:sz w:val="24"/>
        </w:rPr>
        <w:t>I(1)</w:t>
      </w:r>
      <w:r>
        <w:rPr>
          <w:rFonts w:ascii="Times New Roman" w:hAnsi="Times New Roman" w:cs="Times New Roman"/>
          <w:rFonts w:ascii="Times New Roman" w:hAnsi="Times New Roman"/>
          <w:b w:val="0"/>
          <w:i w:val="0"/>
          <w:sz w:val="24"/>
        </w:rPr>
        <w:t>. El IPC interanual, el breakeven y el VIX son I(0) y se tratan como variables exogenas.</w:t>
      </w:r>
    </w:p>
    <w:p>
      <w:pPr>
        <w:pStyle w:val="Heading2"/>
      </w:pPr>
      <w:r>
        <w:t>5.3 Test de cointegracion de Johansen</w:t>
      </w:r>
    </w:p>
    <w:p>
      <w:pPr/>
      <w:r>
        <w:rPr>
          <w:rFonts w:ascii="Times New Roman" w:hAnsi="Times New Roman" w:cs="Times New Roman"/>
          <w:rFonts w:ascii="Times New Roman" w:hAnsi="Times New Roman"/>
          <w:b w:val="0"/>
          <w:i w:val="0"/>
          <w:sz w:val="24"/>
        </w:rPr>
        <w:t>Con las cuatro variables I(1), se aplica el test de Johansen (1991) al sistema {ln(Oro), ln(DXY), TIPS, ln(S&amp;P 500)}.</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pPr>
              <w:spacing w:line="240" w:lineRule="auto"/>
              <w:jc w:val="center"/>
            </w:pPr>
            <w:r/>
            <w:r>
              <w:rPr>
                <w:rFonts w:ascii="Times New Roman" w:hAnsi="Times New Roman" w:cs="Times New Roman"/>
                <w:rFonts w:ascii="Times New Roman" w:hAnsi="Times New Roman"/>
                <w:b/>
                <w:i w:val="0"/>
                <w:sz w:val="20"/>
              </w:rPr>
              <w:t>Hipotesis nula</w:t>
            </w:r>
          </w:p>
        </w:tc>
        <w:tc>
          <w:tcPr>
            <w:tcW w:type="dxa" w:w="1417"/>
          </w:tcPr>
          <w:p>
            <w:pPr>
              <w:spacing w:line="240" w:lineRule="auto"/>
              <w:jc w:val="center"/>
            </w:pPr>
            <w:r/>
            <w:r>
              <w:rPr>
                <w:rFonts w:ascii="Times New Roman" w:hAnsi="Times New Roman" w:cs="Times New Roman"/>
                <w:rFonts w:ascii="Times New Roman" w:hAnsi="Times New Roman"/>
                <w:b/>
                <w:i w:val="0"/>
                <w:sz w:val="20"/>
              </w:rPr>
              <w:t>Estadist. traza</w:t>
            </w:r>
          </w:p>
        </w:tc>
        <w:tc>
          <w:tcPr>
            <w:tcW w:type="dxa" w:w="1417"/>
          </w:tcPr>
          <w:p>
            <w:pPr>
              <w:spacing w:line="240" w:lineRule="auto"/>
              <w:jc w:val="center"/>
            </w:pPr>
            <w:r/>
            <w:r>
              <w:rPr>
                <w:rFonts w:ascii="Times New Roman" w:hAnsi="Times New Roman" w:cs="Times New Roman"/>
                <w:rFonts w:ascii="Times New Roman" w:hAnsi="Times New Roman"/>
                <w:b/>
                <w:i w:val="0"/>
                <w:sz w:val="20"/>
              </w:rPr>
              <w:t>V.C. 5%</w:t>
            </w:r>
          </w:p>
        </w:tc>
        <w:tc>
          <w:tcPr>
            <w:tcW w:type="dxa" w:w="1417"/>
          </w:tcPr>
          <w:p>
            <w:pPr>
              <w:spacing w:line="240" w:lineRule="auto"/>
              <w:jc w:val="center"/>
            </w:pPr>
            <w:r/>
            <w:r>
              <w:rPr>
                <w:rFonts w:ascii="Times New Roman" w:hAnsi="Times New Roman" w:cs="Times New Roman"/>
                <w:rFonts w:ascii="Times New Roman" w:hAnsi="Times New Roman"/>
                <w:b/>
                <w:i w:val="0"/>
                <w:sz w:val="20"/>
              </w:rPr>
              <w:t>Estadist. max. autovalor</w:t>
            </w:r>
          </w:p>
        </w:tc>
        <w:tc>
          <w:tcPr>
            <w:tcW w:type="dxa" w:w="1417"/>
          </w:tcPr>
          <w:p>
            <w:pPr>
              <w:spacing w:line="240" w:lineRule="auto"/>
              <w:jc w:val="center"/>
            </w:pPr>
            <w:r/>
            <w:r>
              <w:rPr>
                <w:rFonts w:ascii="Times New Roman" w:hAnsi="Times New Roman" w:cs="Times New Roman"/>
                <w:rFonts w:ascii="Times New Roman" w:hAnsi="Times New Roman"/>
                <w:b/>
                <w:i w:val="0"/>
                <w:sz w:val="20"/>
              </w:rPr>
              <w:t>V.C. 5%</w:t>
            </w:r>
          </w:p>
        </w:tc>
        <w:tc>
          <w:tcPr>
            <w:tcW w:type="dxa" w:w="1417"/>
          </w:tcPr>
          <w:p>
            <w:pPr>
              <w:spacing w:line="240" w:lineRule="auto"/>
              <w:jc w:val="center"/>
            </w:pPr>
            <w:r/>
            <w:r>
              <w:rPr>
                <w:rFonts w:ascii="Times New Roman" w:hAnsi="Times New Roman" w:cs="Times New Roman"/>
                <w:rFonts w:ascii="Times New Roman" w:hAnsi="Times New Roman"/>
                <w:b/>
                <w:i w:val="0"/>
                <w:sz w:val="20"/>
              </w:rPr>
              <w:t>Decision</w:t>
            </w:r>
          </w:p>
        </w:tc>
      </w:tr>
      <w:tr>
        <w:tc>
          <w:tcPr>
            <w:tcW w:type="dxa" w:w="1417"/>
          </w:tcPr>
          <w:p>
            <w:pPr>
              <w:spacing w:line="240" w:lineRule="auto"/>
            </w:pPr>
            <w:r/>
            <w:r>
              <w:rPr>
                <w:rFonts w:ascii="Times New Roman" w:hAnsi="Times New Roman" w:cs="Times New Roman"/>
                <w:rFonts w:ascii="Times New Roman" w:hAnsi="Times New Roman"/>
                <w:b w:val="0"/>
                <w:i w:val="0"/>
                <w:sz w:val="20"/>
              </w:rPr>
              <w:t>r &lt;= 0</w:t>
            </w:r>
          </w:p>
        </w:tc>
        <w:tc>
          <w:tcPr>
            <w:tcW w:type="dxa" w:w="1417"/>
          </w:tcPr>
          <w:p>
            <w:pPr>
              <w:spacing w:line="240" w:lineRule="auto"/>
            </w:pPr>
            <w:r/>
            <w:r>
              <w:rPr>
                <w:rFonts w:ascii="Times New Roman" w:hAnsi="Times New Roman" w:cs="Times New Roman"/>
                <w:rFonts w:ascii="Times New Roman" w:hAnsi="Times New Roman"/>
                <w:b w:val="0"/>
                <w:i w:val="0"/>
                <w:sz w:val="20"/>
              </w:rPr>
              <w:t>141,67</w:t>
            </w:r>
          </w:p>
        </w:tc>
        <w:tc>
          <w:tcPr>
            <w:tcW w:type="dxa" w:w="1417"/>
          </w:tcPr>
          <w:p>
            <w:pPr>
              <w:spacing w:line="240" w:lineRule="auto"/>
            </w:pPr>
            <w:r/>
            <w:r>
              <w:rPr>
                <w:rFonts w:ascii="Times New Roman" w:hAnsi="Times New Roman" w:cs="Times New Roman"/>
                <w:rFonts w:ascii="Times New Roman" w:hAnsi="Times New Roman"/>
                <w:b w:val="0"/>
                <w:i w:val="0"/>
                <w:sz w:val="20"/>
              </w:rPr>
              <w:t>69,82</w:t>
            </w:r>
          </w:p>
        </w:tc>
        <w:tc>
          <w:tcPr>
            <w:tcW w:type="dxa" w:w="1417"/>
          </w:tcPr>
          <w:p>
            <w:pPr>
              <w:spacing w:line="240" w:lineRule="auto"/>
            </w:pPr>
            <w:r/>
            <w:r>
              <w:rPr>
                <w:rFonts w:ascii="Times New Roman" w:hAnsi="Times New Roman" w:cs="Times New Roman"/>
                <w:rFonts w:ascii="Times New Roman" w:hAnsi="Times New Roman"/>
                <w:b w:val="0"/>
                <w:i w:val="0"/>
                <w:sz w:val="20"/>
              </w:rPr>
              <w:t>82,89</w:t>
            </w:r>
          </w:p>
        </w:tc>
        <w:tc>
          <w:tcPr>
            <w:tcW w:type="dxa" w:w="1417"/>
          </w:tcPr>
          <w:p>
            <w:pPr>
              <w:spacing w:line="240" w:lineRule="auto"/>
            </w:pPr>
            <w:r/>
            <w:r>
              <w:rPr>
                <w:rFonts w:ascii="Times New Roman" w:hAnsi="Times New Roman" w:cs="Times New Roman"/>
                <w:rFonts w:ascii="Times New Roman" w:hAnsi="Times New Roman"/>
                <w:b w:val="0"/>
                <w:i w:val="0"/>
                <w:sz w:val="20"/>
              </w:rPr>
              <w:t>33,88</w:t>
            </w:r>
          </w:p>
        </w:tc>
        <w:tc>
          <w:tcPr>
            <w:tcW w:type="dxa" w:w="1417"/>
          </w:tcPr>
          <w:p>
            <w:pPr>
              <w:spacing w:line="240" w:lineRule="auto"/>
            </w:pPr>
            <w:r/>
            <w:r>
              <w:rPr>
                <w:rFonts w:ascii="Times New Roman" w:hAnsi="Times New Roman" w:cs="Times New Roman"/>
                <w:rFonts w:ascii="Times New Roman" w:hAnsi="Times New Roman"/>
                <w:b w:val="0"/>
                <w:i w:val="0"/>
                <w:sz w:val="20"/>
              </w:rPr>
              <w:t>Rechazar (ambos)</w:t>
            </w:r>
          </w:p>
        </w:tc>
      </w:tr>
      <w:tr>
        <w:tc>
          <w:tcPr>
            <w:tcW w:type="dxa" w:w="1417"/>
          </w:tcPr>
          <w:p>
            <w:pPr>
              <w:spacing w:line="240" w:lineRule="auto"/>
            </w:pPr>
            <w:r/>
            <w:r>
              <w:rPr>
                <w:rFonts w:ascii="Times New Roman" w:hAnsi="Times New Roman" w:cs="Times New Roman"/>
                <w:rFonts w:ascii="Times New Roman" w:hAnsi="Times New Roman"/>
                <w:b w:val="0"/>
                <w:i w:val="0"/>
                <w:sz w:val="20"/>
              </w:rPr>
              <w:t>r &lt;= 1</w:t>
            </w:r>
          </w:p>
        </w:tc>
        <w:tc>
          <w:tcPr>
            <w:tcW w:type="dxa" w:w="1417"/>
          </w:tcPr>
          <w:p>
            <w:pPr>
              <w:spacing w:line="240" w:lineRule="auto"/>
            </w:pPr>
            <w:r/>
            <w:r>
              <w:rPr>
                <w:rFonts w:ascii="Times New Roman" w:hAnsi="Times New Roman" w:cs="Times New Roman"/>
                <w:rFonts w:ascii="Times New Roman" w:hAnsi="Times New Roman"/>
                <w:b w:val="0"/>
                <w:i w:val="0"/>
                <w:sz w:val="20"/>
              </w:rPr>
              <w:t>58,78</w:t>
            </w:r>
          </w:p>
        </w:tc>
        <w:tc>
          <w:tcPr>
            <w:tcW w:type="dxa" w:w="1417"/>
          </w:tcPr>
          <w:p>
            <w:pPr>
              <w:spacing w:line="240" w:lineRule="auto"/>
            </w:pPr>
            <w:r/>
            <w:r>
              <w:rPr>
                <w:rFonts w:ascii="Times New Roman" w:hAnsi="Times New Roman" w:cs="Times New Roman"/>
                <w:rFonts w:ascii="Times New Roman" w:hAnsi="Times New Roman"/>
                <w:b w:val="0"/>
                <w:i w:val="0"/>
                <w:sz w:val="20"/>
              </w:rPr>
              <w:t>47,85</w:t>
            </w:r>
          </w:p>
        </w:tc>
        <w:tc>
          <w:tcPr>
            <w:tcW w:type="dxa" w:w="1417"/>
          </w:tcPr>
          <w:p>
            <w:pPr>
              <w:spacing w:line="240" w:lineRule="auto"/>
            </w:pPr>
            <w:r/>
            <w:r>
              <w:rPr>
                <w:rFonts w:ascii="Times New Roman" w:hAnsi="Times New Roman" w:cs="Times New Roman"/>
                <w:rFonts w:ascii="Times New Roman" w:hAnsi="Times New Roman"/>
                <w:b w:val="0"/>
                <w:i w:val="0"/>
                <w:sz w:val="20"/>
              </w:rPr>
              <w:t>31,24</w:t>
            </w:r>
          </w:p>
        </w:tc>
        <w:tc>
          <w:tcPr>
            <w:tcW w:type="dxa" w:w="1417"/>
          </w:tcPr>
          <w:p>
            <w:pPr>
              <w:spacing w:line="240" w:lineRule="auto"/>
            </w:pPr>
            <w:r/>
            <w:r>
              <w:rPr>
                <w:rFonts w:ascii="Times New Roman" w:hAnsi="Times New Roman" w:cs="Times New Roman"/>
                <w:rFonts w:ascii="Times New Roman" w:hAnsi="Times New Roman"/>
                <w:b w:val="0"/>
                <w:i w:val="0"/>
                <w:sz w:val="20"/>
              </w:rPr>
              <w:t>27,58</w:t>
            </w:r>
          </w:p>
        </w:tc>
        <w:tc>
          <w:tcPr>
            <w:tcW w:type="dxa" w:w="1417"/>
          </w:tcPr>
          <w:p>
            <w:pPr>
              <w:spacing w:line="240" w:lineRule="auto"/>
            </w:pPr>
            <w:r/>
            <w:r>
              <w:rPr>
                <w:rFonts w:ascii="Times New Roman" w:hAnsi="Times New Roman" w:cs="Times New Roman"/>
                <w:rFonts w:ascii="Times New Roman" w:hAnsi="Times New Roman"/>
                <w:b w:val="0"/>
                <w:i w:val="0"/>
                <w:sz w:val="20"/>
              </w:rPr>
              <w:t>Traza rechaza; Max.AV. no</w:t>
            </w:r>
          </w:p>
        </w:tc>
      </w:tr>
      <w:tr>
        <w:tc>
          <w:tcPr>
            <w:tcW w:type="dxa" w:w="1417"/>
          </w:tcPr>
          <w:p>
            <w:pPr>
              <w:spacing w:line="240" w:lineRule="auto"/>
            </w:pPr>
            <w:r/>
            <w:r>
              <w:rPr>
                <w:rFonts w:ascii="Times New Roman" w:hAnsi="Times New Roman" w:cs="Times New Roman"/>
                <w:rFonts w:ascii="Times New Roman" w:hAnsi="Times New Roman"/>
                <w:b w:val="0"/>
                <w:i w:val="0"/>
                <w:sz w:val="20"/>
              </w:rPr>
              <w:t>r &lt;= 2</w:t>
            </w:r>
          </w:p>
        </w:tc>
        <w:tc>
          <w:tcPr>
            <w:tcW w:type="dxa" w:w="1417"/>
          </w:tcPr>
          <w:p>
            <w:pPr>
              <w:spacing w:line="240" w:lineRule="auto"/>
            </w:pPr>
            <w:r/>
            <w:r>
              <w:rPr>
                <w:rFonts w:ascii="Times New Roman" w:hAnsi="Times New Roman" w:cs="Times New Roman"/>
                <w:rFonts w:ascii="Times New Roman" w:hAnsi="Times New Roman"/>
                <w:b w:val="0"/>
                <w:i w:val="0"/>
                <w:sz w:val="20"/>
              </w:rPr>
              <w:t>27,54</w:t>
            </w:r>
          </w:p>
        </w:tc>
        <w:tc>
          <w:tcPr>
            <w:tcW w:type="dxa" w:w="1417"/>
          </w:tcPr>
          <w:p>
            <w:pPr>
              <w:spacing w:line="240" w:lineRule="auto"/>
            </w:pPr>
            <w:r/>
            <w:r>
              <w:rPr>
                <w:rFonts w:ascii="Times New Roman" w:hAnsi="Times New Roman" w:cs="Times New Roman"/>
                <w:rFonts w:ascii="Times New Roman" w:hAnsi="Times New Roman"/>
                <w:b w:val="0"/>
                <w:i w:val="0"/>
                <w:sz w:val="20"/>
              </w:rPr>
              <w:t>29,80</w:t>
            </w:r>
          </w:p>
        </w:tc>
        <w:tc>
          <w:tcPr>
            <w:tcW w:type="dxa" w:w="1417"/>
          </w:tcPr>
          <w:p>
            <w:pPr>
              <w:spacing w:line="240" w:lineRule="auto"/>
            </w:pPr>
            <w:r/>
            <w:r>
              <w:rPr>
                <w:rFonts w:ascii="Times New Roman" w:hAnsi="Times New Roman" w:cs="Times New Roman"/>
                <w:rFonts w:ascii="Times New Roman" w:hAnsi="Times New Roman"/>
                <w:b w:val="0"/>
                <w:i w:val="0"/>
                <w:sz w:val="20"/>
              </w:rPr>
              <w:t>18,13</w:t>
            </w:r>
          </w:p>
        </w:tc>
        <w:tc>
          <w:tcPr>
            <w:tcW w:type="dxa" w:w="1417"/>
          </w:tcPr>
          <w:p>
            <w:pPr>
              <w:spacing w:line="240" w:lineRule="auto"/>
            </w:pPr>
            <w:r/>
            <w:r>
              <w:rPr>
                <w:rFonts w:ascii="Times New Roman" w:hAnsi="Times New Roman" w:cs="Times New Roman"/>
                <w:rFonts w:ascii="Times New Roman" w:hAnsi="Times New Roman"/>
                <w:b w:val="0"/>
                <w:i w:val="0"/>
                <w:sz w:val="20"/>
              </w:rPr>
              <w:t>21,13</w:t>
            </w:r>
          </w:p>
        </w:tc>
        <w:tc>
          <w:tcPr>
            <w:tcW w:type="dxa" w:w="1417"/>
          </w:tcPr>
          <w:p>
            <w:pPr>
              <w:spacing w:line="240" w:lineRule="auto"/>
            </w:pPr>
            <w:r/>
            <w:r>
              <w:rPr>
                <w:rFonts w:ascii="Times New Roman" w:hAnsi="Times New Roman" w:cs="Times New Roman"/>
                <w:rFonts w:ascii="Times New Roman" w:hAnsi="Times New Roman"/>
                <w:b w:val="0"/>
                <w:i w:val="0"/>
                <w:sz w:val="20"/>
              </w:rPr>
              <w:t>No rechazar (ambos)</w:t>
            </w:r>
          </w:p>
        </w:tc>
      </w:tr>
      <w:tr>
        <w:tc>
          <w:tcPr>
            <w:tcW w:type="dxa" w:w="1417"/>
          </w:tcPr>
          <w:p>
            <w:pPr>
              <w:spacing w:line="240" w:lineRule="auto"/>
            </w:pPr>
            <w:r/>
            <w:r>
              <w:rPr>
                <w:rFonts w:ascii="Times New Roman" w:hAnsi="Times New Roman" w:cs="Times New Roman"/>
                <w:rFonts w:ascii="Times New Roman" w:hAnsi="Times New Roman"/>
                <w:b w:val="0"/>
                <w:i w:val="0"/>
                <w:sz w:val="20"/>
              </w:rPr>
              <w:t>r &lt;= 3</w:t>
            </w:r>
          </w:p>
        </w:tc>
        <w:tc>
          <w:tcPr>
            <w:tcW w:type="dxa" w:w="1417"/>
          </w:tcPr>
          <w:p>
            <w:pPr>
              <w:spacing w:line="240" w:lineRule="auto"/>
            </w:pPr>
            <w:r/>
            <w:r>
              <w:rPr>
                <w:rFonts w:ascii="Times New Roman" w:hAnsi="Times New Roman" w:cs="Times New Roman"/>
                <w:rFonts w:ascii="Times New Roman" w:hAnsi="Times New Roman"/>
                <w:b w:val="0"/>
                <w:i w:val="0"/>
                <w:sz w:val="20"/>
              </w:rPr>
              <w:t>9,41</w:t>
            </w:r>
          </w:p>
        </w:tc>
        <w:tc>
          <w:tcPr>
            <w:tcW w:type="dxa" w:w="1417"/>
          </w:tcPr>
          <w:p>
            <w:pPr>
              <w:spacing w:line="240" w:lineRule="auto"/>
            </w:pPr>
            <w:r/>
            <w:r>
              <w:rPr>
                <w:rFonts w:ascii="Times New Roman" w:hAnsi="Times New Roman" w:cs="Times New Roman"/>
                <w:rFonts w:ascii="Times New Roman" w:hAnsi="Times New Roman"/>
                <w:b w:val="0"/>
                <w:i w:val="0"/>
                <w:sz w:val="20"/>
              </w:rPr>
              <w:t>15,49</w:t>
            </w:r>
          </w:p>
        </w:tc>
        <w:tc>
          <w:tcPr>
            <w:tcW w:type="dxa" w:w="1417"/>
          </w:tcPr>
          <w:p>
            <w:pPr>
              <w:spacing w:line="240" w:lineRule="auto"/>
            </w:pPr>
            <w:r/>
            <w:r>
              <w:rPr>
                <w:rFonts w:ascii="Times New Roman" w:hAnsi="Times New Roman" w:cs="Times New Roman"/>
                <w:rFonts w:ascii="Times New Roman" w:hAnsi="Times New Roman"/>
                <w:b w:val="0"/>
                <w:i w:val="0"/>
                <w:sz w:val="20"/>
              </w:rPr>
              <w:t>9,41</w:t>
            </w:r>
          </w:p>
        </w:tc>
        <w:tc>
          <w:tcPr>
            <w:tcW w:type="dxa" w:w="1417"/>
          </w:tcPr>
          <w:p>
            <w:pPr>
              <w:spacing w:line="240" w:lineRule="auto"/>
            </w:pPr>
            <w:r/>
            <w:r>
              <w:rPr>
                <w:rFonts w:ascii="Times New Roman" w:hAnsi="Times New Roman" w:cs="Times New Roman"/>
                <w:rFonts w:ascii="Times New Roman" w:hAnsi="Times New Roman"/>
                <w:b w:val="0"/>
                <w:i w:val="0"/>
                <w:sz w:val="20"/>
              </w:rPr>
              <w:t>14,26</w:t>
            </w:r>
          </w:p>
        </w:tc>
        <w:tc>
          <w:tcPr>
            <w:tcW w:type="dxa" w:w="1417"/>
          </w:tcPr>
          <w:p>
            <w:pPr>
              <w:spacing w:line="240" w:lineRule="auto"/>
            </w:pPr>
            <w:r/>
            <w:r>
              <w:rPr>
                <w:rFonts w:ascii="Times New Roman" w:hAnsi="Times New Roman" w:cs="Times New Roman"/>
                <w:rFonts w:ascii="Times New Roman" w:hAnsi="Times New Roman"/>
                <w:b w:val="0"/>
                <w:i w:val="0"/>
                <w:sz w:val="20"/>
              </w:rPr>
              <w:t>No rechazar (ambos)</w:t>
            </w:r>
          </w:p>
        </w:tc>
      </w:tr>
    </w:tbl>
    <w:p/>
    <w:p>
      <w:pPr/>
      <w:r>
        <w:rPr>
          <w:rFonts w:ascii="Times New Roman" w:hAnsi="Times New Roman" w:cs="Times New Roman"/>
          <w:rFonts w:ascii="Times New Roman" w:hAnsi="Times New Roman"/>
          <w:b w:val="0"/>
          <w:i w:val="0"/>
          <w:sz w:val="24"/>
        </w:rPr>
        <w:t xml:space="preserve">Se adopta </w:t>
      </w:r>
      <w:r>
        <w:rPr>
          <w:rFonts w:ascii="Times New Roman" w:hAnsi="Times New Roman" w:cs="Times New Roman"/>
          <w:rFonts w:ascii="Times New Roman" w:hAnsi="Times New Roman"/>
          <w:b/>
          <w:i w:val="0"/>
          <w:sz w:val="24"/>
        </w:rPr>
        <w:t>r = 1</w:t>
      </w:r>
      <w:r>
        <w:rPr>
          <w:rFonts w:ascii="Times New Roman" w:hAnsi="Times New Roman" w:cs="Times New Roman"/>
          <w:rFonts w:ascii="Times New Roman" w:hAnsi="Times New Roman"/>
          <w:b w:val="0"/>
          <w:i w:val="0"/>
          <w:sz w:val="24"/>
        </w:rPr>
        <w:t>: existe un unico vector de cointegracion. Hay una relacion de equilibrio de largo plazo entre el precio del oro, el dolar, los tipos reales y la renta variable, de la que se desvian temporalmente pero a la que tienden a retornar.</w:t>
      </w:r>
    </w:p>
    <w:p>
      <w:pPr>
        <w:pStyle w:val="Heading2"/>
      </w:pPr>
      <w:r>
        <w:t>5.4 Especificacion y estimacion del VECM</w:t>
      </w:r>
    </w:p>
    <w:p>
      <w:pPr/>
      <w:r>
        <w:rPr>
          <w:rFonts w:ascii="Times New Roman" w:hAnsi="Times New Roman" w:cs="Times New Roman"/>
          <w:rFonts w:ascii="Times New Roman" w:hAnsi="Times New Roman"/>
          <w:b w:val="0"/>
          <w:i w:val="0"/>
          <w:sz w:val="24"/>
        </w:rPr>
        <w:t>Con r = 1 y k = 2 retardos (criterio BIC), el sistema se estima como VECM con constante dentro del vector de cointegracion:</w:t>
      </w:r>
    </w:p>
    <w:p>
      <w:pPr/>
      <w:r>
        <w:rPr>
          <w:rFonts w:ascii="Times New Roman" w:hAnsi="Times New Roman" w:cs="Times New Roman"/>
          <w:rFonts w:ascii="Times New Roman" w:hAnsi="Times New Roman"/>
          <w:b w:val="0"/>
          <w:i w:val="0"/>
          <w:sz w:val="24"/>
        </w:rPr>
        <w:t xml:space="preserve">DeltaY_t = alpha </w:t>
      </w:r>
      <w:r>
        <w:rPr>
          <w:rFonts w:ascii="Times New Roman" w:hAnsi="Times New Roman" w:cs="Times New Roman"/>
          <w:rFonts w:ascii="Times New Roman" w:hAnsi="Times New Roman"/>
          <w:b w:val="0"/>
          <w:i/>
          <w:sz w:val="24"/>
        </w:rPr>
        <w:t xml:space="preserve"> beta' </w:t>
      </w:r>
      <w:r>
        <w:rPr>
          <w:rFonts w:ascii="Times New Roman" w:hAnsi="Times New Roman" w:cs="Times New Roman"/>
          <w:rFonts w:ascii="Times New Roman" w:hAnsi="Times New Roman"/>
          <w:b w:val="0"/>
          <w:i w:val="0"/>
          <w:sz w:val="24"/>
        </w:rPr>
        <w:t xml:space="preserve"> Y_{t-1} + Gamma_1 * DeltaY_{t-1} + epsilon_t</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jc w:val="center"/>
            </w:pPr>
            <w:r/>
            <w:r>
              <w:rPr>
                <w:rFonts w:ascii="Times New Roman" w:hAnsi="Times New Roman" w:cs="Times New Roman"/>
                <w:rFonts w:ascii="Times New Roman" w:hAnsi="Times New Roman"/>
                <w:b/>
                <w:i w:val="0"/>
                <w:sz w:val="20"/>
              </w:rPr>
              <w:t>Variable en beta'</w:t>
            </w:r>
          </w:p>
        </w:tc>
        <w:tc>
          <w:tcPr>
            <w:tcW w:type="dxa" w:w="1701"/>
          </w:tcPr>
          <w:p>
            <w:pPr>
              <w:spacing w:line="240" w:lineRule="auto"/>
              <w:jc w:val="center"/>
            </w:pPr>
            <w:r/>
            <w:r>
              <w:rPr>
                <w:rFonts w:ascii="Times New Roman" w:hAnsi="Times New Roman" w:cs="Times New Roman"/>
                <w:rFonts w:ascii="Times New Roman" w:hAnsi="Times New Roman"/>
                <w:b/>
                <w:i w:val="0"/>
                <w:sz w:val="20"/>
              </w:rPr>
              <w:t>Coeficiente</w:t>
            </w:r>
          </w:p>
        </w:tc>
        <w:tc>
          <w:tcPr>
            <w:tcW w:type="dxa" w:w="1701"/>
          </w:tcPr>
          <w:p>
            <w:pPr>
              <w:spacing w:line="240" w:lineRule="auto"/>
              <w:jc w:val="center"/>
            </w:pPr>
            <w:r/>
            <w:r>
              <w:rPr>
                <w:rFonts w:ascii="Times New Roman" w:hAnsi="Times New Roman" w:cs="Times New Roman"/>
                <w:rFonts w:ascii="Times New Roman" w:hAnsi="Times New Roman"/>
                <w:b/>
                <w:i w:val="0"/>
                <w:sz w:val="20"/>
              </w:rPr>
              <w:t>Error estandar</w:t>
            </w:r>
          </w:p>
        </w:tc>
        <w:tc>
          <w:tcPr>
            <w:tcW w:type="dxa" w:w="1701"/>
          </w:tcPr>
          <w:p>
            <w:pPr>
              <w:spacing w:line="240" w:lineRule="auto"/>
              <w:jc w:val="center"/>
            </w:pPr>
            <w:r/>
            <w:r>
              <w:rPr>
                <w:rFonts w:ascii="Times New Roman" w:hAnsi="Times New Roman" w:cs="Times New Roman"/>
                <w:rFonts w:ascii="Times New Roman" w:hAnsi="Times New Roman"/>
                <w:b/>
                <w:i w:val="0"/>
                <w:sz w:val="20"/>
              </w:rPr>
              <w:t>t-estadistico</w:t>
            </w:r>
          </w:p>
        </w:tc>
        <w:tc>
          <w:tcPr>
            <w:tcW w:type="dxa" w:w="1701"/>
          </w:tcPr>
          <w:p>
            <w:pPr>
              <w:spacing w:line="240" w:lineRule="auto"/>
              <w:jc w:val="center"/>
            </w:pPr>
            <w:r/>
            <w:r>
              <w:rPr>
                <w:rFonts w:ascii="Times New Roman" w:hAnsi="Times New Roman" w:cs="Times New Roman"/>
                <w:rFonts w:ascii="Times New Roman" w:hAnsi="Times New Roman"/>
                <w:b/>
                <w:i w:val="0"/>
                <w:sz w:val="20"/>
              </w:rPr>
              <w:t>Signo esperado</w:t>
            </w:r>
          </w:p>
        </w:tc>
      </w:tr>
      <w:tr>
        <w:tc>
          <w:tcPr>
            <w:tcW w:type="dxa" w:w="1701"/>
          </w:tcPr>
          <w:p>
            <w:pPr>
              <w:spacing w:line="240" w:lineRule="auto"/>
            </w:pPr>
            <w:r/>
            <w:r>
              <w:rPr>
                <w:rFonts w:ascii="Times New Roman" w:hAnsi="Times New Roman" w:cs="Times New Roman"/>
                <w:rFonts w:ascii="Times New Roman" w:hAnsi="Times New Roman"/>
                <w:b w:val="0"/>
                <w:i w:val="0"/>
                <w:sz w:val="20"/>
              </w:rPr>
              <w:t>ln(DXY)</w:t>
            </w:r>
          </w:p>
        </w:tc>
        <w:tc>
          <w:tcPr>
            <w:tcW w:type="dxa" w:w="1701"/>
          </w:tcPr>
          <w:p>
            <w:pPr>
              <w:spacing w:line="240" w:lineRule="auto"/>
            </w:pPr>
            <w:r/>
            <w:r>
              <w:rPr>
                <w:rFonts w:ascii="Times New Roman" w:hAnsi="Times New Roman" w:cs="Times New Roman"/>
                <w:rFonts w:ascii="Times New Roman" w:hAnsi="Times New Roman"/>
                <w:b w:val="0"/>
                <w:i w:val="0"/>
                <w:sz w:val="20"/>
              </w:rPr>
              <w:t>-1,24</w:t>
            </w:r>
          </w:p>
        </w:tc>
        <w:tc>
          <w:tcPr>
            <w:tcW w:type="dxa" w:w="1701"/>
          </w:tcPr>
          <w:p>
            <w:pPr>
              <w:spacing w:line="240" w:lineRule="auto"/>
            </w:pPr>
            <w:r/>
            <w:r>
              <w:rPr>
                <w:rFonts w:ascii="Times New Roman" w:hAnsi="Times New Roman" w:cs="Times New Roman"/>
                <w:rFonts w:ascii="Times New Roman" w:hAnsi="Times New Roman"/>
                <w:b w:val="0"/>
                <w:i w:val="0"/>
                <w:sz w:val="20"/>
              </w:rPr>
              <w:t>0,18</w:t>
            </w:r>
          </w:p>
        </w:tc>
        <w:tc>
          <w:tcPr>
            <w:tcW w:type="dxa" w:w="1701"/>
          </w:tcPr>
          <w:p>
            <w:pPr>
              <w:spacing w:line="240" w:lineRule="auto"/>
            </w:pPr>
            <w:r/>
            <w:r>
              <w:rPr>
                <w:rFonts w:ascii="Times New Roman" w:hAnsi="Times New Roman" w:cs="Times New Roman"/>
                <w:rFonts w:ascii="Times New Roman" w:hAnsi="Times New Roman"/>
                <w:b w:val="0"/>
                <w:i w:val="0"/>
                <w:sz w:val="20"/>
              </w:rPr>
              <w:t>-6,89</w:t>
            </w:r>
          </w:p>
        </w:tc>
        <w:tc>
          <w:tcPr>
            <w:tcW w:type="dxa" w:w="1701"/>
          </w:tcPr>
          <w:p>
            <w:pPr>
              <w:spacing w:line="240" w:lineRule="auto"/>
            </w:pPr>
            <w:r/>
            <w:r>
              <w:rPr>
                <w:rFonts w:ascii="Times New Roman" w:hAnsi="Times New Roman" w:cs="Times New Roman"/>
                <w:rFonts w:ascii="Times New Roman" w:hAnsi="Times New Roman"/>
                <w:b w:val="0"/>
                <w:i w:val="0"/>
                <w:sz w:val="20"/>
              </w:rPr>
              <w:t>Negativo [OK]</w:t>
            </w:r>
          </w:p>
        </w:tc>
      </w:tr>
      <w:tr>
        <w:tc>
          <w:tcPr>
            <w:tcW w:type="dxa" w:w="1701"/>
          </w:tcPr>
          <w:p>
            <w:pPr>
              <w:spacing w:line="240" w:lineRule="auto"/>
            </w:pPr>
            <w:r/>
            <w:r>
              <w:rPr>
                <w:rFonts w:ascii="Times New Roman" w:hAnsi="Times New Roman" w:cs="Times New Roman"/>
                <w:rFonts w:ascii="Times New Roman" w:hAnsi="Times New Roman"/>
                <w:b w:val="0"/>
                <w:i w:val="0"/>
                <w:sz w:val="20"/>
              </w:rPr>
              <w:t>TIPS 10Y</w:t>
            </w:r>
          </w:p>
        </w:tc>
        <w:tc>
          <w:tcPr>
            <w:tcW w:type="dxa" w:w="1701"/>
          </w:tcPr>
          <w:p>
            <w:pPr>
              <w:spacing w:line="240" w:lineRule="auto"/>
            </w:pPr>
            <w:r/>
            <w:r>
              <w:rPr>
                <w:rFonts w:ascii="Times New Roman" w:hAnsi="Times New Roman" w:cs="Times New Roman"/>
                <w:rFonts w:ascii="Times New Roman" w:hAnsi="Times New Roman"/>
                <w:b w:val="0"/>
                <w:i w:val="0"/>
                <w:sz w:val="20"/>
              </w:rPr>
              <w:t>-0,68</w:t>
            </w:r>
          </w:p>
        </w:tc>
        <w:tc>
          <w:tcPr>
            <w:tcW w:type="dxa" w:w="1701"/>
          </w:tcPr>
          <w:p>
            <w:pPr>
              <w:spacing w:line="240" w:lineRule="auto"/>
            </w:pPr>
            <w:r/>
            <w:r>
              <w:rPr>
                <w:rFonts w:ascii="Times New Roman" w:hAnsi="Times New Roman" w:cs="Times New Roman"/>
                <w:rFonts w:ascii="Times New Roman" w:hAnsi="Times New Roman"/>
                <w:b w:val="0"/>
                <w:i w:val="0"/>
                <w:sz w:val="20"/>
              </w:rPr>
              <w:t>0,09</w:t>
            </w:r>
          </w:p>
        </w:tc>
        <w:tc>
          <w:tcPr>
            <w:tcW w:type="dxa" w:w="1701"/>
          </w:tcPr>
          <w:p>
            <w:pPr>
              <w:spacing w:line="240" w:lineRule="auto"/>
            </w:pPr>
            <w:r/>
            <w:r>
              <w:rPr>
                <w:rFonts w:ascii="Times New Roman" w:hAnsi="Times New Roman" w:cs="Times New Roman"/>
                <w:rFonts w:ascii="Times New Roman" w:hAnsi="Times New Roman"/>
                <w:b w:val="0"/>
                <w:i w:val="0"/>
                <w:sz w:val="20"/>
              </w:rPr>
              <w:t>-7,56</w:t>
            </w:r>
          </w:p>
        </w:tc>
        <w:tc>
          <w:tcPr>
            <w:tcW w:type="dxa" w:w="1701"/>
          </w:tcPr>
          <w:p>
            <w:pPr>
              <w:spacing w:line="240" w:lineRule="auto"/>
            </w:pPr>
            <w:r/>
            <w:r>
              <w:rPr>
                <w:rFonts w:ascii="Times New Roman" w:hAnsi="Times New Roman" w:cs="Times New Roman"/>
                <w:rFonts w:ascii="Times New Roman" w:hAnsi="Times New Roman"/>
                <w:b w:val="0"/>
                <w:i w:val="0"/>
                <w:sz w:val="20"/>
              </w:rPr>
              <w:t>Negativo [OK]</w:t>
            </w:r>
          </w:p>
        </w:tc>
      </w:tr>
      <w:tr>
        <w:tc>
          <w:tcPr>
            <w:tcW w:type="dxa" w:w="1701"/>
          </w:tcPr>
          <w:p>
            <w:pPr>
              <w:spacing w:line="240" w:lineRule="auto"/>
            </w:pPr>
            <w:r/>
            <w:r>
              <w:rPr>
                <w:rFonts w:ascii="Times New Roman" w:hAnsi="Times New Roman" w:cs="Times New Roman"/>
                <w:rFonts w:ascii="Times New Roman" w:hAnsi="Times New Roman"/>
                <w:b w:val="0"/>
                <w:i w:val="0"/>
                <w:sz w:val="20"/>
              </w:rPr>
              <w:t>ln(S&amp;P 500)</w:t>
            </w:r>
          </w:p>
        </w:tc>
        <w:tc>
          <w:tcPr>
            <w:tcW w:type="dxa" w:w="1701"/>
          </w:tcPr>
          <w:p>
            <w:pPr>
              <w:spacing w:line="240" w:lineRule="auto"/>
            </w:pPr>
            <w:r/>
            <w:r>
              <w:rPr>
                <w:rFonts w:ascii="Times New Roman" w:hAnsi="Times New Roman" w:cs="Times New Roman"/>
                <w:rFonts w:ascii="Times New Roman" w:hAnsi="Times New Roman"/>
                <w:b w:val="0"/>
                <w:i w:val="0"/>
                <w:sz w:val="20"/>
              </w:rPr>
              <w:t>-0,31</w:t>
            </w:r>
          </w:p>
        </w:tc>
        <w:tc>
          <w:tcPr>
            <w:tcW w:type="dxa" w:w="1701"/>
          </w:tcPr>
          <w:p>
            <w:pPr>
              <w:spacing w:line="240" w:lineRule="auto"/>
            </w:pPr>
            <w:r/>
            <w:r>
              <w:rPr>
                <w:rFonts w:ascii="Times New Roman" w:hAnsi="Times New Roman" w:cs="Times New Roman"/>
                <w:rFonts w:ascii="Times New Roman" w:hAnsi="Times New Roman"/>
                <w:b w:val="0"/>
                <w:i w:val="0"/>
                <w:sz w:val="20"/>
              </w:rPr>
              <w:t>0,07</w:t>
            </w:r>
          </w:p>
        </w:tc>
        <w:tc>
          <w:tcPr>
            <w:tcW w:type="dxa" w:w="1701"/>
          </w:tcPr>
          <w:p>
            <w:pPr>
              <w:spacing w:line="240" w:lineRule="auto"/>
            </w:pPr>
            <w:r/>
            <w:r>
              <w:rPr>
                <w:rFonts w:ascii="Times New Roman" w:hAnsi="Times New Roman" w:cs="Times New Roman"/>
                <w:rFonts w:ascii="Times New Roman" w:hAnsi="Times New Roman"/>
                <w:b w:val="0"/>
                <w:i w:val="0"/>
                <w:sz w:val="20"/>
              </w:rPr>
              <w:t>-4,43</w:t>
            </w:r>
          </w:p>
        </w:tc>
        <w:tc>
          <w:tcPr>
            <w:tcW w:type="dxa" w:w="1701"/>
          </w:tcPr>
          <w:p>
            <w:pPr>
              <w:spacing w:line="240" w:lineRule="auto"/>
            </w:pPr>
            <w:r/>
            <w:r>
              <w:rPr>
                <w:rFonts w:ascii="Times New Roman" w:hAnsi="Times New Roman" w:cs="Times New Roman"/>
                <w:rFonts w:ascii="Times New Roman" w:hAnsi="Times New Roman"/>
                <w:b w:val="0"/>
                <w:i w:val="0"/>
                <w:sz w:val="20"/>
              </w:rPr>
              <w:t>Negativo [OK]</w:t>
            </w:r>
          </w:p>
        </w:tc>
      </w:tr>
      <w:tr>
        <w:tc>
          <w:tcPr>
            <w:tcW w:type="dxa" w:w="1701"/>
          </w:tcPr>
          <w:p>
            <w:pPr>
              <w:spacing w:line="240" w:lineRule="auto"/>
            </w:pPr>
            <w:r/>
            <w:r>
              <w:rPr>
                <w:rFonts w:ascii="Times New Roman" w:hAnsi="Times New Roman" w:cs="Times New Roman"/>
                <w:rFonts w:ascii="Times New Roman" w:hAnsi="Times New Roman"/>
                <w:b w:val="0"/>
                <w:i w:val="0"/>
                <w:sz w:val="20"/>
              </w:rPr>
              <w:t>Constante</w:t>
            </w:r>
          </w:p>
        </w:tc>
        <w:tc>
          <w:tcPr>
            <w:tcW w:type="dxa" w:w="1701"/>
          </w:tcPr>
          <w:p>
            <w:pPr>
              <w:spacing w:line="240" w:lineRule="auto"/>
            </w:pPr>
            <w:r/>
            <w:r>
              <w:rPr>
                <w:rFonts w:ascii="Times New Roman" w:hAnsi="Times New Roman" w:cs="Times New Roman"/>
                <w:rFonts w:ascii="Times New Roman" w:hAnsi="Times New Roman"/>
                <w:b w:val="0"/>
                <w:i w:val="0"/>
                <w:sz w:val="20"/>
              </w:rPr>
              <w:t>+8,12</w:t>
            </w:r>
          </w:p>
        </w:tc>
        <w:tc>
          <w:tcPr>
            <w:tcW w:type="dxa" w:w="1701"/>
          </w:tcPr>
          <w:p>
            <w:pPr>
              <w:spacing w:line="240" w:lineRule="auto"/>
            </w:pPr>
            <w:r/>
            <w:r>
              <w:rPr>
                <w:rFonts w:ascii="Times New Roman" w:hAnsi="Times New Roman" w:cs="Times New Roman"/>
                <w:rFonts w:ascii="Times New Roman" w:hAnsi="Times New Roman"/>
                <w:b w:val="0"/>
                <w:i w:val="0"/>
                <w:sz w:val="20"/>
              </w:rPr>
              <w:t>0,42</w:t>
            </w:r>
          </w:p>
        </w:tc>
        <w:tc>
          <w:tcPr>
            <w:tcW w:type="dxa" w:w="1701"/>
          </w:tcPr>
          <w:p>
            <w:pPr>
              <w:spacing w:line="240" w:lineRule="auto"/>
            </w:pPr>
            <w:r/>
            <w:r>
              <w:rPr>
                <w:rFonts w:ascii="Times New Roman" w:hAnsi="Times New Roman" w:cs="Times New Roman"/>
                <w:rFonts w:ascii="Times New Roman" w:hAnsi="Times New Roman"/>
                <w:b w:val="0"/>
                <w:i w:val="0"/>
                <w:sz w:val="20"/>
              </w:rPr>
              <w:t>+19,33</w:t>
            </w:r>
          </w:p>
        </w:tc>
        <w:tc>
          <w:tcPr>
            <w:tcW w:type="dxa" w:w="1701"/>
          </w:tcPr>
          <w:p>
            <w:pPr>
              <w:spacing w:line="240" w:lineRule="auto"/>
            </w:pPr>
            <w:r/>
            <w:r>
              <w:rPr>
                <w:rFonts w:ascii="Times New Roman" w:hAnsi="Times New Roman" w:cs="Times New Roman"/>
                <w:rFonts w:ascii="Times New Roman" w:hAnsi="Times New Roman"/>
                <w:b w:val="0"/>
                <w:i w:val="0"/>
                <w:sz w:val="20"/>
              </w:rPr>
              <w:t>Positiva [OK]</w:t>
            </w:r>
          </w:p>
        </w:tc>
      </w:tr>
    </w:tbl>
    <w:p/>
    <w:p>
      <w:pPr/>
      <w:r>
        <w:rPr>
          <w:rFonts w:ascii="Times New Roman" w:hAnsi="Times New Roman" w:cs="Times New Roman"/>
          <w:rFonts w:ascii="Times New Roman" w:hAnsi="Times New Roman"/>
          <w:b w:val="0"/>
          <w:i w:val="0"/>
          <w:sz w:val="24"/>
        </w:rPr>
        <w:t xml:space="preserve">El coeficiente de los TIPS (-0,68) cuantifica el mecanismo de coste de oportunidad: cada punto porcentual adicional de tipo real reduce el precio de equilibrio del oro en un 0,68%. El coeficiente de velocidad de ajuste del oro es alpha_oro = -0,083, implicando una </w:t>
      </w:r>
      <w:r>
        <w:rPr>
          <w:rFonts w:ascii="Times New Roman" w:hAnsi="Times New Roman" w:cs="Times New Roman"/>
          <w:rFonts w:ascii="Times New Roman" w:hAnsi="Times New Roman"/>
          <w:b/>
          <w:i w:val="0"/>
          <w:sz w:val="24"/>
        </w:rPr>
        <w:t>semivida del desequilibrio</w:t>
      </w:r>
      <w:r>
        <w:rPr>
          <w:rFonts w:ascii="Times New Roman" w:hAnsi="Times New Roman" w:cs="Times New Roman"/>
          <w:rFonts w:ascii="Times New Roman" w:hAnsi="Times New Roman"/>
          <w:b w:val="0"/>
          <w:i w:val="0"/>
          <w:sz w:val="24"/>
        </w:rPr>
        <w:t xml:space="preserve"> de aproximadamente 8 meses. DXY y TIPS son debilmente exogenos: son ellos los que impulsan al oro hacia el equilibrio.</w:t>
      </w:r>
    </w:p>
    <w:p>
      <w:pPr>
        <w:pStyle w:val="Heading2"/>
      </w:pPr>
      <w:r>
        <w:t>5.5 Causalidad de Granger y funciones de impulso-respuesta</w:t>
      </w:r>
    </w:p>
    <w:p>
      <w:pPr/>
      <w:r>
        <w:rPr>
          <w:rFonts w:ascii="Times New Roman" w:hAnsi="Times New Roman" w:cs="Times New Roman"/>
          <w:rFonts w:ascii="Times New Roman" w:hAnsi="Times New Roman"/>
          <w:b w:val="0"/>
          <w:i w:val="0"/>
          <w:sz w:val="24"/>
        </w:rPr>
        <w:t>El test de causalidad de Granger confirma la jerarquia de determinantes: los TIPS Granger-causan al oro (p &lt; 0,001 a todos los horizontes 1-12 meses), el DXY tambien (p &lt; 0,01), y el S&amp;P 500 de forma mas marginal (p &lt; 0,05 a 6 meses). El oro no Granger-causa a los TIPS (p &gt; 0,70). Las funciones de impulso-respuesta muestran que un shock de 1sigma en los TIPS produce una caida del oro de -3,2% acumulado a 24 meses. La descomposicion de varianza (FEVD) a 12 meses: 28% de la varianza del oro a los TIPS, 19% al DXY, 12% al S&amp;P 500, 41% a la propia inercia del oro.</w:t>
      </w:r>
    </w:p>
    <w:p>
      <w:pPr>
        <w:pStyle w:val="Heading2"/>
      </w:pPr>
      <w:r>
        <w:t>5.6 Analisis de volatilidad: GJR-GARCH(1,1)</w:t>
      </w:r>
    </w:p>
    <w:p>
      <w:pPr/>
      <w:r>
        <w:rPr>
          <w:rFonts w:ascii="Times New Roman" w:hAnsi="Times New Roman" w:cs="Times New Roman"/>
          <w:rFonts w:ascii="Times New Roman" w:hAnsi="Times New Roman"/>
          <w:b w:val="0"/>
          <w:i w:val="0"/>
          <w:sz w:val="24"/>
        </w:rPr>
        <w:t xml:space="preserve">El test ARCH-LM rechaza ausencia de heterocedasticidad condicional (p &lt; 0,05), justificando un modelo </w:t>
      </w:r>
      <w:r>
        <w:rPr>
          <w:rFonts w:ascii="Times New Roman" w:hAnsi="Times New Roman" w:cs="Times New Roman"/>
          <w:rFonts w:ascii="Times New Roman" w:hAnsi="Times New Roman"/>
          <w:b/>
          <w:i w:val="0"/>
          <w:sz w:val="24"/>
        </w:rPr>
        <w:t>GJR-GARCH(1,1)</w:t>
      </w:r>
      <w:r>
        <w:rPr>
          <w:rFonts w:ascii="Times New Roman" w:hAnsi="Times New Roman" w:cs="Times New Roman"/>
          <w:rFonts w:ascii="Times New Roman" w:hAnsi="Times New Roman"/>
          <w:b w:val="0"/>
          <w:i w:val="0"/>
          <w:sz w:val="24"/>
        </w:rPr>
        <w:t xml:space="preserve"> que captura la asimetria en la respuesta de la volatilidad.</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jc w:val="center"/>
            </w:pPr>
            <w:r/>
            <w:r>
              <w:rPr>
                <w:rFonts w:ascii="Times New Roman" w:hAnsi="Times New Roman" w:cs="Times New Roman"/>
                <w:rFonts w:ascii="Times New Roman" w:hAnsi="Times New Roman"/>
                <w:b/>
                <w:i w:val="0"/>
                <w:sz w:val="20"/>
              </w:rPr>
              <w:t>Parametro</w:t>
            </w:r>
          </w:p>
        </w:tc>
        <w:tc>
          <w:tcPr>
            <w:tcW w:type="dxa" w:w="1701"/>
          </w:tcPr>
          <w:p>
            <w:pPr>
              <w:spacing w:line="240" w:lineRule="auto"/>
              <w:jc w:val="center"/>
            </w:pPr>
            <w:r/>
            <w:r>
              <w:rPr>
                <w:rFonts w:ascii="Times New Roman" w:hAnsi="Times New Roman" w:cs="Times New Roman"/>
                <w:rFonts w:ascii="Times New Roman" w:hAnsi="Times New Roman"/>
                <w:b/>
                <w:i w:val="0"/>
                <w:sz w:val="20"/>
              </w:rPr>
              <w:t>Estimacion</w:t>
            </w:r>
          </w:p>
        </w:tc>
        <w:tc>
          <w:tcPr>
            <w:tcW w:type="dxa" w:w="1701"/>
          </w:tcPr>
          <w:p>
            <w:pPr>
              <w:spacing w:line="240" w:lineRule="auto"/>
              <w:jc w:val="center"/>
            </w:pPr>
            <w:r/>
            <w:r>
              <w:rPr>
                <w:rFonts w:ascii="Times New Roman" w:hAnsi="Times New Roman" w:cs="Times New Roman"/>
                <w:rFonts w:ascii="Times New Roman" w:hAnsi="Times New Roman"/>
                <w:b/>
                <w:i w:val="0"/>
                <w:sz w:val="20"/>
              </w:rPr>
              <w:t>Error est.</w:t>
            </w:r>
          </w:p>
        </w:tc>
        <w:tc>
          <w:tcPr>
            <w:tcW w:type="dxa" w:w="1701"/>
          </w:tcPr>
          <w:p>
            <w:pPr>
              <w:spacing w:line="240" w:lineRule="auto"/>
              <w:jc w:val="center"/>
            </w:pPr>
            <w:r/>
            <w:r>
              <w:rPr>
                <w:rFonts w:ascii="Times New Roman" w:hAnsi="Times New Roman" w:cs="Times New Roman"/>
                <w:rFonts w:ascii="Times New Roman" w:hAnsi="Times New Roman"/>
                <w:b/>
                <w:i w:val="0"/>
                <w:sz w:val="20"/>
              </w:rPr>
              <w:t>p-valor</w:t>
            </w:r>
          </w:p>
        </w:tc>
        <w:tc>
          <w:tcPr>
            <w:tcW w:type="dxa" w:w="1701"/>
          </w:tcPr>
          <w:p>
            <w:pPr>
              <w:spacing w:line="240" w:lineRule="auto"/>
              <w:jc w:val="center"/>
            </w:pPr>
            <w:r/>
            <w:r>
              <w:rPr>
                <w:rFonts w:ascii="Times New Roman" w:hAnsi="Times New Roman" w:cs="Times New Roman"/>
                <w:rFonts w:ascii="Times New Roman" w:hAnsi="Times New Roman"/>
                <w:b/>
                <w:i w:val="0"/>
                <w:sz w:val="20"/>
              </w:rPr>
              <w:t>Interpretacion</w:t>
            </w:r>
          </w:p>
        </w:tc>
      </w:tr>
      <w:tr>
        <w:tc>
          <w:tcPr>
            <w:tcW w:type="dxa" w:w="1701"/>
          </w:tcPr>
          <w:p>
            <w:pPr>
              <w:spacing w:line="240" w:lineRule="auto"/>
            </w:pPr>
            <w:r/>
            <w:r>
              <w:rPr>
                <w:rFonts w:ascii="Times New Roman" w:hAnsi="Times New Roman" w:cs="Times New Roman"/>
                <w:rFonts w:ascii="Times New Roman" w:hAnsi="Times New Roman"/>
                <w:b w:val="0"/>
                <w:i w:val="0"/>
                <w:sz w:val="20"/>
              </w:rPr>
              <w:t>omega (constante)</w:t>
            </w:r>
          </w:p>
        </w:tc>
        <w:tc>
          <w:tcPr>
            <w:tcW w:type="dxa" w:w="1701"/>
          </w:tcPr>
          <w:p>
            <w:pPr>
              <w:spacing w:line="240" w:lineRule="auto"/>
            </w:pPr>
            <w:r/>
            <w:r>
              <w:rPr>
                <w:rFonts w:ascii="Times New Roman" w:hAnsi="Times New Roman" w:cs="Times New Roman"/>
                <w:rFonts w:ascii="Times New Roman" w:hAnsi="Times New Roman"/>
                <w:b w:val="0"/>
                <w:i w:val="0"/>
                <w:sz w:val="20"/>
              </w:rPr>
              <w:t>0,241</w:t>
            </w:r>
          </w:p>
        </w:tc>
        <w:tc>
          <w:tcPr>
            <w:tcW w:type="dxa" w:w="1701"/>
          </w:tcPr>
          <w:p>
            <w:pPr>
              <w:spacing w:line="240" w:lineRule="auto"/>
            </w:pPr>
            <w:r/>
            <w:r>
              <w:rPr>
                <w:rFonts w:ascii="Times New Roman" w:hAnsi="Times New Roman" w:cs="Times New Roman"/>
                <w:rFonts w:ascii="Times New Roman" w:hAnsi="Times New Roman"/>
                <w:b w:val="0"/>
                <w:i w:val="0"/>
                <w:sz w:val="20"/>
              </w:rPr>
              <w:t>0,098</w:t>
            </w:r>
          </w:p>
        </w:tc>
        <w:tc>
          <w:tcPr>
            <w:tcW w:type="dxa" w:w="1701"/>
          </w:tcPr>
          <w:p>
            <w:pPr>
              <w:spacing w:line="240" w:lineRule="auto"/>
            </w:pPr>
            <w:r/>
            <w:r>
              <w:rPr>
                <w:rFonts w:ascii="Times New Roman" w:hAnsi="Times New Roman" w:cs="Times New Roman"/>
                <w:rFonts w:ascii="Times New Roman" w:hAnsi="Times New Roman"/>
                <w:b w:val="0"/>
                <w:i w:val="0"/>
                <w:sz w:val="20"/>
              </w:rPr>
              <w:t>0,014</w:t>
            </w:r>
          </w:p>
        </w:tc>
        <w:tc>
          <w:tcPr>
            <w:tcW w:type="dxa" w:w="1701"/>
          </w:tcPr>
          <w:p>
            <w:pPr>
              <w:spacing w:line="240" w:lineRule="auto"/>
            </w:pPr>
            <w:r/>
            <w:r>
              <w:rPr>
                <w:rFonts w:ascii="Times New Roman" w:hAnsi="Times New Roman" w:cs="Times New Roman"/>
                <w:rFonts w:ascii="Times New Roman" w:hAnsi="Times New Roman"/>
                <w:b w:val="0"/>
                <w:i w:val="0"/>
                <w:sz w:val="20"/>
              </w:rPr>
              <w:t>Volatilidad base</w:t>
            </w:r>
          </w:p>
        </w:tc>
      </w:tr>
      <w:tr>
        <w:tc>
          <w:tcPr>
            <w:tcW w:type="dxa" w:w="1701"/>
          </w:tcPr>
          <w:p>
            <w:pPr>
              <w:spacing w:line="240" w:lineRule="auto"/>
            </w:pPr>
            <w:r/>
            <w:r>
              <w:rPr>
                <w:rFonts w:ascii="Times New Roman" w:hAnsi="Times New Roman" w:cs="Times New Roman"/>
                <w:rFonts w:ascii="Times New Roman" w:hAnsi="Times New Roman"/>
                <w:b w:val="0"/>
                <w:i w:val="0"/>
                <w:sz w:val="20"/>
              </w:rPr>
              <w:t>alpha (ARCH)</w:t>
            </w:r>
          </w:p>
        </w:tc>
        <w:tc>
          <w:tcPr>
            <w:tcW w:type="dxa" w:w="1701"/>
          </w:tcPr>
          <w:p>
            <w:pPr>
              <w:spacing w:line="240" w:lineRule="auto"/>
            </w:pPr>
            <w:r/>
            <w:r>
              <w:rPr>
                <w:rFonts w:ascii="Times New Roman" w:hAnsi="Times New Roman" w:cs="Times New Roman"/>
                <w:rFonts w:ascii="Times New Roman" w:hAnsi="Times New Roman"/>
                <w:b w:val="0"/>
                <w:i w:val="0"/>
                <w:sz w:val="20"/>
              </w:rPr>
              <w:t>0,089</w:t>
            </w:r>
          </w:p>
        </w:tc>
        <w:tc>
          <w:tcPr>
            <w:tcW w:type="dxa" w:w="1701"/>
          </w:tcPr>
          <w:p>
            <w:pPr>
              <w:spacing w:line="240" w:lineRule="auto"/>
            </w:pPr>
            <w:r/>
            <w:r>
              <w:rPr>
                <w:rFonts w:ascii="Times New Roman" w:hAnsi="Times New Roman" w:cs="Times New Roman"/>
                <w:rFonts w:ascii="Times New Roman" w:hAnsi="Times New Roman"/>
                <w:b w:val="0"/>
                <w:i w:val="0"/>
                <w:sz w:val="20"/>
              </w:rPr>
              <w:t>0,031</w:t>
            </w:r>
          </w:p>
        </w:tc>
        <w:tc>
          <w:tcPr>
            <w:tcW w:type="dxa" w:w="1701"/>
          </w:tcPr>
          <w:p>
            <w:pPr>
              <w:spacing w:line="240" w:lineRule="auto"/>
            </w:pPr>
            <w:r/>
            <w:r>
              <w:rPr>
                <w:rFonts w:ascii="Times New Roman" w:hAnsi="Times New Roman" w:cs="Times New Roman"/>
                <w:rFonts w:ascii="Times New Roman" w:hAnsi="Times New Roman"/>
                <w:b w:val="0"/>
                <w:i w:val="0"/>
                <w:sz w:val="20"/>
              </w:rPr>
              <w:t>0,004</w:t>
            </w:r>
          </w:p>
        </w:tc>
        <w:tc>
          <w:tcPr>
            <w:tcW w:type="dxa" w:w="1701"/>
          </w:tcPr>
          <w:p>
            <w:pPr>
              <w:spacing w:line="240" w:lineRule="auto"/>
            </w:pPr>
            <w:r/>
            <w:r>
              <w:rPr>
                <w:rFonts w:ascii="Times New Roman" w:hAnsi="Times New Roman" w:cs="Times New Roman"/>
                <w:rFonts w:ascii="Times New Roman" w:hAnsi="Times New Roman"/>
                <w:b w:val="0"/>
                <w:i w:val="0"/>
                <w:sz w:val="20"/>
              </w:rPr>
              <w:t>Impacto shocks pasados</w:t>
            </w:r>
          </w:p>
        </w:tc>
      </w:tr>
      <w:tr>
        <w:tc>
          <w:tcPr>
            <w:tcW w:type="dxa" w:w="1701"/>
          </w:tcPr>
          <w:p>
            <w:pPr>
              <w:spacing w:line="240" w:lineRule="auto"/>
            </w:pPr>
            <w:r/>
            <w:r>
              <w:rPr>
                <w:rFonts w:ascii="Times New Roman" w:hAnsi="Times New Roman" w:cs="Times New Roman"/>
                <w:rFonts w:ascii="Times New Roman" w:hAnsi="Times New Roman"/>
                <w:b w:val="0"/>
                <w:i w:val="0"/>
                <w:sz w:val="20"/>
              </w:rPr>
              <w:t>beta (GARCH)</w:t>
            </w:r>
          </w:p>
        </w:tc>
        <w:tc>
          <w:tcPr>
            <w:tcW w:type="dxa" w:w="1701"/>
          </w:tcPr>
          <w:p>
            <w:pPr>
              <w:spacing w:line="240" w:lineRule="auto"/>
            </w:pPr>
            <w:r/>
            <w:r>
              <w:rPr>
                <w:rFonts w:ascii="Times New Roman" w:hAnsi="Times New Roman" w:cs="Times New Roman"/>
                <w:rFonts w:ascii="Times New Roman" w:hAnsi="Times New Roman"/>
                <w:b w:val="0"/>
                <w:i w:val="0"/>
                <w:sz w:val="20"/>
              </w:rPr>
              <w:t>0,847</w:t>
            </w:r>
          </w:p>
        </w:tc>
        <w:tc>
          <w:tcPr>
            <w:tcW w:type="dxa" w:w="1701"/>
          </w:tcPr>
          <w:p>
            <w:pPr>
              <w:spacing w:line="240" w:lineRule="auto"/>
            </w:pPr>
            <w:r/>
            <w:r>
              <w:rPr>
                <w:rFonts w:ascii="Times New Roman" w:hAnsi="Times New Roman" w:cs="Times New Roman"/>
                <w:rFonts w:ascii="Times New Roman" w:hAnsi="Times New Roman"/>
                <w:b w:val="0"/>
                <w:i w:val="0"/>
                <w:sz w:val="20"/>
              </w:rPr>
              <w:t>0,044</w:t>
            </w:r>
          </w:p>
        </w:tc>
        <w:tc>
          <w:tcPr>
            <w:tcW w:type="dxa" w:w="1701"/>
          </w:tcPr>
          <w:p>
            <w:pPr>
              <w:spacing w:line="240" w:lineRule="auto"/>
            </w:pPr>
            <w:r/>
            <w:r>
              <w:rPr>
                <w:rFonts w:ascii="Times New Roman" w:hAnsi="Times New Roman" w:cs="Times New Roman"/>
                <w:rFonts w:ascii="Times New Roman" w:hAnsi="Times New Roman"/>
                <w:b w:val="0"/>
                <w:i w:val="0"/>
                <w:sz w:val="20"/>
              </w:rPr>
              <w:t>&lt; 0,001</w:t>
            </w:r>
          </w:p>
        </w:tc>
        <w:tc>
          <w:tcPr>
            <w:tcW w:type="dxa" w:w="1701"/>
          </w:tcPr>
          <w:p>
            <w:pPr>
              <w:spacing w:line="240" w:lineRule="auto"/>
            </w:pPr>
            <w:r/>
            <w:r>
              <w:rPr>
                <w:rFonts w:ascii="Times New Roman" w:hAnsi="Times New Roman" w:cs="Times New Roman"/>
                <w:rFonts w:ascii="Times New Roman" w:hAnsi="Times New Roman"/>
                <w:b w:val="0"/>
                <w:i w:val="0"/>
                <w:sz w:val="20"/>
              </w:rPr>
              <w:t>Persistencia volatilidad</w:t>
            </w:r>
          </w:p>
        </w:tc>
      </w:tr>
      <w:tr>
        <w:tc>
          <w:tcPr>
            <w:tcW w:type="dxa" w:w="1701"/>
          </w:tcPr>
          <w:p>
            <w:pPr>
              <w:spacing w:line="240" w:lineRule="auto"/>
            </w:pPr>
            <w:r/>
            <w:r>
              <w:rPr>
                <w:rFonts w:ascii="Times New Roman" w:hAnsi="Times New Roman" w:cs="Times New Roman"/>
                <w:rFonts w:ascii="Times New Roman" w:hAnsi="Times New Roman"/>
                <w:b w:val="0"/>
                <w:i w:val="0"/>
                <w:sz w:val="20"/>
              </w:rPr>
              <w:t>gamma (asimetria)</w:t>
            </w:r>
          </w:p>
        </w:tc>
        <w:tc>
          <w:tcPr>
            <w:tcW w:type="dxa" w:w="1701"/>
          </w:tcPr>
          <w:p>
            <w:pPr>
              <w:spacing w:line="240" w:lineRule="auto"/>
            </w:pPr>
            <w:r/>
            <w:r>
              <w:rPr>
                <w:rFonts w:ascii="Times New Roman" w:hAnsi="Times New Roman" w:cs="Times New Roman"/>
                <w:rFonts w:ascii="Times New Roman" w:hAnsi="Times New Roman"/>
                <w:b w:val="0"/>
                <w:i w:val="0"/>
                <w:sz w:val="20"/>
              </w:rPr>
              <w:t>-0,042</w:t>
            </w:r>
          </w:p>
        </w:tc>
        <w:tc>
          <w:tcPr>
            <w:tcW w:type="dxa" w:w="1701"/>
          </w:tcPr>
          <w:p>
            <w:pPr>
              <w:spacing w:line="240" w:lineRule="auto"/>
            </w:pPr>
            <w:r/>
            <w:r>
              <w:rPr>
                <w:rFonts w:ascii="Times New Roman" w:hAnsi="Times New Roman" w:cs="Times New Roman"/>
                <w:rFonts w:ascii="Times New Roman" w:hAnsi="Times New Roman"/>
                <w:b w:val="0"/>
                <w:i w:val="0"/>
                <w:sz w:val="20"/>
              </w:rPr>
              <w:t>0,028</w:t>
            </w:r>
          </w:p>
        </w:tc>
        <w:tc>
          <w:tcPr>
            <w:tcW w:type="dxa" w:w="1701"/>
          </w:tcPr>
          <w:p>
            <w:pPr>
              <w:spacing w:line="240" w:lineRule="auto"/>
            </w:pPr>
            <w:r/>
            <w:r>
              <w:rPr>
                <w:rFonts w:ascii="Times New Roman" w:hAnsi="Times New Roman" w:cs="Times New Roman"/>
                <w:rFonts w:ascii="Times New Roman" w:hAnsi="Times New Roman"/>
                <w:b w:val="0"/>
                <w:i w:val="0"/>
                <w:sz w:val="20"/>
              </w:rPr>
              <w:t>0,133</w:t>
            </w:r>
          </w:p>
        </w:tc>
        <w:tc>
          <w:tcPr>
            <w:tcW w:type="dxa" w:w="1701"/>
          </w:tcPr>
          <w:p>
            <w:pPr>
              <w:spacing w:line="240" w:lineRule="auto"/>
            </w:pPr>
            <w:r/>
            <w:r>
              <w:rPr>
                <w:rFonts w:ascii="Times New Roman" w:hAnsi="Times New Roman" w:cs="Times New Roman"/>
                <w:rFonts w:ascii="Times New Roman" w:hAnsi="Times New Roman"/>
                <w:b w:val="0"/>
                <w:i w:val="0"/>
                <w:sz w:val="20"/>
              </w:rPr>
              <w:t>No significativo</w:t>
            </w:r>
          </w:p>
        </w:tc>
      </w:tr>
      <w:tr>
        <w:tc>
          <w:tcPr>
            <w:tcW w:type="dxa" w:w="1701"/>
          </w:tcPr>
          <w:p>
            <w:pPr>
              <w:spacing w:line="240" w:lineRule="auto"/>
            </w:pPr>
            <w:r/>
            <w:r>
              <w:rPr>
                <w:rFonts w:ascii="Times New Roman" w:hAnsi="Times New Roman" w:cs="Times New Roman"/>
                <w:rFonts w:ascii="Times New Roman" w:hAnsi="Times New Roman"/>
                <w:b w:val="0"/>
                <w:i w:val="0"/>
                <w:sz w:val="20"/>
              </w:rPr>
              <w:t>nu (grados lib.)</w:t>
            </w:r>
          </w:p>
        </w:tc>
        <w:tc>
          <w:tcPr>
            <w:tcW w:type="dxa" w:w="1701"/>
          </w:tcPr>
          <w:p>
            <w:pPr>
              <w:spacing w:line="240" w:lineRule="auto"/>
            </w:pPr>
            <w:r/>
            <w:r>
              <w:rPr>
                <w:rFonts w:ascii="Times New Roman" w:hAnsi="Times New Roman" w:cs="Times New Roman"/>
                <w:rFonts w:ascii="Times New Roman" w:hAnsi="Times New Roman"/>
                <w:b w:val="0"/>
                <w:i w:val="0"/>
                <w:sz w:val="20"/>
              </w:rPr>
              <w:t>5,81</w:t>
            </w:r>
          </w:p>
        </w:tc>
        <w:tc>
          <w:tcPr>
            <w:tcW w:type="dxa" w:w="1701"/>
          </w:tcPr>
          <w:p>
            <w:pPr>
              <w:spacing w:line="240" w:lineRule="auto"/>
            </w:pPr>
            <w:r/>
            <w:r>
              <w:rPr>
                <w:rFonts w:ascii="Times New Roman" w:hAnsi="Times New Roman" w:cs="Times New Roman"/>
                <w:rFonts w:ascii="Times New Roman" w:hAnsi="Times New Roman"/>
                <w:b w:val="0"/>
                <w:i w:val="0"/>
                <w:sz w:val="20"/>
              </w:rPr>
              <w:t>1,24</w:t>
            </w:r>
          </w:p>
        </w:tc>
        <w:tc>
          <w:tcPr>
            <w:tcW w:type="dxa" w:w="1701"/>
          </w:tcPr>
          <w:p>
            <w:pPr>
              <w:spacing w:line="240" w:lineRule="auto"/>
            </w:pPr>
            <w:r/>
            <w:r>
              <w:rPr>
                <w:rFonts w:ascii="Times New Roman" w:hAnsi="Times New Roman" w:cs="Times New Roman"/>
                <w:rFonts w:ascii="Times New Roman" w:hAnsi="Times New Roman"/>
                <w:b w:val="0"/>
                <w:i w:val="0"/>
                <w:sz w:val="20"/>
              </w:rPr>
              <w:t>&lt; 0,001</w:t>
            </w:r>
          </w:p>
        </w:tc>
        <w:tc>
          <w:tcPr>
            <w:tcW w:type="dxa" w:w="1701"/>
          </w:tcPr>
          <w:p>
            <w:pPr>
              <w:spacing w:line="240" w:lineRule="auto"/>
            </w:pPr>
            <w:r/>
            <w:r>
              <w:rPr>
                <w:rFonts w:ascii="Times New Roman" w:hAnsi="Times New Roman" w:cs="Times New Roman"/>
                <w:rFonts w:ascii="Times New Roman" w:hAnsi="Times New Roman"/>
                <w:b w:val="0"/>
                <w:i w:val="0"/>
                <w:sz w:val="20"/>
              </w:rPr>
              <w:t>Colas pesadas (t-Student)</w:t>
            </w:r>
          </w:p>
        </w:tc>
      </w:tr>
    </w:tbl>
    <w:p/>
    <w:p>
      <w:pPr/>
      <w:r>
        <w:rPr>
          <w:rFonts w:ascii="Times New Roman" w:hAnsi="Times New Roman" w:cs="Times New Roman"/>
          <w:rFonts w:ascii="Times New Roman" w:hAnsi="Times New Roman"/>
          <w:b w:val="0"/>
          <w:i w:val="0"/>
          <w:sz w:val="24"/>
        </w:rPr>
        <w:t>El parametro beta (0,847) indica clusters de volatilidad de larga duracion. El gamma no es significativo (p = 0,133): para el oro, subidas y bajadas generan incrementos similares de volatilidad.</w:t>
      </w:r>
    </w:p>
    <w:p>
      <w:pPr>
        <w:pStyle w:val="Heading2"/>
      </w:pPr>
      <w:r>
        <w:t>5.7 Estabilidad estructural: Chow y CUSUM</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jc w:val="center"/>
            </w:pPr>
            <w:r/>
            <w:r>
              <w:rPr>
                <w:rFonts w:ascii="Times New Roman" w:hAnsi="Times New Roman" w:cs="Times New Roman"/>
                <w:rFonts w:ascii="Times New Roman" w:hAnsi="Times New Roman"/>
                <w:b/>
                <w:i w:val="0"/>
                <w:sz w:val="20"/>
              </w:rPr>
              <w:t>Punto de quiebre</w:t>
            </w:r>
          </w:p>
        </w:tc>
        <w:tc>
          <w:tcPr>
            <w:tcW w:type="dxa" w:w="1701"/>
          </w:tcPr>
          <w:p>
            <w:pPr>
              <w:spacing w:line="240" w:lineRule="auto"/>
              <w:jc w:val="center"/>
            </w:pPr>
            <w:r/>
            <w:r>
              <w:rPr>
                <w:rFonts w:ascii="Times New Roman" w:hAnsi="Times New Roman" w:cs="Times New Roman"/>
                <w:rFonts w:ascii="Times New Roman" w:hAnsi="Times New Roman"/>
                <w:b/>
                <w:i w:val="0"/>
                <w:sz w:val="20"/>
              </w:rPr>
              <w:t>Episodio</w:t>
            </w:r>
          </w:p>
        </w:tc>
        <w:tc>
          <w:tcPr>
            <w:tcW w:type="dxa" w:w="1701"/>
          </w:tcPr>
          <w:p>
            <w:pPr>
              <w:spacing w:line="240" w:lineRule="auto"/>
              <w:jc w:val="center"/>
            </w:pPr>
            <w:r/>
            <w:r>
              <w:rPr>
                <w:rFonts w:ascii="Times New Roman" w:hAnsi="Times New Roman" w:cs="Times New Roman"/>
                <w:rFonts w:ascii="Times New Roman" w:hAnsi="Times New Roman"/>
                <w:b/>
                <w:i w:val="0"/>
                <w:sz w:val="20"/>
              </w:rPr>
              <w:t>F-estadistico</w:t>
            </w:r>
          </w:p>
        </w:tc>
        <w:tc>
          <w:tcPr>
            <w:tcW w:type="dxa" w:w="1701"/>
          </w:tcPr>
          <w:p>
            <w:pPr>
              <w:spacing w:line="240" w:lineRule="auto"/>
              <w:jc w:val="center"/>
            </w:pPr>
            <w:r/>
            <w:r>
              <w:rPr>
                <w:rFonts w:ascii="Times New Roman" w:hAnsi="Times New Roman" w:cs="Times New Roman"/>
                <w:rFonts w:ascii="Times New Roman" w:hAnsi="Times New Roman"/>
                <w:b/>
                <w:i w:val="0"/>
                <w:sz w:val="20"/>
              </w:rPr>
              <w:t>p-valor</w:t>
            </w:r>
          </w:p>
        </w:tc>
        <w:tc>
          <w:tcPr>
            <w:tcW w:type="dxa" w:w="1701"/>
          </w:tcPr>
          <w:p>
            <w:pPr>
              <w:spacing w:line="240" w:lineRule="auto"/>
              <w:jc w:val="center"/>
            </w:pPr>
            <w:r/>
            <w:r>
              <w:rPr>
                <w:rFonts w:ascii="Times New Roman" w:hAnsi="Times New Roman" w:cs="Times New Roman"/>
                <w:rFonts w:ascii="Times New Roman" w:hAnsi="Times New Roman"/>
                <w:b/>
                <w:i w:val="0"/>
                <w:sz w:val="20"/>
              </w:rPr>
              <w:t>Decision</w:t>
            </w:r>
          </w:p>
        </w:tc>
      </w:tr>
      <w:tr>
        <w:tc>
          <w:tcPr>
            <w:tcW w:type="dxa" w:w="1701"/>
          </w:tcPr>
          <w:p>
            <w:pPr>
              <w:spacing w:line="240" w:lineRule="auto"/>
            </w:pPr>
            <w:r/>
            <w:r>
              <w:rPr>
                <w:rFonts w:ascii="Times New Roman" w:hAnsi="Times New Roman" w:cs="Times New Roman"/>
                <w:rFonts w:ascii="Times New Roman" w:hAnsi="Times New Roman"/>
                <w:b w:val="0"/>
                <w:i w:val="0"/>
                <w:sz w:val="20"/>
              </w:rPr>
              <w:t>Agosto 2007</w:t>
            </w:r>
          </w:p>
        </w:tc>
        <w:tc>
          <w:tcPr>
            <w:tcW w:type="dxa" w:w="1701"/>
          </w:tcPr>
          <w:p>
            <w:pPr>
              <w:spacing w:line="240" w:lineRule="auto"/>
            </w:pPr>
            <w:r/>
            <w:r>
              <w:rPr>
                <w:rFonts w:ascii="Times New Roman" w:hAnsi="Times New Roman" w:cs="Times New Roman"/>
                <w:rFonts w:ascii="Times New Roman" w:hAnsi="Times New Roman"/>
                <w:b w:val="0"/>
                <w:i w:val="0"/>
                <w:sz w:val="20"/>
              </w:rPr>
              <w:t>Inicio crisis subprime</w:t>
            </w:r>
          </w:p>
        </w:tc>
        <w:tc>
          <w:tcPr>
            <w:tcW w:type="dxa" w:w="1701"/>
          </w:tcPr>
          <w:p>
            <w:pPr>
              <w:spacing w:line="240" w:lineRule="auto"/>
            </w:pPr>
            <w:r/>
            <w:r>
              <w:rPr>
                <w:rFonts w:ascii="Times New Roman" w:hAnsi="Times New Roman" w:cs="Times New Roman"/>
                <w:rFonts w:ascii="Times New Roman" w:hAnsi="Times New Roman"/>
                <w:b w:val="0"/>
                <w:i w:val="0"/>
                <w:sz w:val="20"/>
              </w:rPr>
              <w:t>3,21</w:t>
            </w:r>
          </w:p>
        </w:tc>
        <w:tc>
          <w:tcPr>
            <w:tcW w:type="dxa" w:w="1701"/>
          </w:tcPr>
          <w:p>
            <w:pPr>
              <w:spacing w:line="240" w:lineRule="auto"/>
            </w:pPr>
            <w:r/>
            <w:r>
              <w:rPr>
                <w:rFonts w:ascii="Times New Roman" w:hAnsi="Times New Roman" w:cs="Times New Roman"/>
                <w:rFonts w:ascii="Times New Roman" w:hAnsi="Times New Roman"/>
                <w:b w:val="0"/>
                <w:i w:val="0"/>
                <w:sz w:val="20"/>
              </w:rPr>
              <w:t>0,008</w:t>
            </w:r>
          </w:p>
        </w:tc>
        <w:tc>
          <w:tcPr>
            <w:tcW w:type="dxa" w:w="1701"/>
          </w:tcPr>
          <w:p>
            <w:pPr>
              <w:spacing w:line="240" w:lineRule="auto"/>
            </w:pPr>
            <w:r/>
            <w:r>
              <w:rPr>
                <w:rFonts w:ascii="Times New Roman" w:hAnsi="Times New Roman" w:cs="Times New Roman"/>
                <w:rFonts w:ascii="Times New Roman" w:hAnsi="Times New Roman"/>
                <w:b w:val="0"/>
                <w:i w:val="0"/>
                <w:sz w:val="20"/>
              </w:rPr>
              <w:t>Rechazo al 1%</w:t>
            </w:r>
          </w:p>
        </w:tc>
      </w:tr>
      <w:tr>
        <w:tc>
          <w:tcPr>
            <w:tcW w:type="dxa" w:w="1701"/>
          </w:tcPr>
          <w:p>
            <w:pPr>
              <w:spacing w:line="240" w:lineRule="auto"/>
            </w:pPr>
            <w:r/>
            <w:r>
              <w:rPr>
                <w:rFonts w:ascii="Times New Roman" w:hAnsi="Times New Roman" w:cs="Times New Roman"/>
                <w:rFonts w:ascii="Times New Roman" w:hAnsi="Times New Roman"/>
                <w:b w:val="0"/>
                <w:i w:val="0"/>
                <w:sz w:val="20"/>
              </w:rPr>
              <w:t>Septiembre 2011</w:t>
            </w:r>
          </w:p>
        </w:tc>
        <w:tc>
          <w:tcPr>
            <w:tcW w:type="dxa" w:w="1701"/>
          </w:tcPr>
          <w:p>
            <w:pPr>
              <w:spacing w:line="240" w:lineRule="auto"/>
            </w:pPr>
            <w:r/>
            <w:r>
              <w:rPr>
                <w:rFonts w:ascii="Times New Roman" w:hAnsi="Times New Roman" w:cs="Times New Roman"/>
                <w:rFonts w:ascii="Times New Roman" w:hAnsi="Times New Roman"/>
                <w:b w:val="0"/>
                <w:i w:val="0"/>
                <w:sz w:val="20"/>
              </w:rPr>
              <w:t>Maximos post-QE</w:t>
            </w:r>
          </w:p>
        </w:tc>
        <w:tc>
          <w:tcPr>
            <w:tcW w:type="dxa" w:w="1701"/>
          </w:tcPr>
          <w:p>
            <w:pPr>
              <w:spacing w:line="240" w:lineRule="auto"/>
            </w:pPr>
            <w:r/>
            <w:r>
              <w:rPr>
                <w:rFonts w:ascii="Times New Roman" w:hAnsi="Times New Roman" w:cs="Times New Roman"/>
                <w:rFonts w:ascii="Times New Roman" w:hAnsi="Times New Roman"/>
                <w:b w:val="0"/>
                <w:i w:val="0"/>
                <w:sz w:val="20"/>
              </w:rPr>
              <w:t>2,14</w:t>
            </w:r>
          </w:p>
        </w:tc>
        <w:tc>
          <w:tcPr>
            <w:tcW w:type="dxa" w:w="1701"/>
          </w:tcPr>
          <w:p>
            <w:pPr>
              <w:spacing w:line="240" w:lineRule="auto"/>
            </w:pPr>
            <w:r/>
            <w:r>
              <w:rPr>
                <w:rFonts w:ascii="Times New Roman" w:hAnsi="Times New Roman" w:cs="Times New Roman"/>
                <w:rFonts w:ascii="Times New Roman" w:hAnsi="Times New Roman"/>
                <w:b w:val="0"/>
                <w:i w:val="0"/>
                <w:sz w:val="20"/>
              </w:rPr>
              <w:t>0,063</w:t>
            </w:r>
          </w:p>
        </w:tc>
        <w:tc>
          <w:tcPr>
            <w:tcW w:type="dxa" w:w="1701"/>
          </w:tcPr>
          <w:p>
            <w:pPr>
              <w:spacing w:line="240" w:lineRule="auto"/>
            </w:pPr>
            <w:r/>
            <w:r>
              <w:rPr>
                <w:rFonts w:ascii="Times New Roman" w:hAnsi="Times New Roman" w:cs="Times New Roman"/>
                <w:rFonts w:ascii="Times New Roman" w:hAnsi="Times New Roman"/>
                <w:b w:val="0"/>
                <w:i w:val="0"/>
                <w:sz w:val="20"/>
              </w:rPr>
              <w:t>No rechazo al 5%</w:t>
            </w:r>
          </w:p>
        </w:tc>
      </w:tr>
      <w:tr>
        <w:tc>
          <w:tcPr>
            <w:tcW w:type="dxa" w:w="1701"/>
          </w:tcPr>
          <w:p>
            <w:pPr>
              <w:spacing w:line="240" w:lineRule="auto"/>
            </w:pPr>
            <w:r/>
            <w:r>
              <w:rPr>
                <w:rFonts w:ascii="Times New Roman" w:hAnsi="Times New Roman" w:cs="Times New Roman"/>
                <w:rFonts w:ascii="Times New Roman" w:hAnsi="Times New Roman"/>
                <w:b w:val="0"/>
                <w:i w:val="0"/>
                <w:sz w:val="20"/>
              </w:rPr>
              <w:t>Marzo 2020</w:t>
            </w:r>
          </w:p>
        </w:tc>
        <w:tc>
          <w:tcPr>
            <w:tcW w:type="dxa" w:w="1701"/>
          </w:tcPr>
          <w:p>
            <w:pPr>
              <w:spacing w:line="240" w:lineRule="auto"/>
            </w:pPr>
            <w:r/>
            <w:r>
              <w:rPr>
                <w:rFonts w:ascii="Times New Roman" w:hAnsi="Times New Roman" w:cs="Times New Roman"/>
                <w:rFonts w:ascii="Times New Roman" w:hAnsi="Times New Roman"/>
                <w:b w:val="0"/>
                <w:i w:val="0"/>
                <w:sz w:val="20"/>
              </w:rPr>
              <w:t>Inicio pandemia COVID-19</w:t>
            </w:r>
          </w:p>
        </w:tc>
        <w:tc>
          <w:tcPr>
            <w:tcW w:type="dxa" w:w="1701"/>
          </w:tcPr>
          <w:p>
            <w:pPr>
              <w:spacing w:line="240" w:lineRule="auto"/>
            </w:pPr>
            <w:r/>
            <w:r>
              <w:rPr>
                <w:rFonts w:ascii="Times New Roman" w:hAnsi="Times New Roman" w:cs="Times New Roman"/>
                <w:rFonts w:ascii="Times New Roman" w:hAnsi="Times New Roman"/>
                <w:b w:val="0"/>
                <w:i w:val="0"/>
                <w:sz w:val="20"/>
              </w:rPr>
              <w:t>2,87</w:t>
            </w:r>
          </w:p>
        </w:tc>
        <w:tc>
          <w:tcPr>
            <w:tcW w:type="dxa" w:w="1701"/>
          </w:tcPr>
          <w:p>
            <w:pPr>
              <w:spacing w:line="240" w:lineRule="auto"/>
            </w:pPr>
            <w:r/>
            <w:r>
              <w:rPr>
                <w:rFonts w:ascii="Times New Roman" w:hAnsi="Times New Roman" w:cs="Times New Roman"/>
                <w:rFonts w:ascii="Times New Roman" w:hAnsi="Times New Roman"/>
                <w:b w:val="0"/>
                <w:i w:val="0"/>
                <w:sz w:val="20"/>
              </w:rPr>
              <w:t>0,019</w:t>
            </w:r>
          </w:p>
        </w:tc>
        <w:tc>
          <w:tcPr>
            <w:tcW w:type="dxa" w:w="1701"/>
          </w:tcPr>
          <w:p>
            <w:pPr>
              <w:spacing w:line="240" w:lineRule="auto"/>
            </w:pPr>
            <w:r/>
            <w:r>
              <w:rPr>
                <w:rFonts w:ascii="Times New Roman" w:hAnsi="Times New Roman" w:cs="Times New Roman"/>
                <w:rFonts w:ascii="Times New Roman" w:hAnsi="Times New Roman"/>
                <w:b w:val="0"/>
                <w:i w:val="0"/>
                <w:sz w:val="20"/>
              </w:rPr>
              <w:t>Rechazo al 5%</w:t>
            </w:r>
          </w:p>
        </w:tc>
      </w:tr>
      <w:tr>
        <w:tc>
          <w:tcPr>
            <w:tcW w:type="dxa" w:w="1701"/>
          </w:tcPr>
          <w:p>
            <w:pPr>
              <w:spacing w:line="240" w:lineRule="auto"/>
            </w:pPr>
            <w:r/>
            <w:r>
              <w:rPr>
                <w:rFonts w:ascii="Times New Roman" w:hAnsi="Times New Roman" w:cs="Times New Roman"/>
                <w:rFonts w:ascii="Times New Roman" w:hAnsi="Times New Roman"/>
                <w:b w:val="0"/>
                <w:i w:val="0"/>
                <w:sz w:val="20"/>
              </w:rPr>
              <w:t>Marzo 2022</w:t>
            </w:r>
          </w:p>
        </w:tc>
        <w:tc>
          <w:tcPr>
            <w:tcW w:type="dxa" w:w="1701"/>
          </w:tcPr>
          <w:p>
            <w:pPr>
              <w:spacing w:line="240" w:lineRule="auto"/>
            </w:pPr>
            <w:r/>
            <w:r>
              <w:rPr>
                <w:rFonts w:ascii="Times New Roman" w:hAnsi="Times New Roman" w:cs="Times New Roman"/>
                <w:rFonts w:ascii="Times New Roman" w:hAnsi="Times New Roman"/>
                <w:b w:val="0"/>
                <w:i w:val="0"/>
                <w:sz w:val="20"/>
              </w:rPr>
              <w:t>Inicio ciclo subidas tipos Fed</w:t>
            </w:r>
          </w:p>
        </w:tc>
        <w:tc>
          <w:tcPr>
            <w:tcW w:type="dxa" w:w="1701"/>
          </w:tcPr>
          <w:p>
            <w:pPr>
              <w:spacing w:line="240" w:lineRule="auto"/>
            </w:pPr>
            <w:r/>
            <w:r>
              <w:rPr>
                <w:rFonts w:ascii="Times New Roman" w:hAnsi="Times New Roman" w:cs="Times New Roman"/>
                <w:rFonts w:ascii="Times New Roman" w:hAnsi="Times New Roman"/>
                <w:b w:val="0"/>
                <w:i w:val="0"/>
                <w:sz w:val="20"/>
              </w:rPr>
              <w:t>4,53</w:t>
            </w:r>
          </w:p>
        </w:tc>
        <w:tc>
          <w:tcPr>
            <w:tcW w:type="dxa" w:w="1701"/>
          </w:tcPr>
          <w:p>
            <w:pPr>
              <w:spacing w:line="240" w:lineRule="auto"/>
            </w:pPr>
            <w:r/>
            <w:r>
              <w:rPr>
                <w:rFonts w:ascii="Times New Roman" w:hAnsi="Times New Roman" w:cs="Times New Roman"/>
                <w:rFonts w:ascii="Times New Roman" w:hAnsi="Times New Roman"/>
                <w:b w:val="0"/>
                <w:i w:val="0"/>
                <w:sz w:val="20"/>
              </w:rPr>
              <w:t>&lt; 0,001</w:t>
            </w:r>
          </w:p>
        </w:tc>
        <w:tc>
          <w:tcPr>
            <w:tcW w:type="dxa" w:w="1701"/>
          </w:tcPr>
          <w:p>
            <w:pPr>
              <w:spacing w:line="240" w:lineRule="auto"/>
            </w:pPr>
            <w:r/>
            <w:r>
              <w:rPr>
                <w:rFonts w:ascii="Times New Roman" w:hAnsi="Times New Roman" w:cs="Times New Roman"/>
                <w:rFonts w:ascii="Times New Roman" w:hAnsi="Times New Roman"/>
                <w:b w:val="0"/>
                <w:i w:val="0"/>
                <w:sz w:val="20"/>
              </w:rPr>
              <w:t>Rechazo al 0,1%</w:t>
            </w:r>
          </w:p>
        </w:tc>
      </w:tr>
    </w:tbl>
    <w:p/>
    <w:p>
      <w:pPr/>
      <w:r>
        <w:rPr>
          <w:rFonts w:ascii="Times New Roman" w:hAnsi="Times New Roman" w:cs="Times New Roman"/>
          <w:rFonts w:ascii="Times New Roman" w:hAnsi="Times New Roman"/>
          <w:b w:val="0"/>
          <w:i w:val="0"/>
          <w:sz w:val="24"/>
        </w:rPr>
        <w:t xml:space="preserve">El mayor F-estadistico se obtiene en </w:t>
      </w:r>
      <w:r>
        <w:rPr>
          <w:rFonts w:ascii="Times New Roman" w:hAnsi="Times New Roman" w:cs="Times New Roman"/>
          <w:rFonts w:ascii="Times New Roman" w:hAnsi="Times New Roman"/>
          <w:b/>
          <w:i w:val="0"/>
          <w:sz w:val="24"/>
        </w:rPr>
        <w:t>marzo de 2022</w:t>
      </w:r>
      <w:r>
        <w:rPr>
          <w:rFonts w:ascii="Times New Roman" w:hAnsi="Times New Roman" w:cs="Times New Roman"/>
          <w:rFonts w:ascii="Times New Roman" w:hAnsi="Times New Roman"/>
          <w:b w:val="0"/>
          <w:i w:val="0"/>
          <w:sz w:val="24"/>
        </w:rPr>
        <w:t xml:space="preserve"> (F = 4,53, p &lt; 0,001). El analisis CUSUM sale de las bandas de confianza al 5% durante 2022-2024. Los coeficientes rolling del TIPS muestran que su efecto negativo sobre el oro se atuo de -0,68 a -0,25 en ese periodo: la firma econometrica de la paradoja que el Capitulo 8 analiza en profundidad.</w:t>
      </w:r>
    </w:p>
    <w:p>
      <w:r>
        <w:br w:type="page"/>
      </w:r>
    </w:p>
    <w:p>
      <w:pPr>
        <w:pStyle w:val="Heading1"/>
      </w:pPr>
      <w:r>
        <w:t>Capitulo 6: Analisis de panel cross-country</w:t>
      </w:r>
    </w:p>
    <w:p>
      <w:pPr>
        <w:pStyle w:val="Heading2"/>
      </w:pPr>
      <w:r>
        <w:t>6.1 Motivacion</w:t>
      </w:r>
    </w:p>
    <w:p>
      <w:pPr/>
      <w:r>
        <w:rPr>
          <w:rFonts w:ascii="Times New Roman" w:hAnsi="Times New Roman" w:cs="Times New Roman"/>
          <w:rFonts w:ascii="Times New Roman" w:hAnsi="Times New Roman"/>
          <w:b w:val="0"/>
          <w:i w:val="0"/>
          <w:sz w:val="24"/>
        </w:rPr>
        <w:t xml:space="preserve">Los capitulos precedentes analizan el oro desde la perspectiva del mercado estadounidense. Baur y McDermott (2010) documentaron que el oro fue safe haven durante la GFC para mercados europeos y anglosajones pero no para los BRIC. Si el comportamiento del oro varia segun la economia, los modelos solo con datos de EE.UU. pueden generalizar incorrectamente. Este capitulo aplica un analisis de </w:t>
      </w:r>
      <w:r>
        <w:rPr>
          <w:rFonts w:ascii="Times New Roman" w:hAnsi="Times New Roman" w:cs="Times New Roman"/>
          <w:rFonts w:ascii="Times New Roman" w:hAnsi="Times New Roman"/>
          <w:b/>
          <w:i w:val="0"/>
          <w:sz w:val="24"/>
        </w:rPr>
        <w:t>datos de panel estatico</w:t>
      </w:r>
      <w:r>
        <w:rPr>
          <w:rFonts w:ascii="Times New Roman" w:hAnsi="Times New Roman" w:cs="Times New Roman"/>
          <w:rFonts w:ascii="Times New Roman" w:hAnsi="Times New Roman"/>
          <w:b w:val="0"/>
          <w:i w:val="0"/>
          <w:sz w:val="24"/>
        </w:rPr>
        <w:t xml:space="preserve"> con efectos fijos, efectos aleatorios y contraste de Hausman a cuatro economias avanzadas.</w:t>
      </w:r>
    </w:p>
    <w:p>
      <w:pPr>
        <w:pStyle w:val="Heading2"/>
      </w:pPr>
      <w:r>
        <w:t>6.2 Muestra, variables y especificacion</w:t>
      </w:r>
    </w:p>
    <w:p>
      <w:pPr/>
      <w:r>
        <w:rPr>
          <w:rFonts w:ascii="Times New Roman" w:hAnsi="Times New Roman" w:cs="Times New Roman"/>
          <w:rFonts w:ascii="Times New Roman" w:hAnsi="Times New Roman"/>
          <w:b w:val="0"/>
          <w:i w:val="0"/>
          <w:sz w:val="24"/>
        </w:rPr>
        <w:t>El panel comprende N = 4 economias, T = 96 trimestres y N</w:t>
      </w:r>
      <w:r>
        <w:rPr>
          <w:rFonts w:ascii="Times New Roman" w:hAnsi="Times New Roman" w:cs="Times New Roman"/>
          <w:rFonts w:ascii="Times New Roman" w:hAnsi="Times New Roman"/>
          <w:b w:val="0"/>
          <w:i/>
          <w:sz w:val="24"/>
        </w:rPr>
        <w:t xml:space="preserve">T = 384 observaciones. La variable dependiente es el retorno trimestral del oro en </w:t>
      </w: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val="0"/>
          <w:i/>
          <w:sz w:val="24"/>
        </w:rPr>
        <w:t>moneda local</w:t>
      </w:r>
      <w:r>
        <w:rPr>
          <w:rFonts w:ascii="Times New Roman" w:hAnsi="Times New Roman" w:cs="Times New Roman"/>
          <w:rFonts w:ascii="Times New Roman" w:hAnsi="Times New Roman"/>
          <w:b w:val="0"/>
          <w:i w:val="0"/>
          <w:sz w:val="24"/>
        </w:rPr>
        <w:t>*. El modelo especificado es:</w:t>
      </w:r>
    </w:p>
    <w:p>
      <w:pPr/>
      <w:r>
        <w:rPr>
          <w:rFonts w:ascii="Times New Roman" w:hAnsi="Times New Roman" w:cs="Times New Roman"/>
          <w:rFonts w:ascii="Times New Roman" w:hAnsi="Times New Roman"/>
          <w:b w:val="0"/>
          <w:i w:val="0"/>
          <w:sz w:val="24"/>
        </w:rPr>
        <w:t>r_gold_it = beta_0 + beta_1</w:t>
      </w:r>
      <w:r>
        <w:rPr>
          <w:rFonts w:ascii="Times New Roman" w:hAnsi="Times New Roman" w:cs="Times New Roman"/>
          <w:rFonts w:ascii="Times New Roman" w:hAnsi="Times New Roman"/>
          <w:b w:val="0"/>
          <w:i/>
          <w:sz w:val="24"/>
        </w:rPr>
        <w:t>pi_it + beta_2</w:t>
      </w:r>
      <w:r>
        <w:rPr>
          <w:rFonts w:ascii="Times New Roman" w:hAnsi="Times New Roman" w:cs="Times New Roman"/>
          <w:rFonts w:ascii="Times New Roman" w:hAnsi="Times New Roman"/>
          <w:b w:val="0"/>
          <w:i w:val="0"/>
          <w:sz w:val="24"/>
        </w:rPr>
        <w:t>r_it + beta_3</w:t>
      </w:r>
      <w:r>
        <w:rPr>
          <w:rFonts w:ascii="Times New Roman" w:hAnsi="Times New Roman" w:cs="Times New Roman"/>
          <w:rFonts w:ascii="Times New Roman" w:hAnsi="Times New Roman"/>
          <w:b w:val="0"/>
          <w:i/>
          <w:sz w:val="24"/>
        </w:rPr>
        <w:t>VIX_t + beta_4</w:t>
      </w:r>
      <w:r>
        <w:rPr>
          <w:rFonts w:ascii="Times New Roman" w:hAnsi="Times New Roman" w:cs="Times New Roman"/>
          <w:rFonts w:ascii="Times New Roman" w:hAnsi="Times New Roman"/>
          <w:b w:val="0"/>
          <w:i w:val="0"/>
          <w:sz w:val="24"/>
        </w:rPr>
        <w:t>eq_it + eta_i + epsilon_it</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jc w:val="center"/>
            </w:pPr>
            <w:r/>
            <w:r>
              <w:rPr>
                <w:rFonts w:ascii="Times New Roman" w:hAnsi="Times New Roman" w:cs="Times New Roman"/>
                <w:rFonts w:ascii="Times New Roman" w:hAnsi="Times New Roman"/>
                <w:b/>
                <w:i w:val="0"/>
                <w:sz w:val="20"/>
              </w:rPr>
              <w:t>Economia</w:t>
            </w:r>
          </w:p>
        </w:tc>
        <w:tc>
          <w:tcPr>
            <w:tcW w:type="dxa" w:w="1701"/>
          </w:tcPr>
          <w:p>
            <w:pPr>
              <w:spacing w:line="240" w:lineRule="auto"/>
              <w:jc w:val="center"/>
            </w:pPr>
            <w:r/>
            <w:r>
              <w:rPr>
                <w:rFonts w:ascii="Times New Roman" w:hAnsi="Times New Roman" w:cs="Times New Roman"/>
                <w:rFonts w:ascii="Times New Roman" w:hAnsi="Times New Roman"/>
                <w:b/>
                <w:i w:val="0"/>
                <w:sz w:val="20"/>
              </w:rPr>
              <w:t>Moneda</w:t>
            </w:r>
          </w:p>
        </w:tc>
        <w:tc>
          <w:tcPr>
            <w:tcW w:type="dxa" w:w="1701"/>
          </w:tcPr>
          <w:p>
            <w:pPr>
              <w:spacing w:line="240" w:lineRule="auto"/>
              <w:jc w:val="center"/>
            </w:pPr>
            <w:r/>
            <w:r>
              <w:rPr>
                <w:rFonts w:ascii="Times New Roman" w:hAnsi="Times New Roman" w:cs="Times New Roman"/>
                <w:rFonts w:ascii="Times New Roman" w:hAnsi="Times New Roman"/>
                <w:b/>
                <w:i w:val="0"/>
                <w:sz w:val="20"/>
              </w:rPr>
              <w:t>Indice bursatil</w:t>
            </w:r>
          </w:p>
        </w:tc>
        <w:tc>
          <w:tcPr>
            <w:tcW w:type="dxa" w:w="1701"/>
          </w:tcPr>
          <w:p>
            <w:pPr>
              <w:spacing w:line="240" w:lineRule="auto"/>
              <w:jc w:val="center"/>
            </w:pPr>
            <w:r/>
            <w:r>
              <w:rPr>
                <w:rFonts w:ascii="Times New Roman" w:hAnsi="Times New Roman" w:cs="Times New Roman"/>
                <w:rFonts w:ascii="Times New Roman" w:hAnsi="Times New Roman"/>
                <w:b/>
                <w:i w:val="0"/>
                <w:sz w:val="20"/>
              </w:rPr>
              <w:t>Inflacion</w:t>
            </w:r>
          </w:p>
        </w:tc>
        <w:tc>
          <w:tcPr>
            <w:tcW w:type="dxa" w:w="1701"/>
          </w:tcPr>
          <w:p>
            <w:pPr>
              <w:spacing w:line="240" w:lineRule="auto"/>
              <w:jc w:val="center"/>
            </w:pPr>
            <w:r/>
            <w:r>
              <w:rPr>
                <w:rFonts w:ascii="Times New Roman" w:hAnsi="Times New Roman" w:cs="Times New Roman"/>
                <w:rFonts w:ascii="Times New Roman" w:hAnsi="Times New Roman"/>
                <w:b/>
                <w:i w:val="0"/>
                <w:sz w:val="20"/>
              </w:rPr>
              <w:t>Tipo real 10Y</w:t>
            </w:r>
          </w:p>
        </w:tc>
      </w:tr>
      <w:tr>
        <w:tc>
          <w:tcPr>
            <w:tcW w:type="dxa" w:w="1701"/>
          </w:tcPr>
          <w:p>
            <w:pPr>
              <w:spacing w:line="240" w:lineRule="auto"/>
            </w:pPr>
            <w:r/>
            <w:r>
              <w:rPr>
                <w:rFonts w:ascii="Times New Roman" w:hAnsi="Times New Roman" w:cs="Times New Roman"/>
                <w:rFonts w:ascii="Times New Roman" w:hAnsi="Times New Roman"/>
                <w:b w:val="0"/>
                <w:i w:val="0"/>
                <w:sz w:val="20"/>
              </w:rPr>
              <w:t>EE.UU.</w:t>
            </w:r>
          </w:p>
        </w:tc>
        <w:tc>
          <w:tcPr>
            <w:tcW w:type="dxa" w:w="1701"/>
          </w:tcPr>
          <w:p>
            <w:pPr>
              <w:spacing w:line="240" w:lineRule="auto"/>
            </w:pPr>
            <w:r/>
            <w:r>
              <w:rPr>
                <w:rFonts w:ascii="Times New Roman" w:hAnsi="Times New Roman" w:cs="Times New Roman"/>
                <w:rFonts w:ascii="Times New Roman" w:hAnsi="Times New Roman"/>
                <w:b w:val="0"/>
                <w:i w:val="0"/>
                <w:sz w:val="20"/>
              </w:rPr>
              <w:t>USD</w:t>
            </w:r>
          </w:p>
        </w:tc>
        <w:tc>
          <w:tcPr>
            <w:tcW w:type="dxa" w:w="1701"/>
          </w:tcPr>
          <w:p>
            <w:pPr>
              <w:spacing w:line="240" w:lineRule="auto"/>
            </w:pPr>
            <w:r/>
            <w:r>
              <w:rPr>
                <w:rFonts w:ascii="Times New Roman" w:hAnsi="Times New Roman" w:cs="Times New Roman"/>
                <w:rFonts w:ascii="Times New Roman" w:hAnsi="Times New Roman"/>
                <w:b w:val="0"/>
                <w:i w:val="0"/>
                <w:sz w:val="20"/>
              </w:rPr>
              <w:t>S&amp;P 500</w:t>
            </w:r>
          </w:p>
        </w:tc>
        <w:tc>
          <w:tcPr>
            <w:tcW w:type="dxa" w:w="1701"/>
          </w:tcPr>
          <w:p>
            <w:pPr>
              <w:spacing w:line="240" w:lineRule="auto"/>
            </w:pPr>
            <w:r/>
            <w:r>
              <w:rPr>
                <w:rFonts w:ascii="Times New Roman" w:hAnsi="Times New Roman" w:cs="Times New Roman"/>
                <w:rFonts w:ascii="Times New Roman" w:hAnsi="Times New Roman"/>
                <w:b w:val="0"/>
                <w:i w:val="0"/>
                <w:sz w:val="20"/>
              </w:rPr>
              <w:t>CPI (FRED)</w:t>
            </w:r>
          </w:p>
        </w:tc>
        <w:tc>
          <w:tcPr>
            <w:tcW w:type="dxa" w:w="1701"/>
          </w:tcPr>
          <w:p>
            <w:pPr>
              <w:spacing w:line="240" w:lineRule="auto"/>
            </w:pPr>
            <w:r/>
            <w:r>
              <w:rPr>
                <w:rFonts w:ascii="Times New Roman" w:hAnsi="Times New Roman" w:cs="Times New Roman"/>
                <w:rFonts w:ascii="Times New Roman" w:hAnsi="Times New Roman"/>
                <w:b w:val="0"/>
                <w:i w:val="0"/>
                <w:sz w:val="20"/>
              </w:rPr>
              <w:t>TIPS (FRED)</w:t>
            </w:r>
          </w:p>
        </w:tc>
      </w:tr>
      <w:tr>
        <w:tc>
          <w:tcPr>
            <w:tcW w:type="dxa" w:w="1701"/>
          </w:tcPr>
          <w:p>
            <w:pPr>
              <w:spacing w:line="240" w:lineRule="auto"/>
            </w:pPr>
            <w:r/>
            <w:r>
              <w:rPr>
                <w:rFonts w:ascii="Times New Roman" w:hAnsi="Times New Roman" w:cs="Times New Roman"/>
                <w:rFonts w:ascii="Times New Roman" w:hAnsi="Times New Roman"/>
                <w:b w:val="0"/>
                <w:i w:val="0"/>
                <w:sz w:val="20"/>
              </w:rPr>
              <w:t>Eurozona</w:t>
            </w:r>
          </w:p>
        </w:tc>
        <w:tc>
          <w:tcPr>
            <w:tcW w:type="dxa" w:w="1701"/>
          </w:tcPr>
          <w:p>
            <w:pPr>
              <w:spacing w:line="240" w:lineRule="auto"/>
            </w:pPr>
            <w:r/>
            <w:r>
              <w:rPr>
                <w:rFonts w:ascii="Times New Roman" w:hAnsi="Times New Roman" w:cs="Times New Roman"/>
                <w:rFonts w:ascii="Times New Roman" w:hAnsi="Times New Roman"/>
                <w:b w:val="0"/>
                <w:i w:val="0"/>
                <w:sz w:val="20"/>
              </w:rPr>
              <w:t>EUR</w:t>
            </w:r>
          </w:p>
        </w:tc>
        <w:tc>
          <w:tcPr>
            <w:tcW w:type="dxa" w:w="1701"/>
          </w:tcPr>
          <w:p>
            <w:pPr>
              <w:spacing w:line="240" w:lineRule="auto"/>
            </w:pPr>
            <w:r/>
            <w:r>
              <w:rPr>
                <w:rFonts w:ascii="Times New Roman" w:hAnsi="Times New Roman" w:cs="Times New Roman"/>
                <w:rFonts w:ascii="Times New Roman" w:hAnsi="Times New Roman"/>
                <w:b w:val="0"/>
                <w:i w:val="0"/>
                <w:sz w:val="20"/>
              </w:rPr>
              <w:t>EuroStoxx 50</w:t>
            </w:r>
          </w:p>
        </w:tc>
        <w:tc>
          <w:tcPr>
            <w:tcW w:type="dxa" w:w="1701"/>
          </w:tcPr>
          <w:p>
            <w:pPr>
              <w:spacing w:line="240" w:lineRule="auto"/>
            </w:pPr>
            <w:r/>
            <w:r>
              <w:rPr>
                <w:rFonts w:ascii="Times New Roman" w:hAnsi="Times New Roman" w:cs="Times New Roman"/>
                <w:rFonts w:ascii="Times New Roman" w:hAnsi="Times New Roman"/>
                <w:b w:val="0"/>
                <w:i w:val="0"/>
                <w:sz w:val="20"/>
              </w:rPr>
              <w:t>HICP (Eurostat)</w:t>
            </w:r>
          </w:p>
        </w:tc>
        <w:tc>
          <w:tcPr>
            <w:tcW w:type="dxa" w:w="1701"/>
          </w:tcPr>
          <w:p>
            <w:pPr>
              <w:spacing w:line="240" w:lineRule="auto"/>
            </w:pPr>
            <w:r/>
            <w:r>
              <w:rPr>
                <w:rFonts w:ascii="Times New Roman" w:hAnsi="Times New Roman" w:cs="Times New Roman"/>
                <w:rFonts w:ascii="Times New Roman" w:hAnsi="Times New Roman"/>
                <w:b w:val="0"/>
                <w:i w:val="0"/>
                <w:sz w:val="20"/>
              </w:rPr>
              <w:t>OAT real (BCE)</w:t>
            </w:r>
          </w:p>
        </w:tc>
      </w:tr>
      <w:tr>
        <w:tc>
          <w:tcPr>
            <w:tcW w:type="dxa" w:w="1701"/>
          </w:tcPr>
          <w:p>
            <w:pPr>
              <w:spacing w:line="240" w:lineRule="auto"/>
            </w:pPr>
            <w:r/>
            <w:r>
              <w:rPr>
                <w:rFonts w:ascii="Times New Roman" w:hAnsi="Times New Roman" w:cs="Times New Roman"/>
                <w:rFonts w:ascii="Times New Roman" w:hAnsi="Times New Roman"/>
                <w:b w:val="0"/>
                <w:i w:val="0"/>
                <w:sz w:val="20"/>
              </w:rPr>
              <w:t>R. Unido</w:t>
            </w:r>
          </w:p>
        </w:tc>
        <w:tc>
          <w:tcPr>
            <w:tcW w:type="dxa" w:w="1701"/>
          </w:tcPr>
          <w:p>
            <w:pPr>
              <w:spacing w:line="240" w:lineRule="auto"/>
            </w:pPr>
            <w:r/>
            <w:r>
              <w:rPr>
                <w:rFonts w:ascii="Times New Roman" w:hAnsi="Times New Roman" w:cs="Times New Roman"/>
                <w:rFonts w:ascii="Times New Roman" w:hAnsi="Times New Roman"/>
                <w:b w:val="0"/>
                <w:i w:val="0"/>
                <w:sz w:val="20"/>
              </w:rPr>
              <w:t>GBP</w:t>
            </w:r>
          </w:p>
        </w:tc>
        <w:tc>
          <w:tcPr>
            <w:tcW w:type="dxa" w:w="1701"/>
          </w:tcPr>
          <w:p>
            <w:pPr>
              <w:spacing w:line="240" w:lineRule="auto"/>
            </w:pPr>
            <w:r/>
            <w:r>
              <w:rPr>
                <w:rFonts w:ascii="Times New Roman" w:hAnsi="Times New Roman" w:cs="Times New Roman"/>
                <w:rFonts w:ascii="Times New Roman" w:hAnsi="Times New Roman"/>
                <w:b w:val="0"/>
                <w:i w:val="0"/>
                <w:sz w:val="20"/>
              </w:rPr>
              <w:t>FTSE 100</w:t>
            </w:r>
          </w:p>
        </w:tc>
        <w:tc>
          <w:tcPr>
            <w:tcW w:type="dxa" w:w="1701"/>
          </w:tcPr>
          <w:p>
            <w:pPr>
              <w:spacing w:line="240" w:lineRule="auto"/>
            </w:pPr>
            <w:r/>
            <w:r>
              <w:rPr>
                <w:rFonts w:ascii="Times New Roman" w:hAnsi="Times New Roman" w:cs="Times New Roman"/>
                <w:rFonts w:ascii="Times New Roman" w:hAnsi="Times New Roman"/>
                <w:b w:val="0"/>
                <w:i w:val="0"/>
                <w:sz w:val="20"/>
              </w:rPr>
              <w:t>CPI (ONS)</w:t>
            </w:r>
          </w:p>
        </w:tc>
        <w:tc>
          <w:tcPr>
            <w:tcW w:type="dxa" w:w="1701"/>
          </w:tcPr>
          <w:p>
            <w:pPr>
              <w:spacing w:line="240" w:lineRule="auto"/>
            </w:pPr>
            <w:r/>
            <w:r>
              <w:rPr>
                <w:rFonts w:ascii="Times New Roman" w:hAnsi="Times New Roman" w:cs="Times New Roman"/>
                <w:rFonts w:ascii="Times New Roman" w:hAnsi="Times New Roman"/>
                <w:b w:val="0"/>
                <w:i w:val="0"/>
                <w:sz w:val="20"/>
              </w:rPr>
              <w:t>Gilt real (BoE)</w:t>
            </w:r>
          </w:p>
        </w:tc>
      </w:tr>
      <w:tr>
        <w:tc>
          <w:tcPr>
            <w:tcW w:type="dxa" w:w="1701"/>
          </w:tcPr>
          <w:p>
            <w:pPr>
              <w:spacing w:line="240" w:lineRule="auto"/>
            </w:pPr>
            <w:r/>
            <w:r>
              <w:rPr>
                <w:rFonts w:ascii="Times New Roman" w:hAnsi="Times New Roman" w:cs="Times New Roman"/>
                <w:rFonts w:ascii="Times New Roman" w:hAnsi="Times New Roman"/>
                <w:b w:val="0"/>
                <w:i w:val="0"/>
                <w:sz w:val="20"/>
              </w:rPr>
              <w:t>Japon</w:t>
            </w:r>
          </w:p>
        </w:tc>
        <w:tc>
          <w:tcPr>
            <w:tcW w:type="dxa" w:w="1701"/>
          </w:tcPr>
          <w:p>
            <w:pPr>
              <w:spacing w:line="240" w:lineRule="auto"/>
            </w:pPr>
            <w:r/>
            <w:r>
              <w:rPr>
                <w:rFonts w:ascii="Times New Roman" w:hAnsi="Times New Roman" w:cs="Times New Roman"/>
                <w:rFonts w:ascii="Times New Roman" w:hAnsi="Times New Roman"/>
                <w:b w:val="0"/>
                <w:i w:val="0"/>
                <w:sz w:val="20"/>
              </w:rPr>
              <w:t>JPY</w:t>
            </w:r>
          </w:p>
        </w:tc>
        <w:tc>
          <w:tcPr>
            <w:tcW w:type="dxa" w:w="1701"/>
          </w:tcPr>
          <w:p>
            <w:pPr>
              <w:spacing w:line="240" w:lineRule="auto"/>
            </w:pPr>
            <w:r/>
            <w:r>
              <w:rPr>
                <w:rFonts w:ascii="Times New Roman" w:hAnsi="Times New Roman" w:cs="Times New Roman"/>
                <w:rFonts w:ascii="Times New Roman" w:hAnsi="Times New Roman"/>
                <w:b w:val="0"/>
                <w:i w:val="0"/>
                <w:sz w:val="20"/>
              </w:rPr>
              <w:t>Nikkei 225</w:t>
            </w:r>
          </w:p>
        </w:tc>
        <w:tc>
          <w:tcPr>
            <w:tcW w:type="dxa" w:w="1701"/>
          </w:tcPr>
          <w:p>
            <w:pPr>
              <w:spacing w:line="240" w:lineRule="auto"/>
            </w:pPr>
            <w:r/>
            <w:r>
              <w:rPr>
                <w:rFonts w:ascii="Times New Roman" w:hAnsi="Times New Roman" w:cs="Times New Roman"/>
                <w:rFonts w:ascii="Times New Roman" w:hAnsi="Times New Roman"/>
                <w:b w:val="0"/>
                <w:i w:val="0"/>
                <w:sz w:val="20"/>
              </w:rPr>
              <w:t>CPI (BoJ)</w:t>
            </w:r>
          </w:p>
        </w:tc>
        <w:tc>
          <w:tcPr>
            <w:tcW w:type="dxa" w:w="1701"/>
          </w:tcPr>
          <w:p>
            <w:pPr>
              <w:spacing w:line="240" w:lineRule="auto"/>
            </w:pPr>
            <w:r/>
            <w:r>
              <w:rPr>
                <w:rFonts w:ascii="Times New Roman" w:hAnsi="Times New Roman" w:cs="Times New Roman"/>
                <w:rFonts w:ascii="Times New Roman" w:hAnsi="Times New Roman"/>
                <w:b w:val="0"/>
                <w:i w:val="0"/>
                <w:sz w:val="20"/>
              </w:rPr>
              <w:t>JGB real (BoJ)</w:t>
            </w:r>
          </w:p>
        </w:tc>
      </w:tr>
    </w:tbl>
    <w:p/>
    <w:p>
      <w:pPr>
        <w:pStyle w:val="Heading2"/>
      </w:pPr>
      <w:r>
        <w:t>6.3 Efectos fijos vs. efectos aleatorios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pPr>
              <w:spacing w:line="240" w:lineRule="auto"/>
              <w:jc w:val="center"/>
            </w:pPr>
            <w:r/>
            <w:r>
              <w:rPr>
                <w:rFonts w:ascii="Times New Roman" w:hAnsi="Times New Roman" w:cs="Times New Roman"/>
                <w:rFonts w:ascii="Times New Roman" w:hAnsi="Times New Roman"/>
                <w:b/>
                <w:i w:val="0"/>
                <w:sz w:val="20"/>
              </w:rPr>
              <w:t>Variable</w:t>
            </w:r>
          </w:p>
        </w:tc>
        <w:tc>
          <w:tcPr>
            <w:tcW w:type="dxa" w:w="1417"/>
          </w:tcPr>
          <w:p>
            <w:pPr>
              <w:spacing w:line="240" w:lineRule="auto"/>
              <w:jc w:val="center"/>
            </w:pPr>
            <w:r/>
            <w:r>
              <w:rPr>
                <w:rFonts w:ascii="Times New Roman" w:hAnsi="Times New Roman" w:cs="Times New Roman"/>
                <w:rFonts w:ascii="Times New Roman" w:hAnsi="Times New Roman"/>
                <w:b/>
                <w:i w:val="0"/>
                <w:sz w:val="20"/>
              </w:rPr>
              <w:t>EF coef.</w:t>
            </w:r>
          </w:p>
        </w:tc>
        <w:tc>
          <w:tcPr>
            <w:tcW w:type="dxa" w:w="1417"/>
          </w:tcPr>
          <w:p>
            <w:pPr>
              <w:spacing w:line="240" w:lineRule="auto"/>
              <w:jc w:val="center"/>
            </w:pPr>
            <w:r/>
            <w:r>
              <w:rPr>
                <w:rFonts w:ascii="Times New Roman" w:hAnsi="Times New Roman" w:cs="Times New Roman"/>
                <w:rFonts w:ascii="Times New Roman" w:hAnsi="Times New Roman"/>
                <w:b/>
                <w:i w:val="0"/>
                <w:sz w:val="20"/>
              </w:rPr>
              <w:t>EF E.E.</w:t>
            </w:r>
          </w:p>
        </w:tc>
        <w:tc>
          <w:tcPr>
            <w:tcW w:type="dxa" w:w="1417"/>
          </w:tcPr>
          <w:p>
            <w:pPr>
              <w:spacing w:line="240" w:lineRule="auto"/>
              <w:jc w:val="center"/>
            </w:pPr>
            <w:r/>
            <w:r>
              <w:rPr>
                <w:rFonts w:ascii="Times New Roman" w:hAnsi="Times New Roman" w:cs="Times New Roman"/>
                <w:rFonts w:ascii="Times New Roman" w:hAnsi="Times New Roman"/>
                <w:b/>
                <w:i w:val="0"/>
                <w:sz w:val="20"/>
              </w:rPr>
              <w:t>EA coef.</w:t>
            </w:r>
          </w:p>
        </w:tc>
        <w:tc>
          <w:tcPr>
            <w:tcW w:type="dxa" w:w="1417"/>
          </w:tcPr>
          <w:p>
            <w:pPr>
              <w:spacing w:line="240" w:lineRule="auto"/>
              <w:jc w:val="center"/>
            </w:pPr>
            <w:r/>
            <w:r>
              <w:rPr>
                <w:rFonts w:ascii="Times New Roman" w:hAnsi="Times New Roman" w:cs="Times New Roman"/>
                <w:rFonts w:ascii="Times New Roman" w:hAnsi="Times New Roman"/>
                <w:b/>
                <w:i w:val="0"/>
                <w:sz w:val="20"/>
              </w:rPr>
              <w:t>EA E.E.</w:t>
            </w:r>
          </w:p>
        </w:tc>
        <w:tc>
          <w:tcPr>
            <w:tcW w:type="dxa" w:w="1417"/>
          </w:tcPr>
          <w:p>
            <w:pPr>
              <w:spacing w:line="240" w:lineRule="auto"/>
              <w:jc w:val="center"/>
            </w:pPr>
            <w:r/>
            <w:r>
              <w:rPr>
                <w:rFonts w:ascii="Times New Roman" w:hAnsi="Times New Roman" w:cs="Times New Roman"/>
                <w:rFonts w:ascii="Times New Roman" w:hAnsi="Times New Roman"/>
                <w:b/>
                <w:i w:val="0"/>
                <w:sz w:val="20"/>
              </w:rPr>
              <w:t>Signo esperado</w:t>
            </w:r>
          </w:p>
        </w:tc>
      </w:tr>
      <w:tr>
        <w:tc>
          <w:tcPr>
            <w:tcW w:type="dxa" w:w="1417"/>
          </w:tcPr>
          <w:p>
            <w:pPr>
              <w:spacing w:line="240" w:lineRule="auto"/>
            </w:pPr>
            <w:r/>
            <w:r>
              <w:rPr>
                <w:rFonts w:ascii="Times New Roman" w:hAnsi="Times New Roman" w:cs="Times New Roman"/>
                <w:rFonts w:ascii="Times New Roman" w:hAnsi="Times New Roman"/>
                <w:b w:val="0"/>
                <w:i w:val="0"/>
                <w:sz w:val="20"/>
              </w:rPr>
              <w:t>Inflacion local (pi_it)</w:t>
            </w:r>
          </w:p>
        </w:tc>
        <w:tc>
          <w:tcPr>
            <w:tcW w:type="dxa" w:w="1417"/>
          </w:tcPr>
          <w:p>
            <w:pPr>
              <w:spacing w:line="240" w:lineRule="auto"/>
            </w:pPr>
            <w:r/>
            <w:r>
              <w:rPr>
                <w:rFonts w:ascii="Times New Roman" w:hAnsi="Times New Roman" w:cs="Times New Roman"/>
                <w:rFonts w:ascii="Times New Roman" w:hAnsi="Times New Roman"/>
                <w:b w:val="0"/>
                <w:i w:val="0"/>
                <w:sz w:val="20"/>
              </w:rPr>
              <w:t>+0,42</w:t>
            </w:r>
          </w:p>
        </w:tc>
        <w:tc>
          <w:tcPr>
            <w:tcW w:type="dxa" w:w="1417"/>
          </w:tcPr>
          <w:p>
            <w:pPr>
              <w:spacing w:line="240" w:lineRule="auto"/>
            </w:pPr>
            <w:r/>
            <w:r>
              <w:rPr>
                <w:rFonts w:ascii="Times New Roman" w:hAnsi="Times New Roman" w:cs="Times New Roman"/>
                <w:rFonts w:ascii="Times New Roman" w:hAnsi="Times New Roman"/>
                <w:b w:val="0"/>
                <w:i w:val="0"/>
                <w:sz w:val="20"/>
              </w:rPr>
              <w:t>0,18</w:t>
            </w:r>
          </w:p>
        </w:tc>
        <w:tc>
          <w:tcPr>
            <w:tcW w:type="dxa" w:w="1417"/>
          </w:tcPr>
          <w:p>
            <w:pPr>
              <w:spacing w:line="240" w:lineRule="auto"/>
            </w:pPr>
            <w:r/>
            <w:r>
              <w:rPr>
                <w:rFonts w:ascii="Times New Roman" w:hAnsi="Times New Roman" w:cs="Times New Roman"/>
                <w:rFonts w:ascii="Times New Roman" w:hAnsi="Times New Roman"/>
                <w:b w:val="0"/>
                <w:i w:val="0"/>
                <w:sz w:val="20"/>
              </w:rPr>
              <w:t>+0,38</w:t>
            </w:r>
          </w:p>
        </w:tc>
        <w:tc>
          <w:tcPr>
            <w:tcW w:type="dxa" w:w="1417"/>
          </w:tcPr>
          <w:p>
            <w:pPr>
              <w:spacing w:line="240" w:lineRule="auto"/>
            </w:pPr>
            <w:r/>
            <w:r>
              <w:rPr>
                <w:rFonts w:ascii="Times New Roman" w:hAnsi="Times New Roman" w:cs="Times New Roman"/>
                <w:rFonts w:ascii="Times New Roman" w:hAnsi="Times New Roman"/>
                <w:b w:val="0"/>
                <w:i w:val="0"/>
                <w:sz w:val="20"/>
              </w:rPr>
              <w:t>0,15</w:t>
            </w:r>
          </w:p>
        </w:tc>
        <w:tc>
          <w:tcPr>
            <w:tcW w:type="dxa" w:w="1417"/>
          </w:tcPr>
          <w:p>
            <w:pPr>
              <w:spacing w:line="240" w:lineRule="auto"/>
            </w:pPr>
            <w:r/>
            <w:r>
              <w:rPr>
                <w:rFonts w:ascii="Times New Roman" w:hAnsi="Times New Roman" w:cs="Times New Roman"/>
                <w:rFonts w:ascii="Times New Roman" w:hAnsi="Times New Roman"/>
                <w:b w:val="0"/>
                <w:i w:val="0"/>
                <w:sz w:val="20"/>
              </w:rPr>
              <w:t>Positivo [OK]</w:t>
            </w:r>
          </w:p>
        </w:tc>
      </w:tr>
      <w:tr>
        <w:tc>
          <w:tcPr>
            <w:tcW w:type="dxa" w:w="1417"/>
          </w:tcPr>
          <w:p>
            <w:pPr>
              <w:spacing w:line="240" w:lineRule="auto"/>
            </w:pPr>
            <w:r/>
            <w:r>
              <w:rPr>
                <w:rFonts w:ascii="Times New Roman" w:hAnsi="Times New Roman" w:cs="Times New Roman"/>
                <w:rFonts w:ascii="Times New Roman" w:hAnsi="Times New Roman"/>
                <w:b w:val="0"/>
                <w:i w:val="0"/>
                <w:sz w:val="20"/>
              </w:rPr>
              <w:t>Tipo real local (r_it)</w:t>
            </w:r>
          </w:p>
        </w:tc>
        <w:tc>
          <w:tcPr>
            <w:tcW w:type="dxa" w:w="1417"/>
          </w:tcPr>
          <w:p>
            <w:pPr>
              <w:spacing w:line="240" w:lineRule="auto"/>
            </w:pPr>
            <w:r/>
            <w:r>
              <w:rPr>
                <w:rFonts w:ascii="Times New Roman" w:hAnsi="Times New Roman" w:cs="Times New Roman"/>
                <w:rFonts w:ascii="Times New Roman" w:hAnsi="Times New Roman"/>
                <w:b w:val="0"/>
                <w:i w:val="0"/>
                <w:sz w:val="20"/>
              </w:rPr>
              <w:t>-0,61</w:t>
            </w:r>
          </w:p>
        </w:tc>
        <w:tc>
          <w:tcPr>
            <w:tcW w:type="dxa" w:w="1417"/>
          </w:tcPr>
          <w:p>
            <w:pPr>
              <w:spacing w:line="240" w:lineRule="auto"/>
            </w:pPr>
            <w:r/>
            <w:r>
              <w:rPr>
                <w:rFonts w:ascii="Times New Roman" w:hAnsi="Times New Roman" w:cs="Times New Roman"/>
                <w:rFonts w:ascii="Times New Roman" w:hAnsi="Times New Roman"/>
                <w:b w:val="0"/>
                <w:i w:val="0"/>
                <w:sz w:val="20"/>
              </w:rPr>
              <w:t>0,14</w:t>
            </w:r>
          </w:p>
        </w:tc>
        <w:tc>
          <w:tcPr>
            <w:tcW w:type="dxa" w:w="1417"/>
          </w:tcPr>
          <w:p>
            <w:pPr>
              <w:spacing w:line="240" w:lineRule="auto"/>
            </w:pPr>
            <w:r/>
            <w:r>
              <w:rPr>
                <w:rFonts w:ascii="Times New Roman" w:hAnsi="Times New Roman" w:cs="Times New Roman"/>
                <w:rFonts w:ascii="Times New Roman" w:hAnsi="Times New Roman"/>
                <w:b w:val="0"/>
                <w:i w:val="0"/>
                <w:sz w:val="20"/>
              </w:rPr>
              <w:t>-0,47</w:t>
            </w:r>
          </w:p>
        </w:tc>
        <w:tc>
          <w:tcPr>
            <w:tcW w:type="dxa" w:w="1417"/>
          </w:tcPr>
          <w:p>
            <w:pPr>
              <w:spacing w:line="240" w:lineRule="auto"/>
            </w:pPr>
            <w:r/>
            <w:r>
              <w:rPr>
                <w:rFonts w:ascii="Times New Roman" w:hAnsi="Times New Roman" w:cs="Times New Roman"/>
                <w:rFonts w:ascii="Times New Roman" w:hAnsi="Times New Roman"/>
                <w:b w:val="0"/>
                <w:i w:val="0"/>
                <w:sz w:val="20"/>
              </w:rPr>
              <w:t>0,12</w:t>
            </w:r>
          </w:p>
        </w:tc>
        <w:tc>
          <w:tcPr>
            <w:tcW w:type="dxa" w:w="1417"/>
          </w:tcPr>
          <w:p>
            <w:pPr>
              <w:spacing w:line="240" w:lineRule="auto"/>
            </w:pPr>
            <w:r/>
            <w:r>
              <w:rPr>
                <w:rFonts w:ascii="Times New Roman" w:hAnsi="Times New Roman" w:cs="Times New Roman"/>
                <w:rFonts w:ascii="Times New Roman" w:hAnsi="Times New Roman"/>
                <w:b w:val="0"/>
                <w:i w:val="0"/>
                <w:sz w:val="20"/>
              </w:rPr>
              <w:t>Negativo [OK]</w:t>
            </w:r>
          </w:p>
        </w:tc>
      </w:tr>
      <w:tr>
        <w:tc>
          <w:tcPr>
            <w:tcW w:type="dxa" w:w="1417"/>
          </w:tcPr>
          <w:p>
            <w:pPr>
              <w:spacing w:line="240" w:lineRule="auto"/>
            </w:pPr>
            <w:r/>
            <w:r>
              <w:rPr>
                <w:rFonts w:ascii="Times New Roman" w:hAnsi="Times New Roman" w:cs="Times New Roman"/>
                <w:rFonts w:ascii="Times New Roman" w:hAnsi="Times New Roman"/>
                <w:b w:val="0"/>
                <w:i w:val="0"/>
                <w:sz w:val="20"/>
              </w:rPr>
              <w:t>VIX (variable global)</w:t>
            </w:r>
          </w:p>
        </w:tc>
        <w:tc>
          <w:tcPr>
            <w:tcW w:type="dxa" w:w="1417"/>
          </w:tcPr>
          <w:p>
            <w:pPr>
              <w:spacing w:line="240" w:lineRule="auto"/>
            </w:pPr>
            <w:r/>
            <w:r>
              <w:rPr>
                <w:rFonts w:ascii="Times New Roman" w:hAnsi="Times New Roman" w:cs="Times New Roman"/>
                <w:rFonts w:ascii="Times New Roman" w:hAnsi="Times New Roman"/>
                <w:b w:val="0"/>
                <w:i w:val="0"/>
                <w:sz w:val="20"/>
              </w:rPr>
              <w:t>+0,08</w:t>
            </w:r>
          </w:p>
        </w:tc>
        <w:tc>
          <w:tcPr>
            <w:tcW w:type="dxa" w:w="1417"/>
          </w:tcPr>
          <w:p>
            <w:pPr>
              <w:spacing w:line="240" w:lineRule="auto"/>
            </w:pPr>
            <w:r/>
            <w:r>
              <w:rPr>
                <w:rFonts w:ascii="Times New Roman" w:hAnsi="Times New Roman" w:cs="Times New Roman"/>
                <w:rFonts w:ascii="Times New Roman" w:hAnsi="Times New Roman"/>
                <w:b w:val="0"/>
                <w:i w:val="0"/>
                <w:sz w:val="20"/>
              </w:rPr>
              <w:t>0,02</w:t>
            </w:r>
          </w:p>
        </w:tc>
        <w:tc>
          <w:tcPr>
            <w:tcW w:type="dxa" w:w="1417"/>
          </w:tcPr>
          <w:p>
            <w:pPr>
              <w:spacing w:line="240" w:lineRule="auto"/>
            </w:pPr>
            <w:r/>
            <w:r>
              <w:rPr>
                <w:rFonts w:ascii="Times New Roman" w:hAnsi="Times New Roman" w:cs="Times New Roman"/>
                <w:rFonts w:ascii="Times New Roman" w:hAnsi="Times New Roman"/>
                <w:b w:val="0"/>
                <w:i w:val="0"/>
                <w:sz w:val="20"/>
              </w:rPr>
              <w:t>+0,07</w:t>
            </w:r>
          </w:p>
        </w:tc>
        <w:tc>
          <w:tcPr>
            <w:tcW w:type="dxa" w:w="1417"/>
          </w:tcPr>
          <w:p>
            <w:pPr>
              <w:spacing w:line="240" w:lineRule="auto"/>
            </w:pPr>
            <w:r/>
            <w:r>
              <w:rPr>
                <w:rFonts w:ascii="Times New Roman" w:hAnsi="Times New Roman" w:cs="Times New Roman"/>
                <w:rFonts w:ascii="Times New Roman" w:hAnsi="Times New Roman"/>
                <w:b w:val="0"/>
                <w:i w:val="0"/>
                <w:sz w:val="20"/>
              </w:rPr>
              <w:t>0,02</w:t>
            </w:r>
          </w:p>
        </w:tc>
        <w:tc>
          <w:tcPr>
            <w:tcW w:type="dxa" w:w="1417"/>
          </w:tcPr>
          <w:p>
            <w:pPr>
              <w:spacing w:line="240" w:lineRule="auto"/>
            </w:pPr>
            <w:r/>
            <w:r>
              <w:rPr>
                <w:rFonts w:ascii="Times New Roman" w:hAnsi="Times New Roman" w:cs="Times New Roman"/>
                <w:rFonts w:ascii="Times New Roman" w:hAnsi="Times New Roman"/>
                <w:b w:val="0"/>
                <w:i w:val="0"/>
                <w:sz w:val="20"/>
              </w:rPr>
              <w:t>Positivo [OK]</w:t>
            </w:r>
          </w:p>
        </w:tc>
      </w:tr>
      <w:tr>
        <w:tc>
          <w:tcPr>
            <w:tcW w:type="dxa" w:w="1417"/>
          </w:tcPr>
          <w:p>
            <w:pPr>
              <w:spacing w:line="240" w:lineRule="auto"/>
            </w:pPr>
            <w:r/>
            <w:r>
              <w:rPr>
                <w:rFonts w:ascii="Times New Roman" w:hAnsi="Times New Roman" w:cs="Times New Roman"/>
                <w:rFonts w:ascii="Times New Roman" w:hAnsi="Times New Roman"/>
                <w:b w:val="0"/>
                <w:i w:val="0"/>
                <w:sz w:val="20"/>
              </w:rPr>
              <w:t>Retorno renta var. (eq_it)</w:t>
            </w:r>
          </w:p>
        </w:tc>
        <w:tc>
          <w:tcPr>
            <w:tcW w:type="dxa" w:w="1417"/>
          </w:tcPr>
          <w:p>
            <w:pPr>
              <w:spacing w:line="240" w:lineRule="auto"/>
            </w:pPr>
            <w:r/>
            <w:r>
              <w:rPr>
                <w:rFonts w:ascii="Times New Roman" w:hAnsi="Times New Roman" w:cs="Times New Roman"/>
                <w:rFonts w:ascii="Times New Roman" w:hAnsi="Times New Roman"/>
                <w:b w:val="0"/>
                <w:i w:val="0"/>
                <w:sz w:val="20"/>
              </w:rPr>
              <w:t>-0,19</w:t>
            </w:r>
          </w:p>
        </w:tc>
        <w:tc>
          <w:tcPr>
            <w:tcW w:type="dxa" w:w="1417"/>
          </w:tcPr>
          <w:p>
            <w:pPr>
              <w:spacing w:line="240" w:lineRule="auto"/>
            </w:pPr>
            <w:r/>
            <w:r>
              <w:rPr>
                <w:rFonts w:ascii="Times New Roman" w:hAnsi="Times New Roman" w:cs="Times New Roman"/>
                <w:rFonts w:ascii="Times New Roman" w:hAnsi="Times New Roman"/>
                <w:b w:val="0"/>
                <w:i w:val="0"/>
                <w:sz w:val="20"/>
              </w:rPr>
              <w:t>0,06</w:t>
            </w:r>
          </w:p>
        </w:tc>
        <w:tc>
          <w:tcPr>
            <w:tcW w:type="dxa" w:w="1417"/>
          </w:tcPr>
          <w:p>
            <w:pPr>
              <w:spacing w:line="240" w:lineRule="auto"/>
            </w:pPr>
            <w:r/>
            <w:r>
              <w:rPr>
                <w:rFonts w:ascii="Times New Roman" w:hAnsi="Times New Roman" w:cs="Times New Roman"/>
                <w:rFonts w:ascii="Times New Roman" w:hAnsi="Times New Roman"/>
                <w:b w:val="0"/>
                <w:i w:val="0"/>
                <w:sz w:val="20"/>
              </w:rPr>
              <w:t>-0,17</w:t>
            </w:r>
          </w:p>
        </w:tc>
        <w:tc>
          <w:tcPr>
            <w:tcW w:type="dxa" w:w="1417"/>
          </w:tcPr>
          <w:p>
            <w:pPr>
              <w:spacing w:line="240" w:lineRule="auto"/>
            </w:pPr>
            <w:r/>
            <w:r>
              <w:rPr>
                <w:rFonts w:ascii="Times New Roman" w:hAnsi="Times New Roman" w:cs="Times New Roman"/>
                <w:rFonts w:ascii="Times New Roman" w:hAnsi="Times New Roman"/>
                <w:b w:val="0"/>
                <w:i w:val="0"/>
                <w:sz w:val="20"/>
              </w:rPr>
              <w:t>0,05</w:t>
            </w:r>
          </w:p>
        </w:tc>
        <w:tc>
          <w:tcPr>
            <w:tcW w:type="dxa" w:w="1417"/>
          </w:tcPr>
          <w:p>
            <w:pPr>
              <w:spacing w:line="240" w:lineRule="auto"/>
            </w:pPr>
            <w:r/>
            <w:r>
              <w:rPr>
                <w:rFonts w:ascii="Times New Roman" w:hAnsi="Times New Roman" w:cs="Times New Roman"/>
                <w:rFonts w:ascii="Times New Roman" w:hAnsi="Times New Roman"/>
                <w:b w:val="0"/>
                <w:i w:val="0"/>
                <w:sz w:val="20"/>
              </w:rPr>
              <w:t>Negativo [OK]</w:t>
            </w:r>
          </w:p>
        </w:tc>
      </w:tr>
    </w:tbl>
    <w:p/>
    <w:p>
      <w:pPr>
        <w:pStyle w:val="Heading2"/>
      </w:pPr>
      <w:r>
        <w:t>6.4 Test de Hausman</w:t>
      </w:r>
    </w:p>
    <w:p>
      <w:pPr/>
      <w:r>
        <w:rPr>
          <w:rFonts w:ascii="Times New Roman" w:hAnsi="Times New Roman" w:cs="Times New Roman"/>
          <w:rFonts w:ascii="Times New Roman" w:hAnsi="Times New Roman"/>
          <w:b w:val="0"/>
          <w:i w:val="0"/>
          <w:sz w:val="24"/>
        </w:rPr>
        <w:t>El contraste de Hausman (1978) proporciona la prueba formal entre EF y EA. H0: EA consistente y eficiente (eta_i no correlacionado con regresores).</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spacing w:line="240" w:lineRule="auto"/>
              <w:jc w:val="center"/>
            </w:pPr>
            <w:r/>
            <w:r>
              <w:rPr>
                <w:rFonts w:ascii="Times New Roman" w:hAnsi="Times New Roman" w:cs="Times New Roman"/>
                <w:rFonts w:ascii="Times New Roman" w:hAnsi="Times New Roman"/>
                <w:b/>
                <w:i w:val="0"/>
                <w:sz w:val="20"/>
              </w:rPr>
              <w:t>Estadistico H</w:t>
            </w:r>
          </w:p>
        </w:tc>
        <w:tc>
          <w:tcPr>
            <w:tcW w:type="dxa" w:w="2126"/>
          </w:tcPr>
          <w:p>
            <w:pPr>
              <w:spacing w:line="240" w:lineRule="auto"/>
              <w:jc w:val="center"/>
            </w:pPr>
            <w:r/>
            <w:r>
              <w:rPr>
                <w:rFonts w:ascii="Times New Roman" w:hAnsi="Times New Roman" w:cs="Times New Roman"/>
                <w:rFonts w:ascii="Times New Roman" w:hAnsi="Times New Roman"/>
                <w:b/>
                <w:i w:val="0"/>
                <w:sz w:val="20"/>
              </w:rPr>
              <w:t>Grados de libertad</w:t>
            </w:r>
          </w:p>
        </w:tc>
        <w:tc>
          <w:tcPr>
            <w:tcW w:type="dxa" w:w="2126"/>
          </w:tcPr>
          <w:p>
            <w:pPr>
              <w:spacing w:line="240" w:lineRule="auto"/>
              <w:jc w:val="center"/>
            </w:pPr>
            <w:r/>
            <w:r>
              <w:rPr>
                <w:rFonts w:ascii="Times New Roman" w:hAnsi="Times New Roman" w:cs="Times New Roman"/>
                <w:rFonts w:ascii="Times New Roman" w:hAnsi="Times New Roman"/>
                <w:b/>
                <w:i w:val="0"/>
                <w:sz w:val="20"/>
              </w:rPr>
              <w:t>p-valor</w:t>
            </w:r>
          </w:p>
        </w:tc>
        <w:tc>
          <w:tcPr>
            <w:tcW w:type="dxa" w:w="2126"/>
          </w:tcPr>
          <w:p>
            <w:pPr>
              <w:spacing w:line="240" w:lineRule="auto"/>
              <w:jc w:val="center"/>
            </w:pPr>
            <w:r/>
            <w:r>
              <w:rPr>
                <w:rFonts w:ascii="Times New Roman" w:hAnsi="Times New Roman" w:cs="Times New Roman"/>
                <w:rFonts w:ascii="Times New Roman" w:hAnsi="Times New Roman"/>
                <w:b/>
                <w:i w:val="0"/>
                <w:sz w:val="20"/>
              </w:rPr>
              <w:t>Decision</w:t>
            </w:r>
          </w:p>
        </w:tc>
      </w:tr>
      <w:tr>
        <w:tc>
          <w:tcPr>
            <w:tcW w:type="dxa" w:w="2126"/>
          </w:tcPr>
          <w:p>
            <w:pPr>
              <w:spacing w:line="240" w:lineRule="auto"/>
            </w:pPr>
            <w:r/>
            <w:r>
              <w:rPr>
                <w:rFonts w:ascii="Times New Roman" w:hAnsi="Times New Roman" w:cs="Times New Roman"/>
                <w:rFonts w:ascii="Times New Roman" w:hAnsi="Times New Roman"/>
                <w:b w:val="0"/>
                <w:i w:val="0"/>
                <w:sz w:val="20"/>
              </w:rPr>
              <w:t>12,74</w:t>
            </w:r>
          </w:p>
        </w:tc>
        <w:tc>
          <w:tcPr>
            <w:tcW w:type="dxa" w:w="2126"/>
          </w:tcPr>
          <w:p>
            <w:pPr>
              <w:spacing w:line="240" w:lineRule="auto"/>
            </w:pPr>
            <w:r/>
            <w:r>
              <w:rPr>
                <w:rFonts w:ascii="Times New Roman" w:hAnsi="Times New Roman" w:cs="Times New Roman"/>
                <w:rFonts w:ascii="Times New Roman" w:hAnsi="Times New Roman"/>
                <w:b w:val="0"/>
                <w:i w:val="0"/>
                <w:sz w:val="20"/>
              </w:rPr>
              <w:t>4</w:t>
            </w:r>
          </w:p>
        </w:tc>
        <w:tc>
          <w:tcPr>
            <w:tcW w:type="dxa" w:w="2126"/>
          </w:tcPr>
          <w:p>
            <w:pPr>
              <w:spacing w:line="240" w:lineRule="auto"/>
            </w:pPr>
            <w:r/>
            <w:r>
              <w:rPr>
                <w:rFonts w:ascii="Times New Roman" w:hAnsi="Times New Roman" w:cs="Times New Roman"/>
                <w:rFonts w:ascii="Times New Roman" w:hAnsi="Times New Roman"/>
                <w:b w:val="0"/>
                <w:i w:val="0"/>
                <w:sz w:val="20"/>
              </w:rPr>
              <w:t>0,013</w:t>
            </w:r>
          </w:p>
        </w:tc>
        <w:tc>
          <w:tcPr>
            <w:tcW w:type="dxa" w:w="2126"/>
          </w:tcPr>
          <w:p>
            <w:pPr>
              <w:spacing w:line="240" w:lineRule="auto"/>
            </w:pPr>
            <w:r/>
            <w:r>
              <w:rPr>
                <w:rFonts w:ascii="Times New Roman" w:hAnsi="Times New Roman" w:cs="Times New Roman"/>
                <w:rFonts w:ascii="Times New Roman" w:hAnsi="Times New Roman"/>
                <w:b w:val="0"/>
                <w:i w:val="0"/>
                <w:sz w:val="20"/>
              </w:rPr>
              <w:t>Rechazo H0 al 5% -&gt; Efectos Fijos preferido</w:t>
            </w:r>
          </w:p>
        </w:tc>
      </w:tr>
    </w:tbl>
    <w:p/>
    <w:p>
      <w:pPr/>
      <w:r>
        <w:rPr>
          <w:rFonts w:ascii="Times New Roman" w:hAnsi="Times New Roman" w:cs="Times New Roman"/>
          <w:rFonts w:ascii="Times New Roman" w:hAnsi="Times New Roman"/>
          <w:b w:val="0"/>
          <w:i w:val="0"/>
          <w:sz w:val="24"/>
        </w:rPr>
        <w:t>Los efectos individuales eta_i incluyen factores como la cultura de inversion en oro o el historial de inflacion del banco central, correlacionados con las variables explicativas, lo que viola el supuesto del estimador EA.</w:t>
      </w:r>
    </w:p>
    <w:p>
      <w:pPr>
        <w:pStyle w:val="Heading2"/>
      </w:pPr>
      <w:r>
        <w:t>6.5 Resultados e interpretacion cross-country</w:t>
      </w:r>
    </w:p>
    <w:p>
      <w:pPr/>
      <w:r>
        <w:rPr>
          <w:rFonts w:ascii="Times New Roman" w:hAnsi="Times New Roman" w:cs="Times New Roman"/>
          <w:rFonts w:ascii="Times New Roman" w:hAnsi="Times New Roman"/>
          <w:b w:val="0"/>
          <w:i w:val="0"/>
          <w:sz w:val="24"/>
        </w:rPr>
        <w:t xml:space="preserve">Los resultados del modelo de EF con errores de </w:t>
      </w:r>
      <w:r>
        <w:rPr>
          <w:rFonts w:ascii="Times New Roman" w:hAnsi="Times New Roman" w:cs="Times New Roman"/>
          <w:rFonts w:ascii="Times New Roman" w:hAnsi="Times New Roman"/>
          <w:b/>
          <w:i w:val="0"/>
          <w:sz w:val="24"/>
        </w:rPr>
        <w:t>Driscoll-Kraay</w:t>
      </w:r>
      <w:r>
        <w:rPr>
          <w:rFonts w:ascii="Times New Roman" w:hAnsi="Times New Roman" w:cs="Times New Roman"/>
          <w:rFonts w:ascii="Times New Roman" w:hAnsi="Times New Roman"/>
          <w:b w:val="0"/>
          <w:i w:val="0"/>
          <w:sz w:val="24"/>
        </w:rPr>
        <w:t xml:space="preserve"> confirman la universalidad de los mecanismos del Capitulo 5. El </w:t>
      </w:r>
      <w:r>
        <w:rPr>
          <w:rFonts w:ascii="Times New Roman" w:hAnsi="Times New Roman" w:cs="Times New Roman"/>
          <w:rFonts w:ascii="Times New Roman" w:hAnsi="Times New Roman"/>
          <w:b/>
          <w:i w:val="0"/>
          <w:sz w:val="24"/>
        </w:rPr>
        <w:t>coeficiente de inflacion</w:t>
      </w:r>
      <w:r>
        <w:rPr>
          <w:rFonts w:ascii="Times New Roman" w:hAnsi="Times New Roman" w:cs="Times New Roman"/>
          <w:rFonts w:ascii="Times New Roman" w:hAnsi="Times New Roman"/>
          <w:b w:val="0"/>
          <w:i w:val="0"/>
          <w:sz w:val="24"/>
        </w:rPr>
        <w:t xml:space="preserve"> (beta_1 = +0,42, p &lt; 0,05) es positivo y significativo en las cuatro economias. El </w:t>
      </w:r>
      <w:r>
        <w:rPr>
          <w:rFonts w:ascii="Times New Roman" w:hAnsi="Times New Roman" w:cs="Times New Roman"/>
          <w:rFonts w:ascii="Times New Roman" w:hAnsi="Times New Roman"/>
          <w:b/>
          <w:i w:val="0"/>
          <w:sz w:val="24"/>
        </w:rPr>
        <w:t>coeficiente del tipo real</w:t>
      </w:r>
      <w:r>
        <w:rPr>
          <w:rFonts w:ascii="Times New Roman" w:hAnsi="Times New Roman" w:cs="Times New Roman"/>
          <w:rFonts w:ascii="Times New Roman" w:hAnsi="Times New Roman"/>
          <w:b w:val="0"/>
          <w:i w:val="0"/>
          <w:sz w:val="24"/>
        </w:rPr>
        <w:t xml:space="preserve"> (beta_2 = -0,61, p &lt; 0,001) es el mas robusto: el mecanismo de coste de oportunidad opera universalmente, incluyendo Japon con tipos nominales proximos a cero durante decadas. El </w:t>
      </w:r>
      <w:r>
        <w:rPr>
          <w:rFonts w:ascii="Times New Roman" w:hAnsi="Times New Roman" w:cs="Times New Roman"/>
          <w:rFonts w:ascii="Times New Roman" w:hAnsi="Times New Roman"/>
          <w:b/>
          <w:i w:val="0"/>
          <w:sz w:val="24"/>
        </w:rPr>
        <w:t>coeficiente del VIX</w:t>
      </w:r>
      <w:r>
        <w:rPr>
          <w:rFonts w:ascii="Times New Roman" w:hAnsi="Times New Roman" w:cs="Times New Roman"/>
          <w:rFonts w:ascii="Times New Roman" w:hAnsi="Times New Roman"/>
          <w:b w:val="0"/>
          <w:i w:val="0"/>
          <w:sz w:val="24"/>
        </w:rPr>
        <w:t xml:space="preserve"> (beta_3 = +0,08, p &lt; 0,001) confirma la funcion de safe haven global. Los efectos fijos estimados revelan heterogeneidad: Japon presenta el mayor efecto fijo positivo (+2,1 pp trimestral), consistente con la demanda cultural e historica del metal en esa economia.</w:t>
      </w:r>
    </w:p>
    <w:p>
      <w:r>
        <w:br w:type="page"/>
      </w:r>
    </w:p>
    <w:p>
      <w:pPr>
        <w:pStyle w:val="Heading1"/>
      </w:pPr>
      <w:r>
        <w:t>Capitulo 7: Extension predictiva con Machine Learning</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val="0"/>
          <w:i/>
          <w:sz w:val="24"/>
        </w:rPr>
        <w:t>Nota metodologica: este capitulo implementa modelos de ML como extension complementaria. Las tecnicas — gradient boosting, random forests y LSTM — van mas alla del temario de Econometria III, pero se incluyen porque aportan una perspectiva predictiva que contrasta con la econometria clasica.</w:t>
      </w:r>
      <w:r>
        <w:rPr>
          <w:rFonts w:ascii="Times New Roman" w:hAnsi="Times New Roman" w:cs="Times New Roman"/>
          <w:rFonts w:ascii="Times New Roman" w:hAnsi="Times New Roman"/>
          <w:b w:val="0"/>
          <w:i w:val="0"/>
          <w:sz w:val="24"/>
        </w:rPr>
      </w:r>
    </w:p>
    <w:p>
      <w:pPr>
        <w:pStyle w:val="Heading2"/>
      </w:pPr>
      <w:r>
        <w:t>7.1 Datos y diseno de la evaluacion</w:t>
      </w:r>
    </w:p>
    <w:p>
      <w:pPr/>
      <w:r>
        <w:rPr>
          <w:rFonts w:ascii="Times New Roman" w:hAnsi="Times New Roman" w:cs="Times New Roman"/>
          <w:rFonts w:ascii="Times New Roman" w:hAnsi="Times New Roman"/>
          <w:b w:val="0"/>
          <w:i w:val="0"/>
          <w:sz w:val="24"/>
        </w:rPr>
        <w:t>La matriz de caracteristicas se construye sobre las 312 observaciones mensuales con 35 variables: retornos logaritmicos (DXY, WTI, S&amp;P 500), niveles (TIPS, VIX, CPI, Breakeven), retardos 1-3 de cada variable, momentum del oro (medias moviles 3 y 6 meses, volatilidad realizada 3 meses) y una dummy de regimen de crisis.</w:t>
      </w:r>
    </w:p>
    <w:tbl>
      <w:tblPr>
        <w:tblStyle w:val="TableGrid"/>
        <w:tblW w:type="auto" w:w="0"/>
        <w:tblLook w:firstColumn="1" w:firstRow="1" w:lastColumn="0" w:lastRow="0" w:noHBand="0" w:noVBand="1" w:val="04A0"/>
      </w:tblPr>
      <w:tblGrid>
        <w:gridCol w:w="4252"/>
        <w:gridCol w:w="4252"/>
      </w:tblGrid>
      <w:tr>
        <w:tc>
          <w:tcPr>
            <w:tcW w:type="dxa" w:w="4252"/>
          </w:tcPr>
          <w:p>
            <w:pPr>
              <w:spacing w:line="240" w:lineRule="auto"/>
              <w:jc w:val="center"/>
            </w:pPr>
            <w:r/>
            <w:r>
              <w:rPr>
                <w:rFonts w:ascii="Times New Roman" w:hAnsi="Times New Roman" w:cs="Times New Roman"/>
                <w:rFonts w:ascii="Times New Roman" w:hAnsi="Times New Roman"/>
                <w:b/>
                <w:i w:val="0"/>
                <w:sz w:val="20"/>
              </w:rPr>
              <w:t>Concepto</w:t>
            </w:r>
          </w:p>
        </w:tc>
        <w:tc>
          <w:tcPr>
            <w:tcW w:type="dxa" w:w="4252"/>
          </w:tcPr>
          <w:p>
            <w:pPr>
              <w:spacing w:line="240" w:lineRule="auto"/>
              <w:jc w:val="center"/>
            </w:pPr>
            <w:r/>
            <w:r>
              <w:rPr>
                <w:rFonts w:ascii="Times New Roman" w:hAnsi="Times New Roman" w:cs="Times New Roman"/>
                <w:rFonts w:ascii="Times New Roman" w:hAnsi="Times New Roman"/>
                <w:b/>
                <w:i w:val="0"/>
                <w:sz w:val="20"/>
              </w:rPr>
              <w:t>Valor</w:t>
            </w:r>
          </w:p>
        </w:tc>
      </w:tr>
      <w:tr>
        <w:tc>
          <w:tcPr>
            <w:tcW w:type="dxa" w:w="4252"/>
          </w:tcPr>
          <w:p>
            <w:pPr>
              <w:spacing w:line="240" w:lineRule="auto"/>
            </w:pPr>
            <w:r/>
            <w:r>
              <w:rPr>
                <w:rFonts w:ascii="Times New Roman" w:hAnsi="Times New Roman" w:cs="Times New Roman"/>
                <w:rFonts w:ascii="Times New Roman" w:hAnsi="Times New Roman"/>
                <w:b w:val="0"/>
                <w:i w:val="0"/>
                <w:sz w:val="20"/>
              </w:rPr>
              <w:t>Periodo total efectivo</w:t>
            </w:r>
          </w:p>
        </w:tc>
        <w:tc>
          <w:tcPr>
            <w:tcW w:type="dxa" w:w="4252"/>
          </w:tcPr>
          <w:p>
            <w:pPr>
              <w:spacing w:line="240" w:lineRule="auto"/>
            </w:pPr>
            <w:r/>
            <w:r>
              <w:rPr>
                <w:rFonts w:ascii="Times New Roman" w:hAnsi="Times New Roman" w:cs="Times New Roman"/>
                <w:rFonts w:ascii="Times New Roman" w:hAnsi="Times New Roman"/>
                <w:b w:val="0"/>
                <w:i w:val="0"/>
                <w:sz w:val="20"/>
              </w:rPr>
              <w:t>Abril 2003 - Octubre 2025</w:t>
            </w:r>
          </w:p>
        </w:tc>
      </w:tr>
      <w:tr>
        <w:tc>
          <w:tcPr>
            <w:tcW w:type="dxa" w:w="4252"/>
          </w:tcPr>
          <w:p>
            <w:pPr>
              <w:spacing w:line="240" w:lineRule="auto"/>
            </w:pPr>
            <w:r/>
            <w:r>
              <w:rPr>
                <w:rFonts w:ascii="Times New Roman" w:hAnsi="Times New Roman" w:cs="Times New Roman"/>
                <w:rFonts w:ascii="Times New Roman" w:hAnsi="Times New Roman"/>
                <w:b w:val="0"/>
                <w:i w:val="0"/>
                <w:sz w:val="20"/>
              </w:rPr>
              <w:t>Muestra entrenamiento inicial</w:t>
            </w:r>
          </w:p>
        </w:tc>
        <w:tc>
          <w:tcPr>
            <w:tcW w:type="dxa" w:w="4252"/>
          </w:tcPr>
          <w:p>
            <w:pPr>
              <w:spacing w:line="240" w:lineRule="auto"/>
            </w:pPr>
            <w:r/>
            <w:r>
              <w:rPr>
                <w:rFonts w:ascii="Times New Roman" w:hAnsi="Times New Roman" w:cs="Times New Roman"/>
                <w:rFonts w:ascii="Times New Roman" w:hAnsi="Times New Roman"/>
                <w:b w:val="0"/>
                <w:i w:val="0"/>
                <w:sz w:val="20"/>
              </w:rPr>
              <w:t>162 obs. (Abril 2003 - Sept. 2016)</w:t>
            </w:r>
          </w:p>
        </w:tc>
      </w:tr>
      <w:tr>
        <w:tc>
          <w:tcPr>
            <w:tcW w:type="dxa" w:w="4252"/>
          </w:tcPr>
          <w:p>
            <w:pPr>
              <w:spacing w:line="240" w:lineRule="auto"/>
            </w:pPr>
            <w:r/>
            <w:r>
              <w:rPr>
                <w:rFonts w:ascii="Times New Roman" w:hAnsi="Times New Roman" w:cs="Times New Roman"/>
                <w:rFonts w:ascii="Times New Roman" w:hAnsi="Times New Roman"/>
                <w:b w:val="0"/>
                <w:i w:val="0"/>
                <w:sz w:val="20"/>
              </w:rPr>
              <w:t>Muestra de test (walk-forward)</w:t>
            </w:r>
          </w:p>
        </w:tc>
        <w:tc>
          <w:tcPr>
            <w:tcW w:type="dxa" w:w="4252"/>
          </w:tcPr>
          <w:p>
            <w:pPr>
              <w:spacing w:line="240" w:lineRule="auto"/>
            </w:pPr>
            <w:r/>
            <w:r>
              <w:rPr>
                <w:rFonts w:ascii="Times New Roman" w:hAnsi="Times New Roman" w:cs="Times New Roman"/>
                <w:rFonts w:ascii="Times New Roman" w:hAnsi="Times New Roman"/>
                <w:b w:val="0"/>
                <w:i w:val="0"/>
                <w:sz w:val="20"/>
              </w:rPr>
              <w:t>109 obs. (Oct. 2016 - Oct. 2025)</w:t>
            </w:r>
          </w:p>
        </w:tc>
      </w:tr>
      <w:tr>
        <w:tc>
          <w:tcPr>
            <w:tcW w:type="dxa" w:w="4252"/>
          </w:tcPr>
          <w:p>
            <w:pPr>
              <w:spacing w:line="240" w:lineRule="auto"/>
            </w:pPr>
            <w:r/>
            <w:r>
              <w:rPr>
                <w:rFonts w:ascii="Times New Roman" w:hAnsi="Times New Roman" w:cs="Times New Roman"/>
                <w:rFonts w:ascii="Times New Roman" w:hAnsi="Times New Roman"/>
                <w:b w:val="0"/>
                <w:i w:val="0"/>
                <w:sz w:val="20"/>
              </w:rPr>
              <w:t>Variable objetivo</w:t>
            </w:r>
          </w:p>
        </w:tc>
        <w:tc>
          <w:tcPr>
            <w:tcW w:type="dxa" w:w="4252"/>
          </w:tcPr>
          <w:p>
            <w:pPr>
              <w:spacing w:line="240" w:lineRule="auto"/>
            </w:pPr>
            <w:r/>
            <w:r>
              <w:rPr>
                <w:rFonts w:ascii="Times New Roman" w:hAnsi="Times New Roman" w:cs="Times New Roman"/>
                <w:rFonts w:ascii="Times New Roman" w:hAnsi="Times New Roman"/>
                <w:b w:val="0"/>
                <w:i w:val="0"/>
                <w:sz w:val="20"/>
              </w:rPr>
              <w:t>Retorno logaritmico mensual oro (pp)</w:t>
            </w:r>
          </w:p>
        </w:tc>
      </w:tr>
      <w:tr>
        <w:tc>
          <w:tcPr>
            <w:tcW w:type="dxa" w:w="4252"/>
          </w:tcPr>
          <w:p>
            <w:pPr>
              <w:spacing w:line="240" w:lineRule="auto"/>
            </w:pPr>
            <w:r/>
            <w:r>
              <w:rPr>
                <w:rFonts w:ascii="Times New Roman" w:hAnsi="Times New Roman" w:cs="Times New Roman"/>
                <w:rFonts w:ascii="Times New Roman" w:hAnsi="Times New Roman"/>
                <w:b w:val="0"/>
                <w:i w:val="0"/>
                <w:sz w:val="20"/>
              </w:rPr>
              <w:t>Numero de caracteristicas (p)</w:t>
            </w:r>
          </w:p>
        </w:tc>
        <w:tc>
          <w:tcPr>
            <w:tcW w:type="dxa" w:w="4252"/>
          </w:tcPr>
          <w:p>
            <w:pPr>
              <w:spacing w:line="240" w:lineRule="auto"/>
            </w:pPr>
            <w:r/>
            <w:r>
              <w:rPr>
                <w:rFonts w:ascii="Times New Roman" w:hAnsi="Times New Roman" w:cs="Times New Roman"/>
                <w:rFonts w:ascii="Times New Roman" w:hAnsi="Times New Roman"/>
                <w:b w:val="0"/>
                <w:i w:val="0"/>
                <w:sz w:val="20"/>
              </w:rPr>
              <w:t>35</w:t>
            </w:r>
          </w:p>
        </w:tc>
      </w:tr>
    </w:tbl>
    <w:p/>
    <w:p>
      <w:pPr>
        <w:pStyle w:val="Heading2"/>
      </w:pPr>
      <w:r>
        <w:t>7.2 Validacion walk-forward</w:t>
      </w:r>
    </w:p>
    <w:p>
      <w:pPr/>
      <w:r>
        <w:rPr>
          <w:rFonts w:ascii="Times New Roman" w:hAnsi="Times New Roman" w:cs="Times New Roman"/>
          <w:rFonts w:ascii="Times New Roman" w:hAnsi="Times New Roman"/>
          <w:b w:val="0"/>
          <w:i w:val="0"/>
          <w:sz w:val="24"/>
        </w:rPr>
        <w:t xml:space="preserve">La validacion cruzada estandar introduce </w:t>
      </w:r>
      <w:r>
        <w:rPr>
          <w:rFonts w:ascii="Times New Roman" w:hAnsi="Times New Roman" w:cs="Times New Roman"/>
          <w:rFonts w:ascii="Times New Roman" w:hAnsi="Times New Roman"/>
          <w:b w:val="0"/>
          <w:i/>
          <w:sz w:val="24"/>
        </w:rPr>
        <w:t>look-ahead bias</w:t>
      </w:r>
      <w:r>
        <w:rPr>
          <w:rFonts w:ascii="Times New Roman" w:hAnsi="Times New Roman" w:cs="Times New Roman"/>
          <w:rFonts w:ascii="Times New Roman" w:hAnsi="Times New Roman"/>
          <w:b w:val="0"/>
          <w:i w:val="0"/>
          <w:sz w:val="24"/>
        </w:rPr>
        <w:t xml:space="preserve"> en series temporales. La </w:t>
      </w:r>
      <w:r>
        <w:rPr>
          <w:rFonts w:ascii="Times New Roman" w:hAnsi="Times New Roman" w:cs="Times New Roman"/>
          <w:rFonts w:ascii="Times New Roman" w:hAnsi="Times New Roman"/>
          <w:b/>
          <w:i w:val="0"/>
          <w:sz w:val="24"/>
        </w:rPr>
        <w:t>validacion walk-forward con ventana expandible</w:t>
      </w:r>
      <w:r>
        <w:rPr>
          <w:rFonts w:ascii="Times New Roman" w:hAnsi="Times New Roman" w:cs="Times New Roman"/>
          <w:rFonts w:ascii="Times New Roman" w:hAnsi="Times New Roman"/>
          <w:b w:val="0"/>
          <w:i w:val="0"/>
          <w:sz w:val="24"/>
        </w:rPr>
        <w:t xml:space="preserve"> lo evita: el modelo se entrena en [1, t-1] y predice t; luego amplia el entrenamiento a [1, t] y predice t+1, sin usar nunca informacion posterior al instante de prediccion (Lopez de Prado, 2018).</w:t>
      </w:r>
    </w:p>
    <w:p>
      <w:pPr>
        <w:pStyle w:val="Heading2"/>
      </w:pPr>
      <w:r>
        <w:t>7.3 Los tres modelos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XGBoost</w:t>
      </w:r>
      <w:r>
        <w:rPr>
          <w:rFonts w:ascii="Times New Roman" w:hAnsi="Times New Roman" w:cs="Times New Roman"/>
          <w:rFonts w:ascii="Times New Roman" w:hAnsi="Times New Roman"/>
          <w:b w:val="0"/>
          <w:i w:val="0"/>
          <w:sz w:val="24"/>
        </w:rPr>
        <w:t xml:space="preserve"> construye arboles de decision secuencialmente; configuracion conservadora (profundidad maxima 3, tasa de aprendizaje 0,05, regularizacion L1 y L2). </w:t>
      </w:r>
      <w:r>
        <w:rPr>
          <w:rFonts w:ascii="Times New Roman" w:hAnsi="Times New Roman" w:cs="Times New Roman"/>
          <w:rFonts w:ascii="Times New Roman" w:hAnsi="Times New Roman"/>
          <w:b/>
          <w:i w:val="0"/>
          <w:sz w:val="24"/>
        </w:rPr>
        <w:t>Random Forest</w:t>
      </w:r>
      <w:r>
        <w:rPr>
          <w:rFonts w:ascii="Times New Roman" w:hAnsi="Times New Roman" w:cs="Times New Roman"/>
          <w:rFonts w:ascii="Times New Roman" w:hAnsi="Times New Roman"/>
          <w:b w:val="0"/>
          <w:i w:val="0"/>
          <w:sz w:val="24"/>
        </w:rPr>
        <w:t xml:space="preserve"> construye 300 arboles en paralelo; la decorrelacion entre arboles reduce la varianza (Breiman, 2001). </w:t>
      </w:r>
      <w:r>
        <w:rPr>
          <w:rFonts w:ascii="Times New Roman" w:hAnsi="Times New Roman" w:cs="Times New Roman"/>
          <w:rFonts w:ascii="Times New Roman" w:hAnsi="Times New Roman"/>
          <w:b/>
          <w:i w:val="0"/>
          <w:sz w:val="24"/>
        </w:rPr>
        <w:t>LSTM</w:t>
      </w:r>
      <w:r>
        <w:rPr>
          <w:rFonts w:ascii="Times New Roman" w:hAnsi="Times New Roman" w:cs="Times New Roman"/>
          <w:rFonts w:ascii="Times New Roman" w:hAnsi="Times New Roman"/>
          <w:b w:val="0"/>
          <w:i w:val="0"/>
          <w:sz w:val="24"/>
        </w:rPr>
        <w:t xml:space="preserve"> procesa secuencias temporales de 6 meses con compuertas internas; arquitectura simple (32 unidades, 1 capa) con early stopping (Hochreiter y Schmidhuber, 1997).</w:t>
      </w:r>
    </w:p>
    <w:p>
      <w:pPr>
        <w:pStyle w:val="Heading2"/>
      </w:pPr>
      <w:r>
        <w:t>7.4 Resultados comparativos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pPr>
              <w:spacing w:line="240" w:lineRule="auto"/>
              <w:jc w:val="center"/>
            </w:pPr>
            <w:r/>
            <w:r>
              <w:rPr>
                <w:rFonts w:ascii="Times New Roman" w:hAnsi="Times New Roman" w:cs="Times New Roman"/>
                <w:rFonts w:ascii="Times New Roman" w:hAnsi="Times New Roman"/>
                <w:b/>
                <w:i w:val="0"/>
                <w:sz w:val="20"/>
              </w:rPr>
              <w:t>Modelo</w:t>
            </w:r>
          </w:p>
        </w:tc>
        <w:tc>
          <w:tcPr>
            <w:tcW w:type="dxa" w:w="1417"/>
          </w:tcPr>
          <w:p>
            <w:pPr>
              <w:spacing w:line="240" w:lineRule="auto"/>
              <w:jc w:val="center"/>
            </w:pPr>
            <w:r/>
            <w:r>
              <w:rPr>
                <w:rFonts w:ascii="Times New Roman" w:hAnsi="Times New Roman" w:cs="Times New Roman"/>
                <w:rFonts w:ascii="Times New Roman" w:hAnsi="Times New Roman"/>
                <w:b/>
                <w:i w:val="0"/>
                <w:sz w:val="20"/>
              </w:rPr>
              <w:t>RMSE (pp)</w:t>
            </w:r>
          </w:p>
        </w:tc>
        <w:tc>
          <w:tcPr>
            <w:tcW w:type="dxa" w:w="1417"/>
          </w:tcPr>
          <w:p>
            <w:pPr>
              <w:spacing w:line="240" w:lineRule="auto"/>
              <w:jc w:val="center"/>
            </w:pPr>
            <w:r/>
            <w:r>
              <w:rPr>
                <w:rFonts w:ascii="Times New Roman" w:hAnsi="Times New Roman" w:cs="Times New Roman"/>
                <w:rFonts w:ascii="Times New Roman" w:hAnsi="Times New Roman"/>
                <w:b/>
                <w:i w:val="0"/>
                <w:sz w:val="20"/>
              </w:rPr>
              <w:t>MAE (pp)</w:t>
            </w:r>
          </w:p>
        </w:tc>
        <w:tc>
          <w:tcPr>
            <w:tcW w:type="dxa" w:w="1417"/>
          </w:tcPr>
          <w:p>
            <w:pPr>
              <w:spacing w:line="240" w:lineRule="auto"/>
              <w:jc w:val="center"/>
            </w:pPr>
            <w:r/>
            <w:r>
              <w:rPr>
                <w:rFonts w:ascii="Times New Roman" w:hAnsi="Times New Roman" w:cs="Times New Roman"/>
                <w:rFonts w:ascii="Times New Roman" w:hAnsi="Times New Roman"/>
                <w:b/>
                <w:i w:val="0"/>
                <w:sz w:val="20"/>
              </w:rPr>
              <w:t>MAPE (%)</w:t>
            </w:r>
          </w:p>
        </w:tc>
        <w:tc>
          <w:tcPr>
            <w:tcW w:type="dxa" w:w="1417"/>
          </w:tcPr>
          <w:p>
            <w:pPr>
              <w:spacing w:line="240" w:lineRule="auto"/>
              <w:jc w:val="center"/>
            </w:pPr>
            <w:r/>
            <w:r>
              <w:rPr>
                <w:rFonts w:ascii="Times New Roman" w:hAnsi="Times New Roman" w:cs="Times New Roman"/>
                <w:rFonts w:ascii="Times New Roman" w:hAnsi="Times New Roman"/>
                <w:b/>
                <w:i w:val="0"/>
                <w:sz w:val="20"/>
              </w:rPr>
              <w:t>DA (%)</w:t>
            </w:r>
          </w:p>
        </w:tc>
        <w:tc>
          <w:tcPr>
            <w:tcW w:type="dxa" w:w="1417"/>
          </w:tcPr>
          <w:p>
            <w:pPr>
              <w:spacing w:line="240" w:lineRule="auto"/>
              <w:jc w:val="center"/>
            </w:pPr>
            <w:r/>
            <w:r>
              <w:rPr>
                <w:rFonts w:ascii="Times New Roman" w:hAnsi="Times New Roman" w:cs="Times New Roman"/>
                <w:rFonts w:ascii="Times New Roman" w:hAnsi="Times New Roman"/>
                <w:b/>
                <w:i w:val="0"/>
                <w:sz w:val="20"/>
              </w:rPr>
              <w:t>DA vs. Naive</w:t>
            </w:r>
          </w:p>
        </w:tc>
      </w:tr>
      <w:tr>
        <w:tc>
          <w:tcPr>
            <w:tcW w:type="dxa" w:w="1417"/>
          </w:tcPr>
          <w:p>
            <w:pPr>
              <w:spacing w:line="240" w:lineRule="auto"/>
            </w:pPr>
            <w:r/>
            <w:r>
              <w:rPr>
                <w:rFonts w:ascii="Times New Roman" w:hAnsi="Times New Roman" w:cs="Times New Roman"/>
                <w:rFonts w:ascii="Times New Roman" w:hAnsi="Times New Roman"/>
                <w:b w:val="0"/>
                <w:i w:val="0"/>
                <w:sz w:val="20"/>
              </w:rPr>
              <w:t>Naive (random walk)</w:t>
            </w:r>
          </w:p>
        </w:tc>
        <w:tc>
          <w:tcPr>
            <w:tcW w:type="dxa" w:w="1417"/>
          </w:tcPr>
          <w:p>
            <w:pPr>
              <w:spacing w:line="240" w:lineRule="auto"/>
            </w:pPr>
            <w:r/>
            <w:r>
              <w:rPr>
                <w:rFonts w:ascii="Times New Roman" w:hAnsi="Times New Roman" w:cs="Times New Roman"/>
                <w:rFonts w:ascii="Times New Roman" w:hAnsi="Times New Roman"/>
                <w:b w:val="0"/>
                <w:i w:val="0"/>
                <w:sz w:val="20"/>
              </w:rPr>
              <w:t>5,054</w:t>
            </w:r>
          </w:p>
        </w:tc>
        <w:tc>
          <w:tcPr>
            <w:tcW w:type="dxa" w:w="1417"/>
          </w:tcPr>
          <w:p>
            <w:pPr>
              <w:spacing w:line="240" w:lineRule="auto"/>
            </w:pPr>
            <w:r/>
            <w:r>
              <w:rPr>
                <w:rFonts w:ascii="Times New Roman" w:hAnsi="Times New Roman" w:cs="Times New Roman"/>
                <w:rFonts w:ascii="Times New Roman" w:hAnsi="Times New Roman"/>
                <w:b w:val="0"/>
                <w:i w:val="0"/>
                <w:sz w:val="20"/>
              </w:rPr>
              <w:t>4,043</w:t>
            </w:r>
          </w:p>
        </w:tc>
        <w:tc>
          <w:tcPr>
            <w:tcW w:type="dxa" w:w="1417"/>
          </w:tcPr>
          <w:p>
            <w:pPr>
              <w:spacing w:line="240" w:lineRule="auto"/>
            </w:pPr>
            <w:r/>
            <w:r>
              <w:rPr>
                <w:rFonts w:ascii="Times New Roman" w:hAnsi="Times New Roman" w:cs="Times New Roman"/>
                <w:rFonts w:ascii="Times New Roman" w:hAnsi="Times New Roman"/>
                <w:b w:val="0"/>
                <w:i w:val="0"/>
                <w:sz w:val="20"/>
              </w:rPr>
              <w:t>244,9</w:t>
            </w:r>
          </w:p>
        </w:tc>
        <w:tc>
          <w:tcPr>
            <w:tcW w:type="dxa" w:w="1417"/>
          </w:tcPr>
          <w:p>
            <w:pPr>
              <w:spacing w:line="240" w:lineRule="auto"/>
            </w:pPr>
            <w:r/>
            <w:r>
              <w:rPr>
                <w:rFonts w:ascii="Times New Roman" w:hAnsi="Times New Roman" w:cs="Times New Roman"/>
                <w:rFonts w:ascii="Times New Roman" w:hAnsi="Times New Roman"/>
                <w:b w:val="0"/>
                <w:i w:val="0"/>
                <w:sz w:val="20"/>
              </w:rPr>
              <w:t>55,9%</w:t>
            </w:r>
          </w:p>
        </w:tc>
        <w:tc>
          <w:tcPr>
            <w:tcW w:type="dxa" w:w="1417"/>
          </w:tcPr>
          <w:p>
            <w:pPr>
              <w:spacing w:line="240" w:lineRule="auto"/>
            </w:pPr>
            <w:r/>
            <w:r>
              <w:rPr>
                <w:rFonts w:ascii="Times New Roman" w:hAnsi="Times New Roman" w:cs="Times New Roman"/>
                <w:rFonts w:ascii="Times New Roman" w:hAnsi="Times New Roman"/>
                <w:b w:val="0"/>
                <w:i w:val="0"/>
                <w:sz w:val="20"/>
              </w:rPr>
              <w:t>--</w:t>
            </w:r>
          </w:p>
        </w:tc>
      </w:tr>
      <w:tr>
        <w:tc>
          <w:tcPr>
            <w:tcW w:type="dxa" w:w="1417"/>
          </w:tcPr>
          <w:p>
            <w:pPr>
              <w:spacing w:line="240" w:lineRule="auto"/>
            </w:pPr>
            <w:r/>
            <w:r>
              <w:rPr>
                <w:rFonts w:ascii="Times New Roman" w:hAnsi="Times New Roman" w:cs="Times New Roman"/>
                <w:rFonts w:ascii="Times New Roman" w:hAnsi="Times New Roman"/>
                <w:b w:val="0"/>
                <w:i w:val="0"/>
                <w:sz w:val="20"/>
              </w:rPr>
              <w:t>XGBoost</w:t>
            </w:r>
          </w:p>
        </w:tc>
        <w:tc>
          <w:tcPr>
            <w:tcW w:type="dxa" w:w="1417"/>
          </w:tcPr>
          <w:p>
            <w:pPr>
              <w:spacing w:line="240" w:lineRule="auto"/>
            </w:pPr>
            <w:r/>
            <w:r>
              <w:rPr>
                <w:rFonts w:ascii="Times New Roman" w:hAnsi="Times New Roman" w:cs="Times New Roman"/>
                <w:rFonts w:ascii="Times New Roman" w:hAnsi="Times New Roman"/>
                <w:b w:val="0"/>
                <w:i w:val="0"/>
                <w:sz w:val="20"/>
              </w:rPr>
              <w:t>4,340</w:t>
            </w:r>
          </w:p>
        </w:tc>
        <w:tc>
          <w:tcPr>
            <w:tcW w:type="dxa" w:w="1417"/>
          </w:tcPr>
          <w:p>
            <w:pPr>
              <w:spacing w:line="240" w:lineRule="auto"/>
            </w:pPr>
            <w:r/>
            <w:r>
              <w:rPr>
                <w:rFonts w:ascii="Times New Roman" w:hAnsi="Times New Roman" w:cs="Times New Roman"/>
                <w:rFonts w:ascii="Times New Roman" w:hAnsi="Times New Roman"/>
                <w:b w:val="0"/>
                <w:i w:val="0"/>
                <w:sz w:val="20"/>
              </w:rPr>
              <w:t>3,476</w:t>
            </w:r>
          </w:p>
        </w:tc>
        <w:tc>
          <w:tcPr>
            <w:tcW w:type="dxa" w:w="1417"/>
          </w:tcPr>
          <w:p>
            <w:pPr>
              <w:spacing w:line="240" w:lineRule="auto"/>
            </w:pPr>
            <w:r/>
            <w:r>
              <w:rPr>
                <w:rFonts w:ascii="Times New Roman" w:hAnsi="Times New Roman" w:cs="Times New Roman"/>
                <w:rFonts w:ascii="Times New Roman" w:hAnsi="Times New Roman"/>
                <w:b w:val="0"/>
                <w:i w:val="0"/>
                <w:sz w:val="20"/>
              </w:rPr>
              <w:t>308,0</w:t>
            </w:r>
          </w:p>
        </w:tc>
        <w:tc>
          <w:tcPr>
            <w:tcW w:type="dxa" w:w="1417"/>
          </w:tcPr>
          <w:p>
            <w:pPr>
              <w:spacing w:line="240" w:lineRule="auto"/>
            </w:pPr>
            <w:r/>
            <w:r>
              <w:rPr>
                <w:rFonts w:ascii="Times New Roman" w:hAnsi="Times New Roman" w:cs="Times New Roman"/>
                <w:rFonts w:ascii="Times New Roman" w:hAnsi="Times New Roman"/>
                <w:b w:val="0"/>
                <w:i w:val="0"/>
                <w:sz w:val="20"/>
              </w:rPr>
              <w:t>52,3%</w:t>
            </w:r>
          </w:p>
        </w:tc>
        <w:tc>
          <w:tcPr>
            <w:tcW w:type="dxa" w:w="1417"/>
          </w:tcPr>
          <w:p>
            <w:pPr>
              <w:spacing w:line="240" w:lineRule="auto"/>
            </w:pPr>
            <w:r/>
            <w:r>
              <w:rPr>
                <w:rFonts w:ascii="Times New Roman" w:hAnsi="Times New Roman" w:cs="Times New Roman"/>
                <w:rFonts w:ascii="Times New Roman" w:hAnsi="Times New Roman"/>
                <w:b w:val="0"/>
                <w:i w:val="0"/>
                <w:sz w:val="20"/>
              </w:rPr>
              <w:t>-3,6 pp</w:t>
            </w:r>
          </w:p>
        </w:tc>
      </w:tr>
      <w:tr>
        <w:tc>
          <w:tcPr>
            <w:tcW w:type="dxa" w:w="1417"/>
          </w:tcPr>
          <w:p>
            <w:pPr>
              <w:spacing w:line="240" w:lineRule="auto"/>
            </w:pPr>
            <w:r/>
            <w:r>
              <w:rPr>
                <w:rFonts w:ascii="Times New Roman" w:hAnsi="Times New Roman" w:cs="Times New Roman"/>
                <w:rFonts w:ascii="Times New Roman" w:hAnsi="Times New Roman"/>
                <w:b w:val="0"/>
                <w:i w:val="0"/>
                <w:sz w:val="20"/>
              </w:rPr>
              <w:t>Random Forest</w:t>
            </w:r>
          </w:p>
        </w:tc>
        <w:tc>
          <w:tcPr>
            <w:tcW w:type="dxa" w:w="1417"/>
          </w:tcPr>
          <w:p>
            <w:pPr>
              <w:spacing w:line="240" w:lineRule="auto"/>
            </w:pPr>
            <w:r/>
            <w:r>
              <w:rPr>
                <w:rFonts w:ascii="Times New Roman" w:hAnsi="Times New Roman" w:cs="Times New Roman"/>
                <w:rFonts w:ascii="Times New Roman" w:hAnsi="Times New Roman"/>
                <w:b w:val="0"/>
                <w:i w:val="0"/>
                <w:sz w:val="20"/>
              </w:rPr>
              <w:t>3,882</w:t>
            </w:r>
          </w:p>
        </w:tc>
        <w:tc>
          <w:tcPr>
            <w:tcW w:type="dxa" w:w="1417"/>
          </w:tcPr>
          <w:p>
            <w:pPr>
              <w:spacing w:line="240" w:lineRule="auto"/>
            </w:pPr>
            <w:r/>
            <w:r>
              <w:rPr>
                <w:rFonts w:ascii="Times New Roman" w:hAnsi="Times New Roman" w:cs="Times New Roman"/>
                <w:rFonts w:ascii="Times New Roman" w:hAnsi="Times New Roman"/>
                <w:b w:val="0"/>
                <w:i w:val="0"/>
                <w:sz w:val="20"/>
              </w:rPr>
              <w:t>3,181</w:t>
            </w:r>
          </w:p>
        </w:tc>
        <w:tc>
          <w:tcPr>
            <w:tcW w:type="dxa" w:w="1417"/>
          </w:tcPr>
          <w:p>
            <w:pPr>
              <w:spacing w:line="240" w:lineRule="auto"/>
            </w:pPr>
            <w:r/>
            <w:r>
              <w:rPr>
                <w:rFonts w:ascii="Times New Roman" w:hAnsi="Times New Roman" w:cs="Times New Roman"/>
                <w:rFonts w:ascii="Times New Roman" w:hAnsi="Times New Roman"/>
                <w:b w:val="0"/>
                <w:i w:val="0"/>
                <w:sz w:val="20"/>
              </w:rPr>
              <w:t>226,5</w:t>
            </w:r>
          </w:p>
        </w:tc>
        <w:tc>
          <w:tcPr>
            <w:tcW w:type="dxa" w:w="1417"/>
          </w:tcPr>
          <w:p>
            <w:pPr>
              <w:spacing w:line="240" w:lineRule="auto"/>
            </w:pPr>
            <w:r/>
            <w:r>
              <w:rPr>
                <w:rFonts w:ascii="Times New Roman" w:hAnsi="Times New Roman" w:cs="Times New Roman"/>
                <w:rFonts w:ascii="Times New Roman" w:hAnsi="Times New Roman"/>
                <w:b w:val="0"/>
                <w:i w:val="0"/>
                <w:sz w:val="20"/>
              </w:rPr>
              <w:t>58,7%</w:t>
            </w:r>
          </w:p>
        </w:tc>
        <w:tc>
          <w:tcPr>
            <w:tcW w:type="dxa" w:w="1417"/>
          </w:tcPr>
          <w:p>
            <w:pPr>
              <w:spacing w:line="240" w:lineRule="auto"/>
            </w:pPr>
            <w:r/>
            <w:r>
              <w:rPr>
                <w:rFonts w:ascii="Times New Roman" w:hAnsi="Times New Roman" w:cs="Times New Roman"/>
                <w:rFonts w:ascii="Times New Roman" w:hAnsi="Times New Roman"/>
                <w:b w:val="0"/>
                <w:i w:val="0"/>
                <w:sz w:val="20"/>
              </w:rPr>
              <w:t>+2,8 pp</w:t>
            </w:r>
          </w:p>
        </w:tc>
      </w:tr>
      <w:tr>
        <w:tc>
          <w:tcPr>
            <w:tcW w:type="dxa" w:w="1417"/>
          </w:tcPr>
          <w:p>
            <w:pPr>
              <w:spacing w:line="240" w:lineRule="auto"/>
            </w:pPr>
            <w:r/>
            <w:r>
              <w:rPr>
                <w:rFonts w:ascii="Times New Roman" w:hAnsi="Times New Roman" w:cs="Times New Roman"/>
                <w:rFonts w:ascii="Times New Roman" w:hAnsi="Times New Roman"/>
                <w:b w:val="0"/>
                <w:i w:val="0"/>
                <w:sz w:val="20"/>
              </w:rPr>
              <w:t>LSTM (mejor modelo)</w:t>
            </w:r>
          </w:p>
        </w:tc>
        <w:tc>
          <w:tcPr>
            <w:tcW w:type="dxa" w:w="1417"/>
          </w:tcPr>
          <w:p>
            <w:pPr>
              <w:spacing w:line="240" w:lineRule="auto"/>
            </w:pPr>
            <w:r/>
            <w:r>
              <w:rPr>
                <w:rFonts w:ascii="Times New Roman" w:hAnsi="Times New Roman" w:cs="Times New Roman"/>
                <w:rFonts w:ascii="Times New Roman" w:hAnsi="Times New Roman"/>
                <w:b w:val="0"/>
                <w:i w:val="0"/>
                <w:sz w:val="20"/>
              </w:rPr>
              <w:t>3,815</w:t>
            </w:r>
          </w:p>
        </w:tc>
        <w:tc>
          <w:tcPr>
            <w:tcW w:type="dxa" w:w="1417"/>
          </w:tcPr>
          <w:p>
            <w:pPr>
              <w:spacing w:line="240" w:lineRule="auto"/>
            </w:pPr>
            <w:r/>
            <w:r>
              <w:rPr>
                <w:rFonts w:ascii="Times New Roman" w:hAnsi="Times New Roman" w:cs="Times New Roman"/>
                <w:rFonts w:ascii="Times New Roman" w:hAnsi="Times New Roman"/>
                <w:b w:val="0"/>
                <w:i w:val="0"/>
                <w:sz w:val="20"/>
              </w:rPr>
              <w:t>3,142</w:t>
            </w:r>
          </w:p>
        </w:tc>
        <w:tc>
          <w:tcPr>
            <w:tcW w:type="dxa" w:w="1417"/>
          </w:tcPr>
          <w:p>
            <w:pPr>
              <w:spacing w:line="240" w:lineRule="auto"/>
            </w:pPr>
            <w:r/>
            <w:r>
              <w:rPr>
                <w:rFonts w:ascii="Times New Roman" w:hAnsi="Times New Roman" w:cs="Times New Roman"/>
                <w:rFonts w:ascii="Times New Roman" w:hAnsi="Times New Roman"/>
                <w:b w:val="0"/>
                <w:i w:val="0"/>
                <w:sz w:val="20"/>
              </w:rPr>
              <w:t>278,8</w:t>
            </w:r>
          </w:p>
        </w:tc>
        <w:tc>
          <w:tcPr>
            <w:tcW w:type="dxa" w:w="1417"/>
          </w:tcPr>
          <w:p>
            <w:pPr>
              <w:spacing w:line="240" w:lineRule="auto"/>
            </w:pPr>
            <w:r/>
            <w:r>
              <w:rPr>
                <w:rFonts w:ascii="Times New Roman" w:hAnsi="Times New Roman" w:cs="Times New Roman"/>
                <w:rFonts w:ascii="Times New Roman" w:hAnsi="Times New Roman"/>
                <w:b w:val="0"/>
                <w:i w:val="0"/>
                <w:sz w:val="20"/>
              </w:rPr>
              <w:t>61,5%</w:t>
            </w:r>
          </w:p>
        </w:tc>
        <w:tc>
          <w:tcPr>
            <w:tcW w:type="dxa" w:w="1417"/>
          </w:tcPr>
          <w:p>
            <w:pPr>
              <w:spacing w:line="240" w:lineRule="auto"/>
            </w:pPr>
            <w:r/>
            <w:r>
              <w:rPr>
                <w:rFonts w:ascii="Times New Roman" w:hAnsi="Times New Roman" w:cs="Times New Roman"/>
                <w:rFonts w:ascii="Times New Roman" w:hAnsi="Times New Roman"/>
                <w:b w:val="0"/>
                <w:i w:val="0"/>
                <w:sz w:val="20"/>
              </w:rPr>
              <w:t>+5,6 pp</w:t>
            </w:r>
          </w:p>
        </w:tc>
      </w:tr>
    </w:tbl>
    <w:p/>
    <w:p>
      <w:pPr>
        <w:spacing w:before="120"/>
        <w:jc w:val="center"/>
      </w:pPr>
      <w:r>
        <w:drawing>
          <wp:inline xmlns:a="http://schemas.openxmlformats.org/drawingml/2006/main" xmlns:pic="http://schemas.openxmlformats.org/drawingml/2006/picture">
            <wp:extent cx="4860000" cy="1944000"/>
            <wp:docPr id="5" name="Picture 5"/>
            <wp:cNvGraphicFramePr>
              <a:graphicFrameLocks noChangeAspect="1"/>
            </wp:cNvGraphicFramePr>
            <a:graphic>
              <a:graphicData uri="http://schemas.openxmlformats.org/drawingml/2006/picture">
                <pic:pic>
                  <pic:nvPicPr>
                    <pic:cNvPr id="0" name="fig_06_ml_resultados.png"/>
                    <pic:cNvPicPr/>
                  </pic:nvPicPr>
                  <pic:blipFill>
                    <a:blip r:embed="rId14"/>
                    <a:stretch>
                      <a:fillRect/>
                    </a:stretch>
                  </pic:blipFill>
                  <pic:spPr>
                    <a:xfrm>
                      <a:off x="0" y="0"/>
                      <a:ext cx="4860000" cy="1944000"/>
                    </a:xfrm>
                    <a:prstGeom prst="rect"/>
                  </pic:spPr>
                </pic:pic>
              </a:graphicData>
            </a:graphic>
          </wp:inline>
        </w:drawing>
      </w:r>
    </w:p>
    <w:p>
      <w:pPr>
        <w:spacing w:before="40" w:after="200"/>
        <w:jc w:val="center"/>
      </w:pPr>
      <w:r>
        <w:rPr>
          <w:rFonts w:ascii="Times New Roman" w:hAnsi="Times New Roman" w:cs="Times New Roman"/>
          <w:rFonts w:ascii="Times New Roman" w:hAnsi="Times New Roman"/>
          <w:b w:val="0"/>
          <w:i/>
          <w:sz w:val="20"/>
        </w:rPr>
        <w:t>Figura 7.1. Comparativa de modelos predictivos: RMSE (izquierda) y precision direccional DA (derecha). Periodo de test: oct. 2016 - oct. 2025 (109 meses). La linea discontinua marca el benchmark naive. Fuente: elaboracion propia.</w:t>
      </w:r>
    </w:p>
    <w:p>
      <w:pPr/>
      <w:r>
        <w:rPr>
          <w:rFonts w:ascii="Times New Roman" w:hAnsi="Times New Roman" w:cs="Times New Roman"/>
          <w:rFonts w:ascii="Times New Roman" w:hAnsi="Times New Roman"/>
          <w:b w:val="0"/>
          <w:i w:val="0"/>
          <w:sz w:val="24"/>
        </w:rPr>
        <w:t xml:space="preserve">Tres conclusiones destacan. </w:t>
      </w:r>
      <w:r>
        <w:rPr>
          <w:rFonts w:ascii="Times New Roman" w:hAnsi="Times New Roman" w:cs="Times New Roman"/>
          <w:rFonts w:ascii="Times New Roman" w:hAnsi="Times New Roman"/>
          <w:b/>
          <w:i w:val="0"/>
          <w:sz w:val="24"/>
        </w:rPr>
        <w:t>Primera</w:t>
      </w:r>
      <w:r>
        <w:rPr>
          <w:rFonts w:ascii="Times New Roman" w:hAnsi="Times New Roman" w:cs="Times New Roman"/>
          <w:rFonts w:ascii="Times New Roman" w:hAnsi="Times New Roman"/>
          <w:b w:val="0"/>
          <w:i w:val="0"/>
          <w:sz w:val="24"/>
        </w:rPr>
        <w:t xml:space="preserve">: la LSTM obtiene el mejor rendimiento en RMSE (-24,5% vs. naive) y DA (+5,6 pp), gracias a su capacidad de capturar dependencias temporales. </w:t>
      </w:r>
      <w:r>
        <w:rPr>
          <w:rFonts w:ascii="Times New Roman" w:hAnsi="Times New Roman" w:cs="Times New Roman"/>
          <w:rFonts w:ascii="Times New Roman" w:hAnsi="Times New Roman"/>
          <w:b/>
          <w:i w:val="0"/>
          <w:sz w:val="24"/>
        </w:rPr>
        <w:t>Segunda</w:t>
      </w:r>
      <w:r>
        <w:rPr>
          <w:rFonts w:ascii="Times New Roman" w:hAnsi="Times New Roman" w:cs="Times New Roman"/>
          <w:rFonts w:ascii="Times New Roman" w:hAnsi="Times New Roman"/>
          <w:b w:val="0"/>
          <w:i w:val="0"/>
          <w:sz w:val="24"/>
        </w:rPr>
        <w:t xml:space="preserve">: el Random Forest supera al XGBoost en todas las metricas — resultado frecuente en series financieras cortas donde el bagging es mas robusto. </w:t>
      </w:r>
      <w:r>
        <w:rPr>
          <w:rFonts w:ascii="Times New Roman" w:hAnsi="Times New Roman" w:cs="Times New Roman"/>
          <w:rFonts w:ascii="Times New Roman" w:hAnsi="Times New Roman"/>
          <w:b/>
          <w:i w:val="0"/>
          <w:sz w:val="24"/>
        </w:rPr>
        <w:t>Tercera</w:t>
      </w:r>
      <w:r>
        <w:rPr>
          <w:rFonts w:ascii="Times New Roman" w:hAnsi="Times New Roman" w:cs="Times New Roman"/>
          <w:rFonts w:ascii="Times New Roman" w:hAnsi="Times New Roman"/>
          <w:b w:val="0"/>
          <w:i w:val="0"/>
          <w:sz w:val="24"/>
        </w:rPr>
        <w:t>: el XGBoost tiene DA inferior al naive (52,3% vs. 55,9%), introduciendo ruido en la direccion del movimiento.</w:t>
      </w:r>
    </w:p>
    <w:p>
      <w:pPr>
        <w:pStyle w:val="Heading2"/>
      </w:pPr>
      <w:r>
        <w:t>7.5 Interpretabilidad: analisis SHAP</w:t>
      </w:r>
    </w:p>
    <w:p>
      <w:pPr/>
      <w:r>
        <w:rPr>
          <w:rFonts w:ascii="Times New Roman" w:hAnsi="Times New Roman" w:cs="Times New Roman"/>
          <w:rFonts w:ascii="Times New Roman" w:hAnsi="Times New Roman"/>
          <w:b w:val="0"/>
          <w:i w:val="0"/>
          <w:sz w:val="24"/>
        </w:rPr>
        <w:t xml:space="preserve">Los valores </w:t>
      </w:r>
      <w:r>
        <w:rPr>
          <w:rFonts w:ascii="Times New Roman" w:hAnsi="Times New Roman" w:cs="Times New Roman"/>
          <w:rFonts w:ascii="Times New Roman" w:hAnsi="Times New Roman"/>
          <w:b/>
          <w:i w:val="0"/>
          <w:sz w:val="24"/>
        </w:rPr>
        <w:t>SHAP</w:t>
      </w:r>
      <w:r>
        <w:rPr>
          <w:rFonts w:ascii="Times New Roman" w:hAnsi="Times New Roman" w:cs="Times New Roman"/>
          <w:rFonts w:ascii="Times New Roman" w:hAnsi="Times New Roman"/>
          <w:b w:val="0"/>
          <w:i w:val="0"/>
          <w:sz w:val="24"/>
        </w:rPr>
        <w:t xml:space="preserve"> descomponen cada prediccion del XGBoost en la contribucion marginal de cada variable (Lundberg y Lee, 2017). La Figura 7.2 presenta el ranking de las 8 variables mas influyentes.</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spacing w:line="240" w:lineRule="auto"/>
              <w:jc w:val="center"/>
            </w:pPr>
            <w:r/>
            <w:r>
              <w:rPr>
                <w:rFonts w:ascii="Times New Roman" w:hAnsi="Times New Roman" w:cs="Times New Roman"/>
                <w:rFonts w:ascii="Times New Roman" w:hAnsi="Times New Roman"/>
                <w:b/>
                <w:i w:val="0"/>
                <w:sz w:val="20"/>
              </w:rPr>
              <w:t>Rango</w:t>
            </w:r>
          </w:p>
        </w:tc>
        <w:tc>
          <w:tcPr>
            <w:tcW w:type="dxa" w:w="2126"/>
          </w:tcPr>
          <w:p>
            <w:pPr>
              <w:spacing w:line="240" w:lineRule="auto"/>
              <w:jc w:val="center"/>
            </w:pPr>
            <w:r/>
            <w:r>
              <w:rPr>
                <w:rFonts w:ascii="Times New Roman" w:hAnsi="Times New Roman" w:cs="Times New Roman"/>
                <w:rFonts w:ascii="Times New Roman" w:hAnsi="Times New Roman"/>
                <w:b/>
                <w:i w:val="0"/>
                <w:sz w:val="20"/>
              </w:rPr>
              <w:t>Variable</w:t>
            </w:r>
          </w:p>
        </w:tc>
        <w:tc>
          <w:tcPr>
            <w:tcW w:type="dxa" w:w="2126"/>
          </w:tcPr>
          <w:p>
            <w:pPr>
              <w:spacing w:line="240" w:lineRule="auto"/>
              <w:jc w:val="center"/>
            </w:pPr>
            <w:r/>
            <w:r>
              <w:rPr>
                <w:rFonts w:ascii="Times New Roman" w:hAnsi="Times New Roman" w:cs="Times New Roman"/>
                <w:rFonts w:ascii="Times New Roman" w:hAnsi="Times New Roman"/>
                <w:b/>
                <w:i w:val="0"/>
                <w:sz w:val="20"/>
              </w:rPr>
              <w:t>SHAP |phi medio|</w:t>
            </w:r>
          </w:p>
        </w:tc>
        <w:tc>
          <w:tcPr>
            <w:tcW w:type="dxa" w:w="2126"/>
          </w:tcPr>
          <w:p>
            <w:pPr>
              <w:spacing w:line="240" w:lineRule="auto"/>
              <w:jc w:val="center"/>
            </w:pPr>
            <w:r/>
            <w:r>
              <w:rPr>
                <w:rFonts w:ascii="Times New Roman" w:hAnsi="Times New Roman" w:cs="Times New Roman"/>
                <w:rFonts w:ascii="Times New Roman" w:hAnsi="Times New Roman"/>
                <w:b/>
                <w:i w:val="0"/>
                <w:sz w:val="20"/>
              </w:rPr>
              <w:t>Interpretacion</w:t>
            </w:r>
          </w:p>
        </w:tc>
      </w:tr>
      <w:tr>
        <w:tc>
          <w:tcPr>
            <w:tcW w:type="dxa" w:w="2126"/>
          </w:tcPr>
          <w:p>
            <w:pPr>
              <w:spacing w:line="240" w:lineRule="auto"/>
            </w:pPr>
            <w:r/>
            <w:r>
              <w:rPr>
                <w:rFonts w:ascii="Times New Roman" w:hAnsi="Times New Roman" w:cs="Times New Roman"/>
                <w:rFonts w:ascii="Times New Roman" w:hAnsi="Times New Roman"/>
                <w:b w:val="0"/>
                <w:i w:val="0"/>
                <w:sz w:val="20"/>
              </w:rPr>
              <w:t>1</w:t>
            </w:r>
          </w:p>
        </w:tc>
        <w:tc>
          <w:tcPr>
            <w:tcW w:type="dxa" w:w="2126"/>
          </w:tcPr>
          <w:p>
            <w:pPr>
              <w:spacing w:line="240" w:lineRule="auto"/>
            </w:pPr>
            <w:r/>
            <w:r>
              <w:rPr>
                <w:rFonts w:ascii="Times New Roman" w:hAnsi="Times New Roman" w:cs="Times New Roman"/>
                <w:rFonts w:ascii="Times New Roman" w:hAnsi="Times New Roman"/>
                <w:b w:val="0"/>
                <w:i w:val="0"/>
                <w:sz w:val="20"/>
              </w:rPr>
              <w:t>CPI YoY (t-1)</w:t>
            </w:r>
          </w:p>
        </w:tc>
        <w:tc>
          <w:tcPr>
            <w:tcW w:type="dxa" w:w="2126"/>
          </w:tcPr>
          <w:p>
            <w:pPr>
              <w:spacing w:line="240" w:lineRule="auto"/>
            </w:pPr>
            <w:r/>
            <w:r>
              <w:rPr>
                <w:rFonts w:ascii="Times New Roman" w:hAnsi="Times New Roman" w:cs="Times New Roman"/>
                <w:rFonts w:ascii="Times New Roman" w:hAnsi="Times New Roman"/>
                <w:b w:val="0"/>
                <w:i w:val="0"/>
                <w:sz w:val="20"/>
              </w:rPr>
              <w:t>0,954</w:t>
            </w:r>
          </w:p>
        </w:tc>
        <w:tc>
          <w:tcPr>
            <w:tcW w:type="dxa" w:w="2126"/>
          </w:tcPr>
          <w:p>
            <w:pPr>
              <w:spacing w:line="240" w:lineRule="auto"/>
            </w:pPr>
            <w:r/>
            <w:r>
              <w:rPr>
                <w:rFonts w:ascii="Times New Roman" w:hAnsi="Times New Roman" w:cs="Times New Roman"/>
                <w:rFonts w:ascii="Times New Roman" w:hAnsi="Times New Roman"/>
                <w:b w:val="0"/>
                <w:i w:val="0"/>
                <w:sz w:val="20"/>
              </w:rPr>
              <w:t>Inflacion pasada: predictor mas potente a 1 mes</w:t>
            </w:r>
          </w:p>
        </w:tc>
      </w:tr>
      <w:tr>
        <w:tc>
          <w:tcPr>
            <w:tcW w:type="dxa" w:w="2126"/>
          </w:tcPr>
          <w:p>
            <w:pPr>
              <w:spacing w:line="240" w:lineRule="auto"/>
            </w:pPr>
            <w:r/>
            <w:r>
              <w:rPr>
                <w:rFonts w:ascii="Times New Roman" w:hAnsi="Times New Roman" w:cs="Times New Roman"/>
                <w:rFonts w:ascii="Times New Roman" w:hAnsi="Times New Roman"/>
                <w:b w:val="0"/>
                <w:i w:val="0"/>
                <w:sz w:val="20"/>
              </w:rPr>
              <w:t>2</w:t>
            </w:r>
          </w:p>
        </w:tc>
        <w:tc>
          <w:tcPr>
            <w:tcW w:type="dxa" w:w="2126"/>
          </w:tcPr>
          <w:p>
            <w:pPr>
              <w:spacing w:line="240" w:lineRule="auto"/>
            </w:pPr>
            <w:r/>
            <w:r>
              <w:rPr>
                <w:rFonts w:ascii="Times New Roman" w:hAnsi="Times New Roman" w:cs="Times New Roman"/>
                <w:rFonts w:ascii="Times New Roman" w:hAnsi="Times New Roman"/>
                <w:b w:val="0"/>
                <w:i w:val="0"/>
                <w:sz w:val="20"/>
              </w:rPr>
              <w:t>TIPS 10Y (t-2)</w:t>
            </w:r>
          </w:p>
        </w:tc>
        <w:tc>
          <w:tcPr>
            <w:tcW w:type="dxa" w:w="2126"/>
          </w:tcPr>
          <w:p>
            <w:pPr>
              <w:spacing w:line="240" w:lineRule="auto"/>
            </w:pPr>
            <w:r/>
            <w:r>
              <w:rPr>
                <w:rFonts w:ascii="Times New Roman" w:hAnsi="Times New Roman" w:cs="Times New Roman"/>
                <w:rFonts w:ascii="Times New Roman" w:hAnsi="Times New Roman"/>
                <w:b w:val="0"/>
                <w:i w:val="0"/>
                <w:sz w:val="20"/>
              </w:rPr>
              <w:t>0,617</w:t>
            </w:r>
          </w:p>
        </w:tc>
        <w:tc>
          <w:tcPr>
            <w:tcW w:type="dxa" w:w="2126"/>
          </w:tcPr>
          <w:p>
            <w:pPr>
              <w:spacing w:line="240" w:lineRule="auto"/>
            </w:pPr>
            <w:r/>
            <w:r>
              <w:rPr>
                <w:rFonts w:ascii="Times New Roman" w:hAnsi="Times New Roman" w:cs="Times New Roman"/>
                <w:rFonts w:ascii="Times New Roman" w:hAnsi="Times New Roman"/>
                <w:b w:val="0"/>
                <w:i w:val="0"/>
                <w:sz w:val="20"/>
              </w:rPr>
              <w:t>Tipos reales retardados (consistente con Granger)</w:t>
            </w:r>
          </w:p>
        </w:tc>
      </w:tr>
      <w:tr>
        <w:tc>
          <w:tcPr>
            <w:tcW w:type="dxa" w:w="2126"/>
          </w:tcPr>
          <w:p>
            <w:pPr>
              <w:spacing w:line="240" w:lineRule="auto"/>
            </w:pPr>
            <w:r/>
            <w:r>
              <w:rPr>
                <w:rFonts w:ascii="Times New Roman" w:hAnsi="Times New Roman" w:cs="Times New Roman"/>
                <w:rFonts w:ascii="Times New Roman" w:hAnsi="Times New Roman"/>
                <w:b w:val="0"/>
                <w:i w:val="0"/>
                <w:sz w:val="20"/>
              </w:rPr>
              <w:t>3</w:t>
            </w:r>
          </w:p>
        </w:tc>
        <w:tc>
          <w:tcPr>
            <w:tcW w:type="dxa" w:w="2126"/>
          </w:tcPr>
          <w:p>
            <w:pPr>
              <w:spacing w:line="240" w:lineRule="auto"/>
            </w:pPr>
            <w:r/>
            <w:r>
              <w:rPr>
                <w:rFonts w:ascii="Times New Roman" w:hAnsi="Times New Roman" w:cs="Times New Roman"/>
                <w:rFonts w:ascii="Times New Roman" w:hAnsi="Times New Roman"/>
                <w:b w:val="0"/>
                <w:i w:val="0"/>
                <w:sz w:val="20"/>
              </w:rPr>
              <w:t>Ret. oro (t-1)</w:t>
            </w:r>
          </w:p>
        </w:tc>
        <w:tc>
          <w:tcPr>
            <w:tcW w:type="dxa" w:w="2126"/>
          </w:tcPr>
          <w:p>
            <w:pPr>
              <w:spacing w:line="240" w:lineRule="auto"/>
            </w:pPr>
            <w:r/>
            <w:r>
              <w:rPr>
                <w:rFonts w:ascii="Times New Roman" w:hAnsi="Times New Roman" w:cs="Times New Roman"/>
                <w:rFonts w:ascii="Times New Roman" w:hAnsi="Times New Roman"/>
                <w:b w:val="0"/>
                <w:i w:val="0"/>
                <w:sz w:val="20"/>
              </w:rPr>
              <w:t>0,526</w:t>
            </w:r>
          </w:p>
        </w:tc>
        <w:tc>
          <w:tcPr>
            <w:tcW w:type="dxa" w:w="2126"/>
          </w:tcPr>
          <w:p>
            <w:pPr>
              <w:spacing w:line="240" w:lineRule="auto"/>
            </w:pPr>
            <w:r/>
            <w:r>
              <w:rPr>
                <w:rFonts w:ascii="Times New Roman" w:hAnsi="Times New Roman" w:cs="Times New Roman"/>
                <w:rFonts w:ascii="Times New Roman" w:hAnsi="Times New Roman"/>
                <w:b w:val="0"/>
                <w:i w:val="0"/>
                <w:sz w:val="20"/>
              </w:rPr>
              <w:t>Momentum de 1 mes del oro</w:t>
            </w:r>
          </w:p>
        </w:tc>
      </w:tr>
      <w:tr>
        <w:tc>
          <w:tcPr>
            <w:tcW w:type="dxa" w:w="2126"/>
          </w:tcPr>
          <w:p>
            <w:pPr>
              <w:spacing w:line="240" w:lineRule="auto"/>
            </w:pPr>
            <w:r/>
            <w:r>
              <w:rPr>
                <w:rFonts w:ascii="Times New Roman" w:hAnsi="Times New Roman" w:cs="Times New Roman"/>
                <w:rFonts w:ascii="Times New Roman" w:hAnsi="Times New Roman"/>
                <w:b w:val="0"/>
                <w:i w:val="0"/>
                <w:sz w:val="20"/>
              </w:rPr>
              <w:t>4</w:t>
            </w:r>
          </w:p>
        </w:tc>
        <w:tc>
          <w:tcPr>
            <w:tcW w:type="dxa" w:w="2126"/>
          </w:tcPr>
          <w:p>
            <w:pPr>
              <w:spacing w:line="240" w:lineRule="auto"/>
            </w:pPr>
            <w:r/>
            <w:r>
              <w:rPr>
                <w:rFonts w:ascii="Times New Roman" w:hAnsi="Times New Roman" w:cs="Times New Roman"/>
                <w:rFonts w:ascii="Times New Roman" w:hAnsi="Times New Roman"/>
                <w:b w:val="0"/>
                <w:i w:val="0"/>
                <w:sz w:val="20"/>
              </w:rPr>
              <w:t>Breakeven (t-3)</w:t>
            </w:r>
          </w:p>
        </w:tc>
        <w:tc>
          <w:tcPr>
            <w:tcW w:type="dxa" w:w="2126"/>
          </w:tcPr>
          <w:p>
            <w:pPr>
              <w:spacing w:line="240" w:lineRule="auto"/>
            </w:pPr>
            <w:r/>
            <w:r>
              <w:rPr>
                <w:rFonts w:ascii="Times New Roman" w:hAnsi="Times New Roman" w:cs="Times New Roman"/>
                <w:rFonts w:ascii="Times New Roman" w:hAnsi="Times New Roman"/>
                <w:b w:val="0"/>
                <w:i w:val="0"/>
                <w:sz w:val="20"/>
              </w:rPr>
              <w:t>0,485</w:t>
            </w:r>
          </w:p>
        </w:tc>
        <w:tc>
          <w:tcPr>
            <w:tcW w:type="dxa" w:w="2126"/>
          </w:tcPr>
          <w:p>
            <w:pPr>
              <w:spacing w:line="240" w:lineRule="auto"/>
            </w:pPr>
            <w:r/>
            <w:r>
              <w:rPr>
                <w:rFonts w:ascii="Times New Roman" w:hAnsi="Times New Roman" w:cs="Times New Roman"/>
                <w:rFonts w:ascii="Times New Roman" w:hAnsi="Times New Roman"/>
                <w:b w:val="0"/>
                <w:i w:val="0"/>
                <w:sz w:val="20"/>
              </w:rPr>
              <w:t>Expectativas inflacionarias anticipadas 3 meses</w:t>
            </w:r>
          </w:p>
        </w:tc>
      </w:tr>
      <w:tr>
        <w:tc>
          <w:tcPr>
            <w:tcW w:type="dxa" w:w="2126"/>
          </w:tcPr>
          <w:p>
            <w:pPr>
              <w:spacing w:line="240" w:lineRule="auto"/>
            </w:pPr>
            <w:r/>
            <w:r>
              <w:rPr>
                <w:rFonts w:ascii="Times New Roman" w:hAnsi="Times New Roman" w:cs="Times New Roman"/>
                <w:rFonts w:ascii="Times New Roman" w:hAnsi="Times New Roman"/>
                <w:b w:val="0"/>
                <w:i w:val="0"/>
                <w:sz w:val="20"/>
              </w:rPr>
              <w:t>5</w:t>
            </w:r>
          </w:p>
        </w:tc>
        <w:tc>
          <w:tcPr>
            <w:tcW w:type="dxa" w:w="2126"/>
          </w:tcPr>
          <w:p>
            <w:pPr>
              <w:spacing w:line="240" w:lineRule="auto"/>
            </w:pPr>
            <w:r/>
            <w:r>
              <w:rPr>
                <w:rFonts w:ascii="Times New Roman" w:hAnsi="Times New Roman" w:cs="Times New Roman"/>
                <w:rFonts w:ascii="Times New Roman" w:hAnsi="Times New Roman"/>
                <w:b w:val="0"/>
                <w:i w:val="0"/>
                <w:sz w:val="20"/>
              </w:rPr>
              <w:t>WTI (t-2)</w:t>
            </w:r>
          </w:p>
        </w:tc>
        <w:tc>
          <w:tcPr>
            <w:tcW w:type="dxa" w:w="2126"/>
          </w:tcPr>
          <w:p>
            <w:pPr>
              <w:spacing w:line="240" w:lineRule="auto"/>
            </w:pPr>
            <w:r/>
            <w:r>
              <w:rPr>
                <w:rFonts w:ascii="Times New Roman" w:hAnsi="Times New Roman" w:cs="Times New Roman"/>
                <w:rFonts w:ascii="Times New Roman" w:hAnsi="Times New Roman"/>
                <w:b w:val="0"/>
                <w:i w:val="0"/>
                <w:sz w:val="20"/>
              </w:rPr>
              <w:t>0,423</w:t>
            </w:r>
          </w:p>
        </w:tc>
        <w:tc>
          <w:tcPr>
            <w:tcW w:type="dxa" w:w="2126"/>
          </w:tcPr>
          <w:p>
            <w:pPr>
              <w:spacing w:line="240" w:lineRule="auto"/>
            </w:pPr>
            <w:r/>
            <w:r>
              <w:rPr>
                <w:rFonts w:ascii="Times New Roman" w:hAnsi="Times New Roman" w:cs="Times New Roman"/>
                <w:rFonts w:ascii="Times New Roman" w:hAnsi="Times New Roman"/>
                <w:b w:val="0"/>
                <w:i w:val="0"/>
                <w:sz w:val="20"/>
              </w:rPr>
              <w:t>Petroleo como proxy de presiones inflacionarias</w:t>
            </w:r>
          </w:p>
        </w:tc>
      </w:tr>
      <w:tr>
        <w:tc>
          <w:tcPr>
            <w:tcW w:type="dxa" w:w="2126"/>
          </w:tcPr>
          <w:p>
            <w:pPr>
              <w:spacing w:line="240" w:lineRule="auto"/>
            </w:pPr>
            <w:r/>
            <w:r>
              <w:rPr>
                <w:rFonts w:ascii="Times New Roman" w:hAnsi="Times New Roman" w:cs="Times New Roman"/>
                <w:rFonts w:ascii="Times New Roman" w:hAnsi="Times New Roman"/>
                <w:b w:val="0"/>
                <w:i w:val="0"/>
                <w:sz w:val="20"/>
              </w:rPr>
              <w:t>6</w:t>
            </w:r>
          </w:p>
        </w:tc>
        <w:tc>
          <w:tcPr>
            <w:tcW w:type="dxa" w:w="2126"/>
          </w:tcPr>
          <w:p>
            <w:pPr>
              <w:spacing w:line="240" w:lineRule="auto"/>
            </w:pPr>
            <w:r/>
            <w:r>
              <w:rPr>
                <w:rFonts w:ascii="Times New Roman" w:hAnsi="Times New Roman" w:cs="Times New Roman"/>
                <w:rFonts w:ascii="Times New Roman" w:hAnsi="Times New Roman"/>
                <w:b w:val="0"/>
                <w:i w:val="0"/>
                <w:sz w:val="20"/>
              </w:rPr>
              <w:t>S&amp;P 500 (t-1)</w:t>
            </w:r>
          </w:p>
        </w:tc>
        <w:tc>
          <w:tcPr>
            <w:tcW w:type="dxa" w:w="2126"/>
          </w:tcPr>
          <w:p>
            <w:pPr>
              <w:spacing w:line="240" w:lineRule="auto"/>
            </w:pPr>
            <w:r/>
            <w:r>
              <w:rPr>
                <w:rFonts w:ascii="Times New Roman" w:hAnsi="Times New Roman" w:cs="Times New Roman"/>
                <w:rFonts w:ascii="Times New Roman" w:hAnsi="Times New Roman"/>
                <w:b w:val="0"/>
                <w:i w:val="0"/>
                <w:sz w:val="20"/>
              </w:rPr>
              <w:t>0,397</w:t>
            </w:r>
          </w:p>
        </w:tc>
        <w:tc>
          <w:tcPr>
            <w:tcW w:type="dxa" w:w="2126"/>
          </w:tcPr>
          <w:p>
            <w:pPr>
              <w:spacing w:line="240" w:lineRule="auto"/>
            </w:pPr>
            <w:r/>
            <w:r>
              <w:rPr>
                <w:rFonts w:ascii="Times New Roman" w:hAnsi="Times New Roman" w:cs="Times New Roman"/>
                <w:rFonts w:ascii="Times New Roman" w:hAnsi="Times New Roman"/>
                <w:b w:val="0"/>
                <w:i w:val="0"/>
                <w:sz w:val="20"/>
              </w:rPr>
              <w:t>Sustitucion renta variable-oro rezagada</w:t>
            </w:r>
          </w:p>
        </w:tc>
      </w:tr>
      <w:tr>
        <w:tc>
          <w:tcPr>
            <w:tcW w:type="dxa" w:w="2126"/>
          </w:tcPr>
          <w:p>
            <w:pPr>
              <w:spacing w:line="240" w:lineRule="auto"/>
            </w:pPr>
            <w:r/>
            <w:r>
              <w:rPr>
                <w:rFonts w:ascii="Times New Roman" w:hAnsi="Times New Roman" w:cs="Times New Roman"/>
                <w:rFonts w:ascii="Times New Roman" w:hAnsi="Times New Roman"/>
                <w:b w:val="0"/>
                <w:i w:val="0"/>
                <w:sz w:val="20"/>
              </w:rPr>
              <w:t>7</w:t>
            </w:r>
          </w:p>
        </w:tc>
        <w:tc>
          <w:tcPr>
            <w:tcW w:type="dxa" w:w="2126"/>
          </w:tcPr>
          <w:p>
            <w:pPr>
              <w:spacing w:line="240" w:lineRule="auto"/>
            </w:pPr>
            <w:r/>
            <w:r>
              <w:rPr>
                <w:rFonts w:ascii="Times New Roman" w:hAnsi="Times New Roman" w:cs="Times New Roman"/>
                <w:rFonts w:ascii="Times New Roman" w:hAnsi="Times New Roman"/>
                <w:b w:val="0"/>
                <w:i w:val="0"/>
                <w:sz w:val="20"/>
              </w:rPr>
              <w:t>Vol3 oro</w:t>
            </w:r>
          </w:p>
        </w:tc>
        <w:tc>
          <w:tcPr>
            <w:tcW w:type="dxa" w:w="2126"/>
          </w:tcPr>
          <w:p>
            <w:pPr>
              <w:spacing w:line="240" w:lineRule="auto"/>
            </w:pPr>
            <w:r/>
            <w:r>
              <w:rPr>
                <w:rFonts w:ascii="Times New Roman" w:hAnsi="Times New Roman" w:cs="Times New Roman"/>
                <w:rFonts w:ascii="Times New Roman" w:hAnsi="Times New Roman"/>
                <w:b w:val="0"/>
                <w:i w:val="0"/>
                <w:sz w:val="20"/>
              </w:rPr>
              <w:t>0,379</w:t>
            </w:r>
          </w:p>
        </w:tc>
        <w:tc>
          <w:tcPr>
            <w:tcW w:type="dxa" w:w="2126"/>
          </w:tcPr>
          <w:p>
            <w:pPr>
              <w:spacing w:line="240" w:lineRule="auto"/>
            </w:pPr>
            <w:r/>
            <w:r>
              <w:rPr>
                <w:rFonts w:ascii="Times New Roman" w:hAnsi="Times New Roman" w:cs="Times New Roman"/>
                <w:rFonts w:ascii="Times New Roman" w:hAnsi="Times New Roman"/>
                <w:b w:val="0"/>
                <w:i w:val="0"/>
                <w:sz w:val="20"/>
              </w:rPr>
              <w:t>Volatilidad realizada reciente del oro</w:t>
            </w:r>
          </w:p>
        </w:tc>
      </w:tr>
      <w:tr>
        <w:tc>
          <w:tcPr>
            <w:tcW w:type="dxa" w:w="2126"/>
          </w:tcPr>
          <w:p>
            <w:pPr>
              <w:spacing w:line="240" w:lineRule="auto"/>
            </w:pPr>
            <w:r/>
            <w:r>
              <w:rPr>
                <w:rFonts w:ascii="Times New Roman" w:hAnsi="Times New Roman" w:cs="Times New Roman"/>
                <w:rFonts w:ascii="Times New Roman" w:hAnsi="Times New Roman"/>
                <w:b w:val="0"/>
                <w:i w:val="0"/>
                <w:sz w:val="20"/>
              </w:rPr>
              <w:t>8</w:t>
            </w:r>
          </w:p>
        </w:tc>
        <w:tc>
          <w:tcPr>
            <w:tcW w:type="dxa" w:w="2126"/>
          </w:tcPr>
          <w:p>
            <w:pPr>
              <w:spacing w:line="240" w:lineRule="auto"/>
            </w:pPr>
            <w:r/>
            <w:r>
              <w:rPr>
                <w:rFonts w:ascii="Times New Roman" w:hAnsi="Times New Roman" w:cs="Times New Roman"/>
                <w:rFonts w:ascii="Times New Roman" w:hAnsi="Times New Roman"/>
                <w:b w:val="0"/>
                <w:i w:val="0"/>
                <w:sz w:val="20"/>
              </w:rPr>
              <w:t>DXY (t-3)</w:t>
            </w:r>
          </w:p>
        </w:tc>
        <w:tc>
          <w:tcPr>
            <w:tcW w:type="dxa" w:w="2126"/>
          </w:tcPr>
          <w:p>
            <w:pPr>
              <w:spacing w:line="240" w:lineRule="auto"/>
            </w:pPr>
            <w:r/>
            <w:r>
              <w:rPr>
                <w:rFonts w:ascii="Times New Roman" w:hAnsi="Times New Roman" w:cs="Times New Roman"/>
                <w:rFonts w:ascii="Times New Roman" w:hAnsi="Times New Roman"/>
                <w:b w:val="0"/>
                <w:i w:val="0"/>
                <w:sz w:val="20"/>
              </w:rPr>
              <w:t>0,329</w:t>
            </w:r>
          </w:p>
        </w:tc>
        <w:tc>
          <w:tcPr>
            <w:tcW w:type="dxa" w:w="2126"/>
          </w:tcPr>
          <w:p>
            <w:pPr>
              <w:spacing w:line="240" w:lineRule="auto"/>
            </w:pPr>
            <w:r/>
            <w:r>
              <w:rPr>
                <w:rFonts w:ascii="Times New Roman" w:hAnsi="Times New Roman" w:cs="Times New Roman"/>
                <w:rFonts w:ascii="Times New Roman" w:hAnsi="Times New Roman"/>
                <w:b w:val="0"/>
                <w:i w:val="0"/>
                <w:sz w:val="20"/>
              </w:rPr>
              <w:t>Inercia del ciclo del dolar</w:t>
            </w:r>
          </w:p>
        </w:tc>
      </w:tr>
    </w:tbl>
    <w:p/>
    <w:p>
      <w:pPr>
        <w:spacing w:before="120"/>
        <w:jc w:val="center"/>
      </w:pPr>
      <w:r>
        <w:drawing>
          <wp:inline xmlns:a="http://schemas.openxmlformats.org/drawingml/2006/main" xmlns:pic="http://schemas.openxmlformats.org/drawingml/2006/picture">
            <wp:extent cx="4500000" cy="2531250"/>
            <wp:docPr id="6" name="Picture 6"/>
            <wp:cNvGraphicFramePr>
              <a:graphicFrameLocks noChangeAspect="1"/>
            </wp:cNvGraphicFramePr>
            <a:graphic>
              <a:graphicData uri="http://schemas.openxmlformats.org/drawingml/2006/picture">
                <pic:pic>
                  <pic:nvPicPr>
                    <pic:cNvPr id="0" name="fig_05_shap.png"/>
                    <pic:cNvPicPr/>
                  </pic:nvPicPr>
                  <pic:blipFill>
                    <a:blip r:embed="rId15"/>
                    <a:stretch>
                      <a:fillRect/>
                    </a:stretch>
                  </pic:blipFill>
                  <pic:spPr>
                    <a:xfrm>
                      <a:off x="0" y="0"/>
                      <a:ext cx="4500000" cy="2531250"/>
                    </a:xfrm>
                    <a:prstGeom prst="rect"/>
                  </pic:spPr>
                </pic:pic>
              </a:graphicData>
            </a:graphic>
          </wp:inline>
        </w:drawing>
      </w:r>
    </w:p>
    <w:p>
      <w:pPr>
        <w:spacing w:before="40" w:after="200"/>
        <w:jc w:val="center"/>
      </w:pPr>
      <w:r>
        <w:rPr>
          <w:rFonts w:ascii="Times New Roman" w:hAnsi="Times New Roman" w:cs="Times New Roman"/>
          <w:rFonts w:ascii="Times New Roman" w:hAnsi="Times New Roman"/>
          <w:b w:val="0"/>
          <w:i/>
          <w:sz w:val="20"/>
        </w:rPr>
        <w:t>Figura 7.2. Importancia media SHAP (|phi medio|) de las 8 variables mas influyentes en el XGBoost. Periodo de test: oct. 2016 - oct. 2025. Fuente: elaboracion propia.</w:t>
      </w:r>
    </w:p>
    <w:p>
      <w:pPr/>
      <w:r>
        <w:rPr>
          <w:rFonts w:ascii="Times New Roman" w:hAnsi="Times New Roman" w:cs="Times New Roman"/>
          <w:rFonts w:ascii="Times New Roman" w:hAnsi="Times New Roman"/>
          <w:b w:val="0"/>
          <w:i w:val="0"/>
          <w:sz w:val="24"/>
        </w:rPr>
        <w:t>Los signos SHAP son coherentes con la econometria: inflacion alta -&gt; SHAP positivo; tipos reales altos -&gt; SHAP negativo; S&amp;P 500 alto -&gt; SHAP negativo. Esta convergencia entre el VECM y el analisis SHAP es el hallazgo metodologicamente mas valioso del trabajo.</w:t>
      </w:r>
    </w:p>
    <w:p>
      <w:r>
        <w:br w:type="page"/>
      </w:r>
    </w:p>
    <w:p>
      <w:pPr>
        <w:pStyle w:val="Heading1"/>
      </w:pPr>
      <w:r>
        <w:t>Capitulo 8: Discusion integrada</w:t>
      </w:r>
    </w:p>
    <w:p>
      <w:pPr>
        <w:pStyle w:val="Heading2"/>
      </w:pPr>
      <w:r>
        <w:t>8.1 Convergencia metodologica</w:t>
      </w:r>
    </w:p>
    <w:p>
      <w:pPr/>
      <w:r>
        <w:rPr>
          <w:rFonts w:ascii="Times New Roman" w:hAnsi="Times New Roman" w:cs="Times New Roman"/>
          <w:rFonts w:ascii="Times New Roman" w:hAnsi="Times New Roman"/>
          <w:b w:val="0"/>
          <w:i w:val="0"/>
          <w:sz w:val="24"/>
        </w:rPr>
        <w:t>Los tres capitulos analiticos — VECM, panel y ML — se disenaron para responder las mismas preguntas desde angulos complementarios. La convergencia de tres enfoques independientes en conclusiones similares es el hallazgo mas robusto.</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spacing w:line="240" w:lineRule="auto"/>
              <w:jc w:val="center"/>
            </w:pPr>
            <w:r/>
            <w:r>
              <w:rPr>
                <w:rFonts w:ascii="Times New Roman" w:hAnsi="Times New Roman" w:cs="Times New Roman"/>
                <w:rFonts w:ascii="Times New Roman" w:hAnsi="Times New Roman"/>
                <w:b/>
                <w:i w:val="0"/>
                <w:sz w:val="20"/>
              </w:rPr>
              <w:t>Variable</w:t>
            </w:r>
          </w:p>
        </w:tc>
        <w:tc>
          <w:tcPr>
            <w:tcW w:type="dxa" w:w="2126"/>
          </w:tcPr>
          <w:p>
            <w:pPr>
              <w:spacing w:line="240" w:lineRule="auto"/>
              <w:jc w:val="center"/>
            </w:pPr>
            <w:r/>
            <w:r>
              <w:rPr>
                <w:rFonts w:ascii="Times New Roman" w:hAnsi="Times New Roman" w:cs="Times New Roman"/>
                <w:rFonts w:ascii="Times New Roman" w:hAnsi="Times New Roman"/>
                <w:b/>
                <w:i w:val="0"/>
                <w:sz w:val="20"/>
              </w:rPr>
              <w:t>VECM (FEVD 12m)</w:t>
            </w:r>
          </w:p>
        </w:tc>
        <w:tc>
          <w:tcPr>
            <w:tcW w:type="dxa" w:w="2126"/>
          </w:tcPr>
          <w:p>
            <w:pPr>
              <w:spacing w:line="240" w:lineRule="auto"/>
              <w:jc w:val="center"/>
            </w:pPr>
            <w:r/>
            <w:r>
              <w:rPr>
                <w:rFonts w:ascii="Times New Roman" w:hAnsi="Times New Roman" w:cs="Times New Roman"/>
                <w:rFonts w:ascii="Times New Roman" w:hAnsi="Times New Roman"/>
                <w:b/>
                <w:i w:val="0"/>
                <w:sz w:val="20"/>
              </w:rPr>
              <w:t>Panel EF (Hausman-&gt;EF)</w:t>
            </w:r>
          </w:p>
        </w:tc>
        <w:tc>
          <w:tcPr>
            <w:tcW w:type="dxa" w:w="2126"/>
          </w:tcPr>
          <w:p>
            <w:pPr>
              <w:spacing w:line="240" w:lineRule="auto"/>
              <w:jc w:val="center"/>
            </w:pPr>
            <w:r/>
            <w:r>
              <w:rPr>
                <w:rFonts w:ascii="Times New Roman" w:hAnsi="Times New Roman" w:cs="Times New Roman"/>
                <w:rFonts w:ascii="Times New Roman" w:hAnsi="Times New Roman"/>
                <w:b/>
                <w:i w:val="0"/>
                <w:sz w:val="20"/>
              </w:rPr>
              <w:t>SHAP XGBoost</w:t>
            </w:r>
          </w:p>
        </w:tc>
      </w:tr>
      <w:tr>
        <w:tc>
          <w:tcPr>
            <w:tcW w:type="dxa" w:w="2126"/>
          </w:tcPr>
          <w:p>
            <w:pPr>
              <w:spacing w:line="240" w:lineRule="auto"/>
            </w:pPr>
            <w:r/>
            <w:r>
              <w:rPr>
                <w:rFonts w:ascii="Times New Roman" w:hAnsi="Times New Roman" w:cs="Times New Roman"/>
                <w:rFonts w:ascii="Times New Roman" w:hAnsi="Times New Roman"/>
                <w:b w:val="0"/>
                <w:i w:val="0"/>
                <w:sz w:val="20"/>
              </w:rPr>
              <w:t>Tipos reales</w:t>
            </w:r>
          </w:p>
        </w:tc>
        <w:tc>
          <w:tcPr>
            <w:tcW w:type="dxa" w:w="2126"/>
          </w:tcPr>
          <w:p>
            <w:pPr>
              <w:spacing w:line="240" w:lineRule="auto"/>
            </w:pPr>
            <w:r/>
            <w:r>
              <w:rPr>
                <w:rFonts w:ascii="Times New Roman" w:hAnsi="Times New Roman" w:cs="Times New Roman"/>
                <w:rFonts w:ascii="Times New Roman" w:hAnsi="Times New Roman"/>
                <w:b w:val="0"/>
                <w:i w:val="0"/>
                <w:sz w:val="20"/>
              </w:rPr>
              <w:t>#1 -- 28% varianza</w:t>
            </w:r>
          </w:p>
        </w:tc>
        <w:tc>
          <w:tcPr>
            <w:tcW w:type="dxa" w:w="2126"/>
          </w:tcPr>
          <w:p>
            <w:pPr>
              <w:spacing w:line="240" w:lineRule="auto"/>
            </w:pPr>
            <w:r/>
            <w:r>
              <w:rPr>
                <w:rFonts w:ascii="Times New Roman" w:hAnsi="Times New Roman" w:cs="Times New Roman"/>
                <w:rFonts w:ascii="Times New Roman" w:hAnsi="Times New Roman"/>
                <w:b w:val="0"/>
                <w:i w:val="0"/>
                <w:sz w:val="20"/>
              </w:rPr>
              <w:t>beta_2=-0,61, p&lt;0,001</w:t>
            </w:r>
          </w:p>
        </w:tc>
        <w:tc>
          <w:tcPr>
            <w:tcW w:type="dxa" w:w="2126"/>
          </w:tcPr>
          <w:p>
            <w:pPr>
              <w:spacing w:line="240" w:lineRule="auto"/>
            </w:pPr>
            <w:r/>
            <w:r>
              <w:rPr>
                <w:rFonts w:ascii="Times New Roman" w:hAnsi="Times New Roman" w:cs="Times New Roman"/>
                <w:rFonts w:ascii="Times New Roman" w:hAnsi="Times New Roman"/>
                <w:b w:val="0"/>
                <w:i w:val="0"/>
                <w:sz w:val="20"/>
              </w:rPr>
              <w:t>#2 -- |phi|=0,617</w:t>
            </w:r>
          </w:p>
        </w:tc>
      </w:tr>
      <w:tr>
        <w:tc>
          <w:tcPr>
            <w:tcW w:type="dxa" w:w="2126"/>
          </w:tcPr>
          <w:p>
            <w:pPr>
              <w:spacing w:line="240" w:lineRule="auto"/>
            </w:pPr>
            <w:r/>
            <w:r>
              <w:rPr>
                <w:rFonts w:ascii="Times New Roman" w:hAnsi="Times New Roman" w:cs="Times New Roman"/>
                <w:rFonts w:ascii="Times New Roman" w:hAnsi="Times New Roman"/>
                <w:b w:val="0"/>
                <w:i w:val="0"/>
                <w:sz w:val="20"/>
              </w:rPr>
              <w:t>Inflacion</w:t>
            </w:r>
          </w:p>
        </w:tc>
        <w:tc>
          <w:tcPr>
            <w:tcW w:type="dxa" w:w="2126"/>
          </w:tcPr>
          <w:p>
            <w:pPr>
              <w:spacing w:line="240" w:lineRule="auto"/>
            </w:pPr>
            <w:r/>
            <w:r>
              <w:rPr>
                <w:rFonts w:ascii="Times New Roman" w:hAnsi="Times New Roman" w:cs="Times New Roman"/>
                <w:rFonts w:ascii="Times New Roman" w:hAnsi="Times New Roman"/>
                <w:b w:val="0"/>
                <w:i w:val="0"/>
                <w:sz w:val="20"/>
              </w:rPr>
              <w:t>Exogena I(0)</w:t>
            </w:r>
          </w:p>
        </w:tc>
        <w:tc>
          <w:tcPr>
            <w:tcW w:type="dxa" w:w="2126"/>
          </w:tcPr>
          <w:p>
            <w:pPr>
              <w:spacing w:line="240" w:lineRule="auto"/>
            </w:pPr>
            <w:r/>
            <w:r>
              <w:rPr>
                <w:rFonts w:ascii="Times New Roman" w:hAnsi="Times New Roman" w:cs="Times New Roman"/>
                <w:rFonts w:ascii="Times New Roman" w:hAnsi="Times New Roman"/>
                <w:b w:val="0"/>
                <w:i w:val="0"/>
                <w:sz w:val="20"/>
              </w:rPr>
              <w:t>beta_1=+0,42, p&lt;0,05</w:t>
            </w:r>
          </w:p>
        </w:tc>
        <w:tc>
          <w:tcPr>
            <w:tcW w:type="dxa" w:w="2126"/>
          </w:tcPr>
          <w:p>
            <w:pPr>
              <w:spacing w:line="240" w:lineRule="auto"/>
            </w:pPr>
            <w:r/>
            <w:r>
              <w:rPr>
                <w:rFonts w:ascii="Times New Roman" w:hAnsi="Times New Roman" w:cs="Times New Roman"/>
                <w:rFonts w:ascii="Times New Roman" w:hAnsi="Times New Roman"/>
                <w:b w:val="0"/>
                <w:i w:val="0"/>
                <w:sz w:val="20"/>
              </w:rPr>
              <w:t>#1 -- |phi|=0,954</w:t>
            </w:r>
          </w:p>
        </w:tc>
      </w:tr>
      <w:tr>
        <w:tc>
          <w:tcPr>
            <w:tcW w:type="dxa" w:w="2126"/>
          </w:tcPr>
          <w:p>
            <w:pPr>
              <w:spacing w:line="240" w:lineRule="auto"/>
            </w:pPr>
            <w:r/>
            <w:r>
              <w:rPr>
                <w:rFonts w:ascii="Times New Roman" w:hAnsi="Times New Roman" w:cs="Times New Roman"/>
                <w:rFonts w:ascii="Times New Roman" w:hAnsi="Times New Roman"/>
                <w:b w:val="0"/>
                <w:i w:val="0"/>
                <w:sz w:val="20"/>
              </w:rPr>
              <w:t>DXY (dolar)</w:t>
            </w:r>
          </w:p>
        </w:tc>
        <w:tc>
          <w:tcPr>
            <w:tcW w:type="dxa" w:w="2126"/>
          </w:tcPr>
          <w:p>
            <w:pPr>
              <w:spacing w:line="240" w:lineRule="auto"/>
            </w:pPr>
            <w:r/>
            <w:r>
              <w:rPr>
                <w:rFonts w:ascii="Times New Roman" w:hAnsi="Times New Roman" w:cs="Times New Roman"/>
                <w:rFonts w:ascii="Times New Roman" w:hAnsi="Times New Roman"/>
                <w:b w:val="0"/>
                <w:i w:val="0"/>
                <w:sz w:val="20"/>
              </w:rPr>
              <w:t>#2 -- 19% varianza</w:t>
            </w:r>
          </w:p>
        </w:tc>
        <w:tc>
          <w:tcPr>
            <w:tcW w:type="dxa" w:w="2126"/>
          </w:tcPr>
          <w:p>
            <w:pPr>
              <w:spacing w:line="240" w:lineRule="auto"/>
            </w:pPr>
            <w:r/>
            <w:r>
              <w:rPr>
                <w:rFonts w:ascii="Times New Roman" w:hAnsi="Times New Roman" w:cs="Times New Roman"/>
                <w:rFonts w:ascii="Times New Roman" w:hAnsi="Times New Roman"/>
                <w:b w:val="0"/>
                <w:i w:val="0"/>
                <w:sz w:val="20"/>
              </w:rPr>
              <w:t>-- (var. USD comun)</w:t>
            </w:r>
          </w:p>
        </w:tc>
        <w:tc>
          <w:tcPr>
            <w:tcW w:type="dxa" w:w="2126"/>
          </w:tcPr>
          <w:p>
            <w:pPr>
              <w:spacing w:line="240" w:lineRule="auto"/>
            </w:pPr>
            <w:r/>
            <w:r>
              <w:rPr>
                <w:rFonts w:ascii="Times New Roman" w:hAnsi="Times New Roman" w:cs="Times New Roman"/>
                <w:rFonts w:ascii="Times New Roman" w:hAnsi="Times New Roman"/>
                <w:b w:val="0"/>
                <w:i w:val="0"/>
                <w:sz w:val="20"/>
              </w:rPr>
              <w:t>#8 -- |phi|=0,329</w:t>
            </w:r>
          </w:p>
        </w:tc>
      </w:tr>
      <w:tr>
        <w:tc>
          <w:tcPr>
            <w:tcW w:type="dxa" w:w="2126"/>
          </w:tcPr>
          <w:p>
            <w:pPr>
              <w:spacing w:line="240" w:lineRule="auto"/>
            </w:pPr>
            <w:r/>
            <w:r>
              <w:rPr>
                <w:rFonts w:ascii="Times New Roman" w:hAnsi="Times New Roman" w:cs="Times New Roman"/>
                <w:rFonts w:ascii="Times New Roman" w:hAnsi="Times New Roman"/>
                <w:b w:val="0"/>
                <w:i w:val="0"/>
                <w:sz w:val="20"/>
              </w:rPr>
              <w:t>VIX</w:t>
            </w:r>
          </w:p>
        </w:tc>
        <w:tc>
          <w:tcPr>
            <w:tcW w:type="dxa" w:w="2126"/>
          </w:tcPr>
          <w:p>
            <w:pPr>
              <w:spacing w:line="240" w:lineRule="auto"/>
            </w:pPr>
            <w:r/>
            <w:r>
              <w:rPr>
                <w:rFonts w:ascii="Times New Roman" w:hAnsi="Times New Roman" w:cs="Times New Roman"/>
                <w:rFonts w:ascii="Times New Roman" w:hAnsi="Times New Roman"/>
                <w:b w:val="0"/>
                <w:i w:val="0"/>
                <w:sz w:val="20"/>
              </w:rPr>
              <w:t>Exogena</w:t>
            </w:r>
          </w:p>
        </w:tc>
        <w:tc>
          <w:tcPr>
            <w:tcW w:type="dxa" w:w="2126"/>
          </w:tcPr>
          <w:p>
            <w:pPr>
              <w:spacing w:line="240" w:lineRule="auto"/>
            </w:pPr>
            <w:r/>
            <w:r>
              <w:rPr>
                <w:rFonts w:ascii="Times New Roman" w:hAnsi="Times New Roman" w:cs="Times New Roman"/>
                <w:rFonts w:ascii="Times New Roman" w:hAnsi="Times New Roman"/>
                <w:b w:val="0"/>
                <w:i w:val="0"/>
                <w:sz w:val="20"/>
              </w:rPr>
              <w:t>beta_3=+0,08, p&lt;0,001</w:t>
            </w:r>
          </w:p>
        </w:tc>
        <w:tc>
          <w:tcPr>
            <w:tcW w:type="dxa" w:w="2126"/>
          </w:tcPr>
          <w:p>
            <w:pPr>
              <w:spacing w:line="240" w:lineRule="auto"/>
            </w:pPr>
            <w:r/>
            <w:r>
              <w:rPr>
                <w:rFonts w:ascii="Times New Roman" w:hAnsi="Times New Roman" w:cs="Times New Roman"/>
                <w:rFonts w:ascii="Times New Roman" w:hAnsi="Times New Roman"/>
                <w:b w:val="0"/>
                <w:i w:val="0"/>
                <w:sz w:val="20"/>
              </w:rPr>
              <w:t>Top-10</w:t>
            </w:r>
          </w:p>
        </w:tc>
      </w:tr>
      <w:tr>
        <w:tc>
          <w:tcPr>
            <w:tcW w:type="dxa" w:w="2126"/>
          </w:tcPr>
          <w:p>
            <w:pPr>
              <w:spacing w:line="240" w:lineRule="auto"/>
            </w:pPr>
            <w:r/>
            <w:r>
              <w:rPr>
                <w:rFonts w:ascii="Times New Roman" w:hAnsi="Times New Roman" w:cs="Times New Roman"/>
                <w:rFonts w:ascii="Times New Roman" w:hAnsi="Times New Roman"/>
                <w:b w:val="0"/>
                <w:i w:val="0"/>
                <w:sz w:val="20"/>
              </w:rPr>
              <w:t>S&amp;P 500</w:t>
            </w:r>
          </w:p>
        </w:tc>
        <w:tc>
          <w:tcPr>
            <w:tcW w:type="dxa" w:w="2126"/>
          </w:tcPr>
          <w:p>
            <w:pPr>
              <w:spacing w:line="240" w:lineRule="auto"/>
            </w:pPr>
            <w:r/>
            <w:r>
              <w:rPr>
                <w:rFonts w:ascii="Times New Roman" w:hAnsi="Times New Roman" w:cs="Times New Roman"/>
                <w:rFonts w:ascii="Times New Roman" w:hAnsi="Times New Roman"/>
                <w:b w:val="0"/>
                <w:i w:val="0"/>
                <w:sz w:val="20"/>
              </w:rPr>
              <w:t>#3 -- 12% varianza</w:t>
            </w:r>
          </w:p>
        </w:tc>
        <w:tc>
          <w:tcPr>
            <w:tcW w:type="dxa" w:w="2126"/>
          </w:tcPr>
          <w:p>
            <w:pPr>
              <w:spacing w:line="240" w:lineRule="auto"/>
            </w:pPr>
            <w:r/>
            <w:r>
              <w:rPr>
                <w:rFonts w:ascii="Times New Roman" w:hAnsi="Times New Roman" w:cs="Times New Roman"/>
                <w:rFonts w:ascii="Times New Roman" w:hAnsi="Times New Roman"/>
                <w:b w:val="0"/>
                <w:i w:val="0"/>
                <w:sz w:val="20"/>
              </w:rPr>
              <w:t>beta_4=-0,19, p&lt;0,01</w:t>
            </w:r>
          </w:p>
        </w:tc>
        <w:tc>
          <w:tcPr>
            <w:tcW w:type="dxa" w:w="2126"/>
          </w:tcPr>
          <w:p>
            <w:pPr>
              <w:spacing w:line="240" w:lineRule="auto"/>
            </w:pPr>
            <w:r/>
            <w:r>
              <w:rPr>
                <w:rFonts w:ascii="Times New Roman" w:hAnsi="Times New Roman" w:cs="Times New Roman"/>
                <w:rFonts w:ascii="Times New Roman" w:hAnsi="Times New Roman"/>
                <w:b w:val="0"/>
                <w:i w:val="0"/>
                <w:sz w:val="20"/>
              </w:rPr>
              <w:t>#6 -- |phi|=0,397</w:t>
            </w:r>
          </w:p>
        </w:tc>
      </w:tr>
    </w:tbl>
    <w:p/>
    <w:p>
      <w:pPr/>
      <w:r>
        <w:rPr>
          <w:rFonts w:ascii="Times New Roman" w:hAnsi="Times New Roman" w:cs="Times New Roman"/>
          <w:rFonts w:ascii="Times New Roman" w:hAnsi="Times New Roman"/>
          <w:b w:val="0"/>
          <w:i w:val="0"/>
          <w:sz w:val="24"/>
        </w:rPr>
        <w:t xml:space="preserve">Cuatro conclusiones son especialmente robustas. </w:t>
      </w:r>
      <w:r>
        <w:rPr>
          <w:rFonts w:ascii="Times New Roman" w:hAnsi="Times New Roman" w:cs="Times New Roman"/>
          <w:rFonts w:ascii="Times New Roman" w:hAnsi="Times New Roman"/>
          <w:b/>
          <w:i w:val="0"/>
          <w:sz w:val="24"/>
        </w:rPr>
        <w:t>Primera</w:t>
      </w:r>
      <w:r>
        <w:rPr>
          <w:rFonts w:ascii="Times New Roman" w:hAnsi="Times New Roman" w:cs="Times New Roman"/>
          <w:rFonts w:ascii="Times New Roman" w:hAnsi="Times New Roman"/>
          <w:b w:val="0"/>
          <w:i w:val="0"/>
          <w:sz w:val="24"/>
        </w:rPr>
        <w:t xml:space="preserve">: la relacion negativa entre tipos reales y precio del oro es consistente en las tres aproximaciones. </w:t>
      </w:r>
      <w:r>
        <w:rPr>
          <w:rFonts w:ascii="Times New Roman" w:hAnsi="Times New Roman" w:cs="Times New Roman"/>
          <w:rFonts w:ascii="Times New Roman" w:hAnsi="Times New Roman"/>
          <w:b/>
          <w:i w:val="0"/>
          <w:sz w:val="24"/>
        </w:rPr>
        <w:t>Segunda</w:t>
      </w:r>
      <w:r>
        <w:rPr>
          <w:rFonts w:ascii="Times New Roman" w:hAnsi="Times New Roman" w:cs="Times New Roman"/>
          <w:rFonts w:ascii="Times New Roman" w:hAnsi="Times New Roman"/>
          <w:b w:val="0"/>
          <w:i w:val="0"/>
          <w:sz w:val="24"/>
        </w:rPr>
        <w:t xml:space="preserve">: la inflacion domina el corto plazo (primera posicion SHAP) pero no es la variable de cointegracion de largo plazo. </w:t>
      </w:r>
      <w:r>
        <w:rPr>
          <w:rFonts w:ascii="Times New Roman" w:hAnsi="Times New Roman" w:cs="Times New Roman"/>
          <w:rFonts w:ascii="Times New Roman" w:hAnsi="Times New Roman"/>
          <w:b/>
          <w:i w:val="0"/>
          <w:sz w:val="24"/>
        </w:rPr>
        <w:t>Tercera</w:t>
      </w:r>
      <w:r>
        <w:rPr>
          <w:rFonts w:ascii="Times New Roman" w:hAnsi="Times New Roman" w:cs="Times New Roman"/>
          <w:rFonts w:ascii="Times New Roman" w:hAnsi="Times New Roman"/>
          <w:b w:val="0"/>
          <w:i w:val="0"/>
          <w:sz w:val="24"/>
        </w:rPr>
        <w:t xml:space="preserve">: el safe haven es universal (VIX positivo y significativo en el panel cross-country). </w:t>
      </w:r>
      <w:r>
        <w:rPr>
          <w:rFonts w:ascii="Times New Roman" w:hAnsi="Times New Roman" w:cs="Times New Roman"/>
          <w:rFonts w:ascii="Times New Roman" w:hAnsi="Times New Roman"/>
          <w:b/>
          <w:i w:val="0"/>
          <w:sz w:val="24"/>
        </w:rPr>
        <w:t>Cuarta</w:t>
      </w:r>
      <w:r>
        <w:rPr>
          <w:rFonts w:ascii="Times New Roman" w:hAnsi="Times New Roman" w:cs="Times New Roman"/>
          <w:rFonts w:ascii="Times New Roman" w:hAnsi="Times New Roman"/>
          <w:b w:val="0"/>
          <w:i w:val="0"/>
          <w:sz w:val="24"/>
        </w:rPr>
        <w:t>: la inestabilidad estructural es una caracteristica permanente del activo.</w:t>
      </w:r>
    </w:p>
    <w:p>
      <w:pPr>
        <w:pStyle w:val="Heading2"/>
      </w:pPr>
      <w:r>
        <w:t>8.2 Respuesta a las preguntas de investigacion</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Pregunta 1 -- Determinantes:</w:t>
      </w:r>
      <w:r>
        <w:rPr>
          <w:rFonts w:ascii="Times New Roman" w:hAnsi="Times New Roman" w:cs="Times New Roman"/>
          <w:rFonts w:ascii="Times New Roman" w:hAnsi="Times New Roman"/>
          <w:b w:val="0"/>
          <w:i w:val="0"/>
          <w:sz w:val="24"/>
        </w:rPr>
        <w:t xml:space="preserve"> Los tipos de interes reales y el DXY son los determinantes estructurales dominantes en el largo plazo, con la inflacion como principal predictor de corto plazo. El mecanismo de coste de oportunidad (coeficiente TIPS = -0,68 en el VECM; beta_2 = -0,61 en el panel) opera universalmente y la jerarquia es robusta a la metodologia.</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Pregunta 2 -- Estabilidad:</w:t>
      </w:r>
      <w:r>
        <w:rPr>
          <w:rFonts w:ascii="Times New Roman" w:hAnsi="Times New Roman" w:cs="Times New Roman"/>
          <w:rFonts w:ascii="Times New Roman" w:hAnsi="Times New Roman"/>
          <w:b w:val="0"/>
          <w:i w:val="0"/>
          <w:sz w:val="24"/>
        </w:rPr>
        <w:t xml:space="preserve"> Las relaciones no son constantes. Los tests de Chow rechazan la estabilidad con el mayor F en marzo de 2022 (F = 4,53, p &lt; 0,001). La inestabilidad tiene una explicacion: la demanda de bancos centrales emergentes en el proceso de de-dolarizacion introdujo un flujo inelastico a los tipos reales, debilitando temporalmente la relacion historica.</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Pregunta 3 -- ML vs. VECM:</w:t>
      </w:r>
      <w:r>
        <w:rPr>
          <w:rFonts w:ascii="Times New Roman" w:hAnsi="Times New Roman" w:cs="Times New Roman"/>
          <w:rFonts w:ascii="Times New Roman" w:hAnsi="Times New Roman"/>
          <w:b w:val="0"/>
          <w:i w:val="0"/>
          <w:sz w:val="24"/>
        </w:rPr>
        <w:t xml:space="preserve"> La LSTM mejora la prediccion (+5,6 pp de DA vs. naive). El ML complementa la econometria sin sustituirla: el VECM cuantifica mecanismos de transmision; el LSTM optimiza senales tacticas. El SHAP valida la especificacion econometrica.</w:t>
      </w:r>
    </w:p>
    <w:p>
      <w:pPr>
        <w:pStyle w:val="Heading2"/>
      </w:pPr>
      <w:r>
        <w:t>8.3 La paradoja de 2022-2024</w:t>
      </w:r>
    </w:p>
    <w:p>
      <w:pPr/>
      <w:r>
        <w:rPr>
          <w:rFonts w:ascii="Times New Roman" w:hAnsi="Times New Roman" w:cs="Times New Roman"/>
          <w:rFonts w:ascii="Times New Roman" w:hAnsi="Times New Roman"/>
          <w:b w:val="0"/>
          <w:i w:val="0"/>
          <w:sz w:val="24"/>
        </w:rPr>
        <w:t>En 2022-2024, los tipos reales pasaron de -1% a +2% (el ciclo mas agresivo desde 1980) pero el oro marco nuevos maximos. Los tres pilares ofrecen piezas complementarias: el VECM diagnostica la ruptura (Chow y CUSUM); el panel identifica la heterogeneidad geografica (la demanda de bancos centrales emergentes es inelastica a los tipos de los paises avanzados); el ML captura el cambio de regimen sin especificarlo a priori (el SHAP muestra que el momentum y el VIX ganan peso cuando los TIPS pierden potencia). La conclusion: 2022-2024 refleja la superposicion del mecanismo de coste de oportunidad y la demanda soberana emergente en el proceso de de-dolarizacion.</w:t>
      </w:r>
    </w:p>
    <w:p>
      <w:pPr>
        <w:pStyle w:val="Heading2"/>
      </w:pPr>
      <w:r>
        <w:t>8.4 Implicaciones para inversores e instituciones</w:t>
      </w:r>
    </w:p>
    <w:p>
      <w:pPr/>
      <w:r>
        <w:rPr>
          <w:rFonts w:ascii="Times New Roman" w:hAnsi="Times New Roman" w:cs="Times New Roman"/>
          <w:rFonts w:ascii="Times New Roman" w:hAnsi="Times New Roman"/>
          <w:b w:val="0"/>
          <w:i w:val="0"/>
          <w:sz w:val="24"/>
        </w:rPr>
        <w:t xml:space="preserve">Para el </w:t>
      </w:r>
      <w:r>
        <w:rPr>
          <w:rFonts w:ascii="Times New Roman" w:hAnsi="Times New Roman" w:cs="Times New Roman"/>
          <w:rFonts w:ascii="Times New Roman" w:hAnsi="Times New Roman"/>
          <w:b/>
          <w:i w:val="0"/>
          <w:sz w:val="24"/>
        </w:rPr>
        <w:t>inversor</w:t>
      </w:r>
      <w:r>
        <w:rPr>
          <w:rFonts w:ascii="Times New Roman" w:hAnsi="Times New Roman" w:cs="Times New Roman"/>
          <w:rFonts w:ascii="Times New Roman" w:hAnsi="Times New Roman"/>
          <w:b w:val="0"/>
          <w:i w:val="0"/>
          <w:sz w:val="24"/>
        </w:rPr>
        <w:t xml:space="preserve">: el oro protege mejor con tipos reales negativos o decrecientes y VIX elevado. La DA del 61,5% sugiere que senales cuantitativas pueden mejorar la temporizacion tactica, aunque el margen sobre el azar es modesto y debe contextualizarse contra costes de transaccion. Para el </w:t>
      </w:r>
      <w:r>
        <w:rPr>
          <w:rFonts w:ascii="Times New Roman" w:hAnsi="Times New Roman" w:cs="Times New Roman"/>
          <w:rFonts w:ascii="Times New Roman" w:hAnsi="Times New Roman"/>
          <w:b/>
          <w:i w:val="0"/>
          <w:sz w:val="24"/>
        </w:rPr>
        <w:t>banco central</w:t>
      </w:r>
      <w:r>
        <w:rPr>
          <w:rFonts w:ascii="Times New Roman" w:hAnsi="Times New Roman" w:cs="Times New Roman"/>
          <w:rFonts w:ascii="Times New Roman" w:hAnsi="Times New Roman"/>
          <w:b w:val="0"/>
          <w:i w:val="0"/>
          <w:sz w:val="24"/>
        </w:rPr>
        <w:t xml:space="preserve">: el mecanismo de coste de oportunidad opera con los tipos reales de la propia moneda de referencia. Para el </w:t>
      </w:r>
      <w:r>
        <w:rPr>
          <w:rFonts w:ascii="Times New Roman" w:hAnsi="Times New Roman" w:cs="Times New Roman"/>
          <w:rFonts w:ascii="Times New Roman" w:hAnsi="Times New Roman"/>
          <w:b/>
          <w:i w:val="0"/>
          <w:sz w:val="24"/>
        </w:rPr>
        <w:t>investigador</w:t>
      </w:r>
      <w:r>
        <w:rPr>
          <w:rFonts w:ascii="Times New Roman" w:hAnsi="Times New Roman" w:cs="Times New Roman"/>
          <w:rFonts w:ascii="Times New Roman" w:hAnsi="Times New Roman"/>
          <w:b w:val="0"/>
          <w:i w:val="0"/>
          <w:sz w:val="24"/>
        </w:rPr>
        <w:t>: la convergencia VECM-SHAP tiene valor epistemico propio.</w:t>
      </w:r>
    </w:p>
    <w:p>
      <w:r>
        <w:br w:type="page"/>
      </w:r>
    </w:p>
    <w:p>
      <w:pPr>
        <w:pStyle w:val="Heading1"/>
      </w:pPr>
      <w:r>
        <w:t>Capitulo 9: Conclusiones</w:t>
      </w:r>
    </w:p>
    <w:p>
      <w:pPr>
        <w:pStyle w:val="Heading2"/>
      </w:pPr>
      <w:r>
        <w:t>9.1 Conclusiones principales</w:t>
      </w:r>
    </w:p>
    <w:p>
      <w:pPr>
        <w:pStyle w:val="Heading3"/>
      </w:pPr>
      <w:r>
        <w:t>9.1.1 Sobre los determinantes del precio del oro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Los tipos de interes reales son el determinante estructural mas importante.</w:t>
      </w:r>
      <w:r>
        <w:rPr>
          <w:rFonts w:ascii="Times New Roman" w:hAnsi="Times New Roman" w:cs="Times New Roman"/>
          <w:rFonts w:ascii="Times New Roman" w:hAnsi="Times New Roman"/>
          <w:b w:val="0"/>
          <w:i w:val="0"/>
          <w:sz w:val="24"/>
        </w:rPr>
        <w:t xml:space="preserve"> Esta conclusion se sostiene en cuatro fuentes independientes: mayor causalidad de Granger (p &lt; 0,001), IRF de mayor magnitud (-3,2% acumulado a 24 meses), mayor FEVD (28% a 12 meses), coeficiente mas significativo en el panel (-0,61, p &lt; 0,001) y segunda posicion SHAP (|phi| = 0,617). El mecanismo de coste de oportunidad opera universalmente.</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La inflacion domina la prediccion mensual de corto plazo</w:t>
      </w:r>
      <w:r>
        <w:rPr>
          <w:rFonts w:ascii="Times New Roman" w:hAnsi="Times New Roman" w:cs="Times New Roman"/>
          <w:rFonts w:ascii="Times New Roman" w:hAnsi="Times New Roman"/>
          <w:b w:val="0"/>
          <w:i w:val="0"/>
          <w:sz w:val="24"/>
        </w:rPr>
        <w:t xml:space="preserve"> (primera posicion SHAP, |phi| = 0,954). Los dos resultados son complementarios: la sorpresa inflacionaria reciente es la senal de alta frecuencia del coste de oportunidad; el nivel de los tipos reales ancla la relacion de equilibrio de largo plazo.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El dolar y la renta variable son determinantes secundarios.</w:t>
      </w:r>
      <w:r>
        <w:rPr>
          <w:rFonts w:ascii="Times New Roman" w:hAnsi="Times New Roman" w:cs="Times New Roman"/>
          <w:rFonts w:ascii="Times New Roman" w:hAnsi="Times New Roman"/>
          <w:b w:val="0"/>
          <w:i w:val="0"/>
          <w:sz w:val="24"/>
        </w:rPr>
        <w:t xml:space="preserve"> El DXY ocupa el segundo lugar en el FEVD (19%) pero la octava posicion SHAP de corto plazo, indicando mayor relevancia en horizontes de 12-24 meses.</w:t>
      </w:r>
    </w:p>
    <w:p>
      <w:pPr>
        <w:pStyle w:val="Heading3"/>
      </w:pPr>
      <w:r>
        <w:t>9.1.2 Sobre la estabilidad temporal</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Las relaciones no son constantes.</w:t>
      </w:r>
      <w:r>
        <w:rPr>
          <w:rFonts w:ascii="Times New Roman" w:hAnsi="Times New Roman" w:cs="Times New Roman"/>
          <w:rFonts w:ascii="Times New Roman" w:hAnsi="Times New Roman"/>
          <w:b w:val="0"/>
          <w:i w:val="0"/>
          <w:sz w:val="24"/>
        </w:rPr>
        <w:t xml:space="preserve"> Los tests de Chow rechazan la estabilidad con el mayor F en marzo de 2022 (F = 4,53, p &lt; 0,001). El CUSUM confirma inestabilidad en 2022-2024. El coeficiente rolling del TIPS se atenuo de -0,68 a -0,25 en ese periodo.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La paradoja de 2022-2024 tiene una explicacion coherente.</w:t>
      </w:r>
      <w:r>
        <w:rPr>
          <w:rFonts w:ascii="Times New Roman" w:hAnsi="Times New Roman" w:cs="Times New Roman"/>
          <w:rFonts w:ascii="Times New Roman" w:hAnsi="Times New Roman"/>
          <w:b w:val="0"/>
          <w:i w:val="0"/>
          <w:sz w:val="24"/>
        </w:rPr>
        <w:t xml:space="preserve"> La demanda soberana de bancos centrales emergentes — inelastica a los tipos reales de paises avanzados y motivada por la de-dolarizacion — actuo como soporte estructural que ralentizo la correccion hacia el equilibrio historico.</w:t>
      </w:r>
    </w:p>
    <w:p>
      <w:pPr>
        <w:pStyle w:val="Heading3"/>
      </w:pPr>
      <w:r>
        <w:t>9.1.3 Sobre la aportacion del machine learning</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La LSTM mejora la prediccion</w:t>
      </w:r>
      <w:r>
        <w:rPr>
          <w:rFonts w:ascii="Times New Roman" w:hAnsi="Times New Roman" w:cs="Times New Roman"/>
          <w:rFonts w:ascii="Times New Roman" w:hAnsi="Times New Roman"/>
          <w:b w:val="0"/>
          <w:i w:val="0"/>
          <w:sz w:val="24"/>
        </w:rPr>
        <w:t xml:space="preserve"> con DA = 61,5% (+5,6 pp vs. naive) y RMSE = 3,815 pp (-24,5% vs. naive). </w:t>
      </w:r>
      <w:r>
        <w:rPr>
          <w:rFonts w:ascii="Times New Roman" w:hAnsi="Times New Roman" w:cs="Times New Roman"/>
          <w:rFonts w:ascii="Times New Roman" w:hAnsi="Times New Roman"/>
          <w:b/>
          <w:i w:val="0"/>
          <w:sz w:val="24"/>
        </w:rPr>
        <w:t>El SHAP valida la especificacion econometrica</w:t>
      </w:r>
      <w:r>
        <w:rPr>
          <w:rFonts w:ascii="Times New Roman" w:hAnsi="Times New Roman" w:cs="Times New Roman"/>
          <w:rFonts w:ascii="Times New Roman" w:hAnsi="Times New Roman"/>
          <w:b w:val="0"/>
          <w:i w:val="0"/>
          <w:sz w:val="24"/>
        </w:rPr>
        <w:t>: convergencia entre jerarquias del VECM y del ML.</w:t>
      </w:r>
    </w:p>
    <w:p>
      <w:pPr>
        <w:pStyle w:val="Heading2"/>
      </w:pPr>
      <w:r>
        <w:t>9.2 Aportaciones originales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Primera</w:t>
      </w:r>
      <w:r>
        <w:rPr>
          <w:rFonts w:ascii="Times New Roman" w:hAnsi="Times New Roman" w:cs="Times New Roman"/>
          <w:rFonts w:ascii="Times New Roman" w:hAnsi="Times New Roman"/>
          <w:b w:val="0"/>
          <w:i w:val="0"/>
          <w:sz w:val="24"/>
        </w:rPr>
        <w:t xml:space="preserve">: validacion cross-country del mecanismo de coste de oportunidad en cuatro economias avanzadas, actualizando la evidencia de Baur y McDermott (2010). </w:t>
      </w:r>
      <w:r>
        <w:rPr>
          <w:rFonts w:ascii="Times New Roman" w:hAnsi="Times New Roman" w:cs="Times New Roman"/>
          <w:rFonts w:ascii="Times New Roman" w:hAnsi="Times New Roman"/>
          <w:b/>
          <w:i w:val="0"/>
          <w:sz w:val="24"/>
        </w:rPr>
        <w:t>Segunda</w:t>
      </w:r>
      <w:r>
        <w:rPr>
          <w:rFonts w:ascii="Times New Roman" w:hAnsi="Times New Roman" w:cs="Times New Roman"/>
          <w:rFonts w:ascii="Times New Roman" w:hAnsi="Times New Roman"/>
          <w:b w:val="0"/>
          <w:i w:val="0"/>
          <w:sz w:val="24"/>
        </w:rPr>
        <w:t xml:space="preserve">: cuantificacion formal de la inestabilidad estructural mediante Chow y CUSUM en puntos de quiebre economicamente motivados. </w:t>
      </w:r>
      <w:r>
        <w:rPr>
          <w:rFonts w:ascii="Times New Roman" w:hAnsi="Times New Roman" w:cs="Times New Roman"/>
          <w:rFonts w:ascii="Times New Roman" w:hAnsi="Times New Roman"/>
          <w:b/>
          <w:i w:val="0"/>
          <w:sz w:val="24"/>
        </w:rPr>
        <w:t>Tercera</w:t>
      </w:r>
      <w:r>
        <w:rPr>
          <w:rFonts w:ascii="Times New Roman" w:hAnsi="Times New Roman" w:cs="Times New Roman"/>
          <w:rFonts w:ascii="Times New Roman" w:hAnsi="Times New Roman"/>
          <w:b w:val="0"/>
          <w:i w:val="0"/>
          <w:sz w:val="24"/>
        </w:rPr>
        <w:t xml:space="preserve">: validacion cruzada VECM-SHAP en determinantes dominantes. </w:t>
      </w:r>
      <w:r>
        <w:rPr>
          <w:rFonts w:ascii="Times New Roman" w:hAnsi="Times New Roman" w:cs="Times New Roman"/>
          <w:rFonts w:ascii="Times New Roman" w:hAnsi="Times New Roman"/>
          <w:b/>
          <w:i w:val="0"/>
          <w:sz w:val="24"/>
        </w:rPr>
        <w:t>Cuarta</w:t>
      </w:r>
      <w:r>
        <w:rPr>
          <w:rFonts w:ascii="Times New Roman" w:hAnsi="Times New Roman" w:cs="Times New Roman"/>
          <w:rFonts w:ascii="Times New Roman" w:hAnsi="Times New Roman"/>
          <w:b w:val="0"/>
          <w:i w:val="0"/>
          <w:sz w:val="24"/>
        </w:rPr>
        <w:t>: analisis integrador del episodio 2022-2024.</w:t>
      </w:r>
    </w:p>
    <w:p>
      <w:pPr>
        <w:pStyle w:val="Heading2"/>
      </w:pPr>
      <w:r>
        <w:t>9.3 Limitaciones y cautelas</w:t>
      </w:r>
    </w:p>
    <w:p>
      <w:pPr/>
      <w:r>
        <w:rPr>
          <w:rFonts w:ascii="Times New Roman" w:hAnsi="Times New Roman" w:cs="Times New Roman"/>
          <w:rFonts w:ascii="Times New Roman" w:hAnsi="Times New Roman"/>
          <w:b w:val="0"/>
          <w:i w:val="0"/>
          <w:sz w:val="24"/>
        </w:rPr>
        <w:t>(i) Panel con N = 4 economias: inferencia sobre heterogeneidad entre paises limitada. (ii) Muestra de ML de 271 observaciones: resultados indicativos. (iii) Ausencia de variable de compras de bancos centrales emergentes a alta frecuencia. (iv) Tests formales de raiz unitaria y cointegracion en panel no aplicados. (v) Periodo 2000-2025 especialmente rico en episodios excepcionales que pueden inflar la importancia aparente de ciertos determinantes.</w:t>
      </w:r>
    </w:p>
    <w:p>
      <w:pPr>
        <w:pStyle w:val="Heading2"/>
      </w:pPr>
      <w:r>
        <w:t>9.4 Lineas de investigacion futura</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Primera</w:t>
      </w:r>
      <w:r>
        <w:rPr>
          <w:rFonts w:ascii="Times New Roman" w:hAnsi="Times New Roman" w:cs="Times New Roman"/>
          <w:rFonts w:ascii="Times New Roman" w:hAnsi="Times New Roman"/>
          <w:b w:val="0"/>
          <w:i w:val="0"/>
          <w:sz w:val="24"/>
        </w:rPr>
        <w:t xml:space="preserve">: ampliar el panel a economias emergentes (China, India, Turquia). </w:t>
      </w:r>
      <w:r>
        <w:rPr>
          <w:rFonts w:ascii="Times New Roman" w:hAnsi="Times New Roman" w:cs="Times New Roman"/>
          <w:rFonts w:ascii="Times New Roman" w:hAnsi="Times New Roman"/>
          <w:b/>
          <w:i w:val="0"/>
          <w:sz w:val="24"/>
        </w:rPr>
        <w:t>Segunda</w:t>
      </w:r>
      <w:r>
        <w:rPr>
          <w:rFonts w:ascii="Times New Roman" w:hAnsi="Times New Roman" w:cs="Times New Roman"/>
          <w:rFonts w:ascii="Times New Roman" w:hAnsi="Times New Roman"/>
          <w:b w:val="0"/>
          <w:i w:val="0"/>
          <w:sz w:val="24"/>
        </w:rPr>
        <w:t xml:space="preserve">: incluir reservas oficiales de oro del FMI-IFS como variable de demanda soberana. </w:t>
      </w:r>
      <w:r>
        <w:rPr>
          <w:rFonts w:ascii="Times New Roman" w:hAnsi="Times New Roman" w:cs="Times New Roman"/>
          <w:rFonts w:ascii="Times New Roman" w:hAnsi="Times New Roman"/>
          <w:b/>
          <w:i w:val="0"/>
          <w:sz w:val="24"/>
        </w:rPr>
        <w:t>Tercera</w:t>
      </w:r>
      <w:r>
        <w:rPr>
          <w:rFonts w:ascii="Times New Roman" w:hAnsi="Times New Roman" w:cs="Times New Roman"/>
          <w:rFonts w:ascii="Times New Roman" w:hAnsi="Times New Roman"/>
          <w:b w:val="0"/>
          <w:i w:val="0"/>
          <w:sz w:val="24"/>
        </w:rPr>
        <w:t xml:space="preserve">: extender a frecuencia diaria con NLP sobre actas de la Fed. </w:t>
      </w:r>
      <w:r>
        <w:rPr>
          <w:rFonts w:ascii="Times New Roman" w:hAnsi="Times New Roman" w:cs="Times New Roman"/>
          <w:rFonts w:ascii="Times New Roman" w:hAnsi="Times New Roman"/>
          <w:b/>
          <w:i w:val="0"/>
          <w:sz w:val="24"/>
        </w:rPr>
        <w:t>Cuarta</w:t>
      </w:r>
      <w:r>
        <w:rPr>
          <w:rFonts w:ascii="Times New Roman" w:hAnsi="Times New Roman" w:cs="Times New Roman"/>
          <w:rFonts w:ascii="Times New Roman" w:hAnsi="Times New Roman"/>
          <w:b w:val="0"/>
          <w:i w:val="0"/>
          <w:sz w:val="24"/>
        </w:rPr>
        <w:t>: estimar un Markov Switching VAR que formalice los regimenes de dominancia del coste de oportunidad y dominancia de la demanda soberana.</w:t>
      </w:r>
    </w:p>
    <w:p>
      <w:pPr>
        <w:pStyle w:val="Heading2"/>
      </w:pPr>
      <w:r>
        <w:t>9.5 Reflexion final</w:t>
      </w:r>
    </w:p>
    <w:p>
      <w:pPr/>
      <w:r>
        <w:rPr>
          <w:rFonts w:ascii="Times New Roman" w:hAnsi="Times New Roman" w:cs="Times New Roman"/>
          <w:rFonts w:ascii="Times New Roman" w:hAnsi="Times New Roman"/>
          <w:b w:val="0"/>
          <w:i w:val="0"/>
          <w:sz w:val="24"/>
        </w:rPr>
        <w:t>El oro no es un misterio economico impenetrable ni un activo perfectamente predecible: es un activo con catalizadores bien definidos cuyas ponderaciones cambian segun el regimen de mercado dominante. Este trabajo ha demostrado que, a pesar de su singularidad, sus determinantes son identificables con robustez metodologica notable — tres metodologias independientes convergen en tipos reales e inflacion como catalizadores dominantes, y la universalidad de esos mecanismos se confirma en cuatro economias avanzadas. Los modelos establecen con claridad las condiciones bajo las que el oro tendera a subir — tipos reales cayendo, incertidumbre financiera elevada, dolar debil, demanda soberana sostenida — y las condiciones bajo las que su coste de oportunidad se hace dificilmente justificable. Esa capacidad de articular condiciones, mas que un numero concreto, es lo que la econometria rigurosa puede aportar.</w:t>
      </w:r>
    </w:p>
    <w:p>
      <w:r>
        <w:br w:type="page"/>
      </w:r>
    </w:p>
    <w:p>
      <w:pPr>
        <w:pStyle w:val="Heading1"/>
      </w:pPr>
      <w:r>
        <w:t>REFERENCIAS BIBLIOGRAFICAS</w:t>
      </w:r>
    </w:p>
    <w:p>
      <w:pPr>
        <w:spacing w:line="240" w:lineRule="auto" w:after="120"/>
        <w:ind w:hanging="567" w:left="567"/>
      </w:pPr>
      <w:r>
        <w:rPr>
          <w:rFonts w:ascii="Times New Roman" w:hAnsi="Times New Roman" w:cs="Times New Roman"/>
          <w:rFonts w:ascii="Times New Roman" w:hAnsi="Times New Roman"/>
          <w:b w:val="0"/>
          <w:i w:val="0"/>
          <w:sz w:val="24"/>
        </w:rPr>
        <w:t>Barsky, R. B., &amp; Summers, L. H. (1988). Gibson's paradox and the gold standard. Journal of Political Economy, 96(3), 528-550.</w:t>
      </w:r>
    </w:p>
    <w:p>
      <w:pPr>
        <w:spacing w:line="240" w:lineRule="auto" w:after="120"/>
        <w:ind w:hanging="567" w:left="567"/>
      </w:pPr>
      <w:r>
        <w:rPr>
          <w:rFonts w:ascii="Times New Roman" w:hAnsi="Times New Roman" w:cs="Times New Roman"/>
          <w:rFonts w:ascii="Times New Roman" w:hAnsi="Times New Roman"/>
          <w:b w:val="0"/>
          <w:i w:val="0"/>
          <w:sz w:val="24"/>
        </w:rPr>
        <w:t>Baur, D. G., &amp; Lucey, B. M. (2010). Is gold a hedge or a safe haven? An analysis of stocks, bonds and gold. Financial Review, 45(2), 217-229.</w:t>
      </w:r>
    </w:p>
    <w:p>
      <w:pPr>
        <w:spacing w:line="240" w:lineRule="auto" w:after="120"/>
        <w:ind w:hanging="567" w:left="567"/>
      </w:pPr>
      <w:r>
        <w:rPr>
          <w:rFonts w:ascii="Times New Roman" w:hAnsi="Times New Roman" w:cs="Times New Roman"/>
          <w:rFonts w:ascii="Times New Roman" w:hAnsi="Times New Roman"/>
          <w:b w:val="0"/>
          <w:i w:val="0"/>
          <w:sz w:val="24"/>
        </w:rPr>
        <w:t>Baur, D. G., &amp; McDermott, T. K. (2010). Is gold a safe haven? International evidence. Journal of Banking &amp; Finance, 34(8), 1886-1898.</w:t>
      </w:r>
    </w:p>
    <w:p>
      <w:pPr>
        <w:spacing w:line="240" w:lineRule="auto" w:after="120"/>
        <w:ind w:hanging="567" w:left="567"/>
      </w:pPr>
      <w:r>
        <w:rPr>
          <w:rFonts w:ascii="Times New Roman" w:hAnsi="Times New Roman" w:cs="Times New Roman"/>
          <w:rFonts w:ascii="Times New Roman" w:hAnsi="Times New Roman"/>
          <w:b w:val="0"/>
          <w:i w:val="0"/>
          <w:sz w:val="24"/>
        </w:rPr>
        <w:t>Bollerslev, T. (1986). Generalized autoregressive conditional heteroskedasticity. Journal of Econometrics, 31(3), 307-327.</w:t>
      </w:r>
    </w:p>
    <w:p>
      <w:pPr>
        <w:spacing w:line="240" w:lineRule="auto" w:after="120"/>
        <w:ind w:hanging="567" w:left="567"/>
      </w:pPr>
      <w:r>
        <w:rPr>
          <w:rFonts w:ascii="Times New Roman" w:hAnsi="Times New Roman" w:cs="Times New Roman"/>
          <w:rFonts w:ascii="Times New Roman" w:hAnsi="Times New Roman"/>
          <w:b w:val="0"/>
          <w:i w:val="0"/>
          <w:sz w:val="24"/>
        </w:rPr>
        <w:t>Breiman, L. (2001). Random forests. Machine Learning, 45(1), 5-32.</w:t>
      </w:r>
    </w:p>
    <w:p>
      <w:pPr>
        <w:spacing w:line="240" w:lineRule="auto" w:after="120"/>
        <w:ind w:hanging="567" w:left="567"/>
      </w:pPr>
      <w:r>
        <w:rPr>
          <w:rFonts w:ascii="Times New Roman" w:hAnsi="Times New Roman" w:cs="Times New Roman"/>
          <w:rFonts w:ascii="Times New Roman" w:hAnsi="Times New Roman"/>
          <w:b w:val="0"/>
          <w:i w:val="0"/>
          <w:sz w:val="24"/>
        </w:rPr>
        <w:t>Chen, T., &amp; Guestrin, C. (2016). XGBoost: A scalable tree boosting system. Proceedings of the 22nd ACM SIGKDD, 785-794.</w:t>
      </w:r>
    </w:p>
    <w:p>
      <w:pPr>
        <w:spacing w:line="240" w:lineRule="auto" w:after="120"/>
        <w:ind w:hanging="567" w:left="567"/>
      </w:pPr>
      <w:r>
        <w:rPr>
          <w:rFonts w:ascii="Times New Roman" w:hAnsi="Times New Roman" w:cs="Times New Roman"/>
          <w:rFonts w:ascii="Times New Roman" w:hAnsi="Times New Roman"/>
          <w:b w:val="0"/>
          <w:i w:val="0"/>
          <w:sz w:val="24"/>
        </w:rPr>
        <w:t>Chicago Fed. (2021). What drives gold prices? Chicago Fed Letter, No. 464.</w:t>
      </w:r>
    </w:p>
    <w:p>
      <w:pPr>
        <w:spacing w:line="240" w:lineRule="auto" w:after="120"/>
        <w:ind w:hanging="567" w:left="567"/>
      </w:pPr>
      <w:r>
        <w:rPr>
          <w:rFonts w:ascii="Times New Roman" w:hAnsi="Times New Roman" w:cs="Times New Roman"/>
          <w:rFonts w:ascii="Times New Roman" w:hAnsi="Times New Roman"/>
          <w:b w:val="0"/>
          <w:i w:val="0"/>
          <w:sz w:val="24"/>
        </w:rPr>
        <w:t>Christie-David, R., Chaudhry, M., &amp; Koch, T. W. (2000). Do macroeconomics news releases affect gold and silver prices? Journal of Economics and Business, 52(5), 405-421.</w:t>
      </w:r>
    </w:p>
    <w:p>
      <w:pPr>
        <w:spacing w:line="240" w:lineRule="auto" w:after="120"/>
        <w:ind w:hanging="567" w:left="567"/>
      </w:pPr>
      <w:r>
        <w:rPr>
          <w:rFonts w:ascii="Times New Roman" w:hAnsi="Times New Roman" w:cs="Times New Roman"/>
          <w:rFonts w:ascii="Times New Roman" w:hAnsi="Times New Roman"/>
          <w:b w:val="0"/>
          <w:i w:val="0"/>
          <w:sz w:val="24"/>
        </w:rPr>
        <w:t>Dornbusch, R. (1976). Expectations and exchange rate dynamics. Journal of Political Economy, 84(6), 1161-1176.</w:t>
      </w:r>
    </w:p>
    <w:p>
      <w:pPr>
        <w:spacing w:line="240" w:lineRule="auto" w:after="120"/>
        <w:ind w:hanging="567" w:left="567"/>
      </w:pPr>
      <w:r>
        <w:rPr>
          <w:rFonts w:ascii="Times New Roman" w:hAnsi="Times New Roman" w:cs="Times New Roman"/>
          <w:rFonts w:ascii="Times New Roman" w:hAnsi="Times New Roman"/>
          <w:b w:val="0"/>
          <w:i w:val="0"/>
          <w:sz w:val="24"/>
        </w:rPr>
        <w:t>Driscoll, J. C., &amp; Kraay, A. C. (1998). Consistent covariance matrix estimation with spatially dependent panel data. Review of Economics and Statistics, 80(4), 549-560.</w:t>
      </w:r>
    </w:p>
    <w:p>
      <w:pPr>
        <w:spacing w:line="240" w:lineRule="auto" w:after="120"/>
        <w:ind w:hanging="567" w:left="567"/>
      </w:pPr>
      <w:r>
        <w:rPr>
          <w:rFonts w:ascii="Times New Roman" w:hAnsi="Times New Roman" w:cs="Times New Roman"/>
          <w:rFonts w:ascii="Times New Roman" w:hAnsi="Times New Roman"/>
          <w:b w:val="0"/>
          <w:i w:val="0"/>
          <w:sz w:val="24"/>
        </w:rPr>
        <w:t>Engle, R. F. (1982). Autoregressive conditional heteroscedasticity. Econometrica, 50(4), 987-1007.</w:t>
      </w:r>
    </w:p>
    <w:p>
      <w:pPr>
        <w:spacing w:line="240" w:lineRule="auto" w:after="120"/>
        <w:ind w:hanging="567" w:left="567"/>
      </w:pPr>
      <w:r>
        <w:rPr>
          <w:rFonts w:ascii="Times New Roman" w:hAnsi="Times New Roman" w:cs="Times New Roman"/>
          <w:rFonts w:ascii="Times New Roman" w:hAnsi="Times New Roman"/>
          <w:b w:val="0"/>
          <w:i w:val="0"/>
          <w:sz w:val="24"/>
        </w:rPr>
        <w:t>Erb, C. B., &amp; Harvey, C. R. (2013). The golden dilemma. Financial Analysts Journal, 69(4), 10-42.</w:t>
      </w:r>
    </w:p>
    <w:p>
      <w:pPr>
        <w:spacing w:line="240" w:lineRule="auto" w:after="120"/>
        <w:ind w:hanging="567" w:left="567"/>
      </w:pPr>
      <w:r>
        <w:rPr>
          <w:rFonts w:ascii="Times New Roman" w:hAnsi="Times New Roman" w:cs="Times New Roman"/>
          <w:rFonts w:ascii="Times New Roman" w:hAnsi="Times New Roman"/>
          <w:b w:val="0"/>
          <w:i w:val="0"/>
          <w:sz w:val="24"/>
        </w:rPr>
        <w:t>Glosten, L. R., Jagannathan, R., &amp; Runkle, D. E. (1993). On the relation between the expected value and the volatility of the nominal excess return on stocks. Journal of Finance, 48(5), 1779-1801.</w:t>
      </w:r>
    </w:p>
    <w:p>
      <w:pPr>
        <w:spacing w:line="240" w:lineRule="auto" w:after="120"/>
        <w:ind w:hanging="567" w:left="567"/>
      </w:pPr>
      <w:r>
        <w:rPr>
          <w:rFonts w:ascii="Times New Roman" w:hAnsi="Times New Roman" w:cs="Times New Roman"/>
          <w:rFonts w:ascii="Times New Roman" w:hAnsi="Times New Roman"/>
          <w:b w:val="0"/>
          <w:i w:val="0"/>
          <w:sz w:val="24"/>
        </w:rPr>
        <w:t>Granger, C. W. J., &amp; Newbold, P. (1974). Spurious regressions in econometrics. Journal of Econometrics, 2(2), 111-120.</w:t>
      </w:r>
    </w:p>
    <w:p>
      <w:pPr>
        <w:spacing w:line="240" w:lineRule="auto" w:after="120"/>
        <w:ind w:hanging="567" w:left="567"/>
      </w:pPr>
      <w:r>
        <w:rPr>
          <w:rFonts w:ascii="Times New Roman" w:hAnsi="Times New Roman" w:cs="Times New Roman"/>
          <w:rFonts w:ascii="Times New Roman" w:hAnsi="Times New Roman"/>
          <w:b w:val="0"/>
          <w:i w:val="0"/>
          <w:sz w:val="24"/>
        </w:rPr>
        <w:t>Hausman, J. A. (1978). Specification tests in econometrics. Econometrica, 46(6), 1251-1271.</w:t>
      </w:r>
    </w:p>
    <w:p>
      <w:pPr>
        <w:spacing w:line="240" w:lineRule="auto" w:after="120"/>
        <w:ind w:hanging="567" w:left="567"/>
      </w:pPr>
      <w:r>
        <w:rPr>
          <w:rFonts w:ascii="Times New Roman" w:hAnsi="Times New Roman" w:cs="Times New Roman"/>
          <w:rFonts w:ascii="Times New Roman" w:hAnsi="Times New Roman"/>
          <w:b w:val="0"/>
          <w:i w:val="0"/>
          <w:sz w:val="24"/>
        </w:rPr>
        <w:t>Hochreiter, S., &amp; Schmidhuber, J. (1997). Long short-term memory. Neural Computation, 9(8), 1735-1780.</w:t>
      </w:r>
    </w:p>
    <w:p>
      <w:pPr>
        <w:spacing w:line="240" w:lineRule="auto" w:after="120"/>
        <w:ind w:hanging="567" w:left="567"/>
      </w:pPr>
      <w:r>
        <w:rPr>
          <w:rFonts w:ascii="Times New Roman" w:hAnsi="Times New Roman" w:cs="Times New Roman"/>
          <w:rFonts w:ascii="Times New Roman" w:hAnsi="Times New Roman"/>
          <w:b w:val="0"/>
          <w:i w:val="0"/>
          <w:sz w:val="24"/>
        </w:rPr>
        <w:t>Johansen, S. (1991). Estimation and hypothesis testing of cointegration vectors in Gaussian vector autoregressive models. Econometrica, 59(6), 1551-1580.</w:t>
      </w:r>
    </w:p>
    <w:p>
      <w:pPr>
        <w:spacing w:line="240" w:lineRule="auto" w:after="120"/>
        <w:ind w:hanging="567" w:left="567"/>
      </w:pPr>
      <w:r>
        <w:rPr>
          <w:rFonts w:ascii="Times New Roman" w:hAnsi="Times New Roman" w:cs="Times New Roman"/>
          <w:rFonts w:ascii="Times New Roman" w:hAnsi="Times New Roman"/>
          <w:b w:val="0"/>
          <w:i w:val="0"/>
          <w:sz w:val="24"/>
        </w:rPr>
        <w:t>Johansen, S., &amp; Juselius, K. (1990). Maximum likelihood estimation and inference on cointegration. Oxford Bulletin of Economics and Statistics, 52(2), 169-210.</w:t>
      </w:r>
    </w:p>
    <w:p>
      <w:pPr>
        <w:spacing w:line="240" w:lineRule="auto" w:after="120"/>
        <w:ind w:hanging="567" w:left="567"/>
      </w:pPr>
      <w:r>
        <w:rPr>
          <w:rFonts w:ascii="Times New Roman" w:hAnsi="Times New Roman" w:cs="Times New Roman"/>
          <w:rFonts w:ascii="Times New Roman" w:hAnsi="Times New Roman"/>
          <w:b w:val="0"/>
          <w:i w:val="0"/>
          <w:sz w:val="24"/>
        </w:rPr>
        <w:t>Liang, C., Li, Y., Ma, F., &amp; Wei, Y. (2023). Forecasting gold price using machine learning methodologies. Chaos, Solitons &amp; Fractals, 173, 113589.</w:t>
      </w:r>
    </w:p>
    <w:p>
      <w:pPr>
        <w:spacing w:line="240" w:lineRule="auto" w:after="120"/>
        <w:ind w:hanging="567" w:left="567"/>
      </w:pPr>
      <w:r>
        <w:rPr>
          <w:rFonts w:ascii="Times New Roman" w:hAnsi="Times New Roman" w:cs="Times New Roman"/>
          <w:rFonts w:ascii="Times New Roman" w:hAnsi="Times New Roman"/>
          <w:b w:val="0"/>
          <w:i w:val="0"/>
          <w:sz w:val="24"/>
        </w:rPr>
        <w:t>Lopez de Prado, M. (2018). Advances in Financial Machine Learning. Wiley.</w:t>
      </w:r>
    </w:p>
    <w:p>
      <w:pPr>
        <w:spacing w:line="240" w:lineRule="auto" w:after="120"/>
        <w:ind w:hanging="567" w:left="567"/>
      </w:pPr>
      <w:r>
        <w:rPr>
          <w:rFonts w:ascii="Times New Roman" w:hAnsi="Times New Roman" w:cs="Times New Roman"/>
          <w:rFonts w:ascii="Times New Roman" w:hAnsi="Times New Roman"/>
          <w:b w:val="0"/>
          <w:i w:val="0"/>
          <w:sz w:val="24"/>
        </w:rPr>
        <w:t>Lundberg, S. M., &amp; Lee, S.-I. (2017). A unified approach to interpreting model predictions. Advances in Neural Information Processing Systems, 30, 4765-4774.</w:t>
      </w:r>
    </w:p>
    <w:p>
      <w:pPr>
        <w:spacing w:line="240" w:lineRule="auto" w:after="120"/>
        <w:ind w:hanging="567" w:left="567"/>
      </w:pPr>
      <w:r>
        <w:rPr>
          <w:rFonts w:ascii="Times New Roman" w:hAnsi="Times New Roman" w:cs="Times New Roman"/>
          <w:rFonts w:ascii="Times New Roman" w:hAnsi="Times New Roman"/>
          <w:b w:val="0"/>
          <w:i w:val="0"/>
          <w:sz w:val="24"/>
        </w:rPr>
        <w:t>Lundberg, S. M., Erion, G., Chen, H., DeGrave, A., Prutkin, J. M., Nair, B., Katz, R., Himmelfarb, J., Bansal, N., &amp; Lee, S.-I. (2020). From local explanations to global understanding with explainable AI for trees. Nature Machine Intelligence, 2(1), 56-67.</w:t>
      </w:r>
    </w:p>
    <w:p>
      <w:pPr>
        <w:spacing w:line="240" w:lineRule="auto" w:after="120"/>
        <w:ind w:hanging="567" w:left="567"/>
      </w:pPr>
      <w:r>
        <w:rPr>
          <w:rFonts w:ascii="Times New Roman" w:hAnsi="Times New Roman" w:cs="Times New Roman"/>
          <w:rFonts w:ascii="Times New Roman" w:hAnsi="Times New Roman"/>
          <w:b w:val="0"/>
          <w:i w:val="0"/>
          <w:sz w:val="24"/>
        </w:rPr>
        <w:t>O'Connor, F. A., Lucey, B. M., Batten, J. A., &amp; Baur, D. G. (2015). The financial economics of gold: A survey. International Review of Financial Analysis, 41, 186-205.</w:t>
      </w:r>
    </w:p>
    <w:p>
      <w:pPr>
        <w:spacing w:line="240" w:lineRule="auto" w:after="120"/>
        <w:ind w:hanging="567" w:left="567"/>
      </w:pPr>
      <w:r>
        <w:rPr>
          <w:rFonts w:ascii="Times New Roman" w:hAnsi="Times New Roman" w:cs="Times New Roman"/>
          <w:rFonts w:ascii="Times New Roman" w:hAnsi="Times New Roman"/>
          <w:b w:val="0"/>
          <w:i w:val="0"/>
          <w:sz w:val="24"/>
        </w:rPr>
        <w:t>Plakandaras, V., Gupta, R., Wohar, M. E., &amp; Kaplanis, T. (2022). Forecasting the price of gold using machine learning methodologies. Applied Economics, 54(33), 3768-3783.</w:t>
      </w:r>
    </w:p>
    <w:p>
      <w:pPr>
        <w:spacing w:line="240" w:lineRule="auto" w:after="120"/>
        <w:ind w:hanging="567" w:left="567"/>
      </w:pPr>
      <w:r>
        <w:rPr>
          <w:rFonts w:ascii="Times New Roman" w:hAnsi="Times New Roman" w:cs="Times New Roman"/>
          <w:rFonts w:ascii="Times New Roman" w:hAnsi="Times New Roman"/>
          <w:b w:val="0"/>
          <w:i w:val="0"/>
          <w:sz w:val="24"/>
        </w:rPr>
        <w:t>Sims, C. A. (1980). Macroeconomics and reality. Econometrica, 48(1), 1-48.</w:t>
      </w:r>
    </w:p>
    <w:p>
      <w:pPr>
        <w:spacing w:line="240" w:lineRule="auto" w:after="120"/>
        <w:ind w:hanging="567" w:left="567"/>
      </w:pPr>
      <w:r>
        <w:rPr>
          <w:rFonts w:ascii="Times New Roman" w:hAnsi="Times New Roman" w:cs="Times New Roman"/>
          <w:rFonts w:ascii="Times New Roman" w:hAnsi="Times New Roman"/>
          <w:b w:val="0"/>
          <w:i w:val="0"/>
          <w:sz w:val="24"/>
        </w:rPr>
        <w:t>Wooldridge, J. M. (2007). Introduccion a la econometria: un enfoque moderno (3.a ed.). Thomson.</w:t>
      </w:r>
    </w:p>
    <w:p>
      <w:pPr>
        <w:spacing w:line="240" w:lineRule="auto" w:after="120"/>
        <w:ind w:hanging="567" w:left="567"/>
      </w:pPr>
      <w:r>
        <w:rPr>
          <w:rFonts w:ascii="Times New Roman" w:hAnsi="Times New Roman" w:cs="Times New Roman"/>
          <w:rFonts w:ascii="Times New Roman" w:hAnsi="Times New Roman"/>
          <w:b w:val="0"/>
          <w:i w:val="0"/>
          <w:sz w:val="24"/>
        </w:rPr>
        <w:t>World Gold Council. (2023). Gold Demand Trends: Full Year 2023. World Gold Council.</w:t>
      </w:r>
    </w:p>
    <w:p>
      <w:pPr>
        <w:spacing w:line="240" w:lineRule="auto" w:after="120"/>
        <w:ind w:hanging="567" w:left="567"/>
      </w:pPr>
      <w:r>
        <w:rPr>
          <w:rFonts w:ascii="Times New Roman" w:hAnsi="Times New Roman" w:cs="Times New Roman"/>
          <w:rFonts w:ascii="Times New Roman" w:hAnsi="Times New Roman"/>
          <w:b w:val="0"/>
          <w:i w:val="0"/>
          <w:sz w:val="24"/>
        </w:rPr>
        <w:t>World Gold Council. (2024). Gold Demand Trends: Full Year 2024. World Gold Council.</w:t>
      </w:r>
    </w:p>
    <w:p>
      <w:r>
        <w:br w:type="page"/>
      </w:r>
    </w:p>
    <w:p>
      <w:pPr>
        <w:pStyle w:val="Heading1"/>
      </w:pPr>
      <w:r>
        <w:t>SUMMARY</w:t>
      </w:r>
    </w:p>
    <w:p>
      <w:pPr>
        <w:pStyle w:val="Heading2"/>
      </w:pPr>
      <w:r>
        <w:t>Gold Price Dynamics (2000-2025): An Econometric and Machine Learning Analysis</w:t>
      </w:r>
    </w:p>
    <w:p>
      <w:pPr>
        <w:pStyle w:val="Heading3"/>
      </w:pPr>
      <w:r>
        <w:t>Introduction and motivation</w:t>
      </w:r>
    </w:p>
    <w:p>
      <w:pPr/>
      <w:r>
        <w:rPr>
          <w:rFonts w:ascii="Times New Roman" w:hAnsi="Times New Roman" w:cs="Times New Roman"/>
          <w:rFonts w:ascii="Times New Roman" w:hAnsi="Times New Roman"/>
          <w:b w:val="0"/>
          <w:i w:val="0"/>
          <w:sz w:val="24"/>
        </w:rPr>
        <w:t>Gold occupies a unique position in the taxonomy of financial assets. It generates no cash flows, pays no dividends or coupons, and has limited productive use compared to industrial commodities. Yet central banks, sovereign wealth funds, and private investors continue to accumulate it as a store of value and safe haven. The period 2000-2025 concentrated five exceptional market episodes: the Global Financial Crisis of 2008, the post-QE peak of 2011, the COVID-19 pandemic of 2020, the most aggressive rate hiking cycle in four decades (2022-2024), and an extraordinary 2025 rally that pushed prices above USD 4,500 per troy ounce for the first time in history. Each episode saw gold behave differently, making this period an exceptionally rich laboratory for applying modern econometric and machine learning tools.</w:t>
      </w:r>
    </w:p>
    <w:p>
      <w:pPr/>
      <w:r>
        <w:rPr>
          <w:rFonts w:ascii="Times New Roman" w:hAnsi="Times New Roman" w:cs="Times New Roman"/>
          <w:rFonts w:ascii="Times New Roman" w:hAnsi="Times New Roman"/>
          <w:b w:val="0"/>
          <w:i w:val="0"/>
          <w:sz w:val="24"/>
        </w:rPr>
        <w:t>This thesis is organised around three research questions: (i) which macroeconomic and financial variables determine the price of gold over 2000-2025, and what is their relative importance at different time horizons? (ii) Have those determinants remained stable across major crisis episodes, or can formal structural breaks be identified? (iii) Can machine learning improve short-run predictive accuracy beyond classical econometric benchmarks?</w:t>
      </w:r>
    </w:p>
    <w:p>
      <w:pPr>
        <w:pStyle w:val="Heading3"/>
      </w:pPr>
      <w:r>
        <w:t>Theoretical framework</w:t>
      </w:r>
    </w:p>
    <w:p>
      <w:pPr/>
      <w:r>
        <w:rPr>
          <w:rFonts w:ascii="Times New Roman" w:hAnsi="Times New Roman" w:cs="Times New Roman"/>
          <w:rFonts w:ascii="Times New Roman" w:hAnsi="Times New Roman"/>
          <w:b w:val="0"/>
          <w:i w:val="0"/>
          <w:sz w:val="24"/>
        </w:rPr>
        <w:t>The analysis rests on four theoretical pillars. First, the opportunity cost mechanism: since gold bears no yield, its equilibrium price should be a decreasing function of the real interest rate. This mechanism, formalised by Barsky and Summers (1988) and documented by Erb and Harvey (2013), forms the backbone of the VECM. Second, the hedge and safe haven distinctions of Baur and Lucey (2010): gold is a hedge if its unconditional correlation with risk assets is negative on average, and a safe haven if that correlation is negative conditionally on extreme negative market returns. Third, the role of inflation expectations as a high-frequency signal of the opportunity cost. Fourth, the institutional context of de-dollarisation, through which emerging market central banks have been increasing gold reserves since 2022 at unprecedented rates, creating a demand channel structurally different from the financial investor channel. The VAR/VECM framework follows Sims's (1980) critique of structural simultaneous equation models: treating all variables as equally endogenous is the most methodologically honest approach.</w:t>
      </w:r>
    </w:p>
    <w:p>
      <w:pPr>
        <w:pStyle w:val="Heading3"/>
      </w:pPr>
      <w:r>
        <w:t>Data and methodology</w:t>
      </w:r>
    </w:p>
    <w:p>
      <w:pPr/>
      <w:r>
        <w:rPr>
          <w:rFonts w:ascii="Times New Roman" w:hAnsi="Times New Roman" w:cs="Times New Roman"/>
          <w:rFonts w:ascii="Times New Roman" w:hAnsi="Times New Roman"/>
          <w:b w:val="0"/>
          <w:i w:val="0"/>
          <w:sz w:val="24"/>
        </w:rPr>
        <w:t>The dataset covers 312 monthly observations from January 2000 to December 2025. Gold prices are sourced from Yahoo Finance (GC=F). Macroeconomic variables -- 10-year TIPS yields, CPI, 10-year breakeven rates -- from FRED. Financial market variables -- DXY, S&amp;P 500, VIX, WTI, 10-year Treasury yield -- from Yahoo Finance. Price series are transformed to logarithmic first differences; rate series used in levels. Five historical episodes are demarcated: GFC 2008 (Aug. 2007 - Jun. 2009), post-QE peak 2011 (Jul. 2011 - Jun. 2013), COVID-19 2020 (Feb. - Aug. 2020), rate hike cycle 2022 (Mar. 2022 - Jul. 2024), and the 2025 triple-confluence rally.</w:t>
      </w:r>
    </w:p>
    <w:p>
      <w:pPr>
        <w:pStyle w:val="Heading3"/>
      </w:pPr>
      <w:r>
        <w:t>VAR/VECM econometric results</w:t>
      </w:r>
    </w:p>
    <w:p>
      <w:pPr/>
      <w:r>
        <w:rPr>
          <w:rFonts w:ascii="Times New Roman" w:hAnsi="Times New Roman" w:cs="Times New Roman"/>
          <w:rFonts w:ascii="Times New Roman" w:hAnsi="Times New Roman"/>
          <w:b w:val="0"/>
          <w:i w:val="0"/>
          <w:sz w:val="24"/>
        </w:rPr>
        <w:t>ADF and KPSS unit root tests confirm that all five core system variables are I(1). The Johansen trace and maximum eigenvalue tests identify one cointegrating vector (r = 1) at the 5% significance level. The long-run cointegrating vector assigns the largest coefficient to TIPS yields (-0.68), confirming the opportunity cost mechanism. The DXY enters with -1.24 and the S&amp;P 500 with -0.31. The error correction coefficient of -0.083 implies approximately 8% of any deviation from long-run equilibrium is corrected each month (half-life: ~8 months). Granger causality tests reject non-causality from TIPS to gold at all lags (p &lt; 0.001). Impulse response functions show that a one-standard-deviation positive shock to real rates generates a -3.2% cumulative decline in gold at 24 months. FEVD at 12 months attributes 28% of gold's variance to TIPS shocks and 19% to DXY shocks. GJR-GARCH modelling reveals significant volatility clustering (beta = 0.847) but no significant asymmetry (gamma = -0.042, p = 0.133). Structural stability tests reject parameter stability at all five episode breakpoints, with the highest F-statistic at March 2022 (F = 4.53, p &lt; 0.001). CUSUM exits the 5% confidence bands during 2022-2024.</w:t>
      </w:r>
    </w:p>
    <w:p>
      <w:pPr>
        <w:pStyle w:val="Heading3"/>
      </w:pPr>
      <w:r>
        <w:t>Panel data analysis</w:t>
      </w:r>
    </w:p>
    <w:p>
      <w:pPr/>
      <w:r>
        <w:rPr>
          <w:rFonts w:ascii="Times New Roman" w:hAnsi="Times New Roman" w:cs="Times New Roman"/>
          <w:rFonts w:ascii="Times New Roman" w:hAnsi="Times New Roman"/>
          <w:b w:val="0"/>
          <w:i w:val="0"/>
          <w:sz w:val="24"/>
        </w:rPr>
        <w:t>The cross-country panel covers four advanced economies (United States, Euro Area, United Kingdom, Japan) with 96 monthly observations and local-currency gold prices. The Hausman test rejects the random effects specification (chi-squared = 12.74, p = 0.013), confirming that fixed effects capture stable unobserved country-level heterogeneity. Under fixed effects with Driscoll-Kraay standard errors (robust to cross-sectional dependence), the real interest rate coefficient is negative and statistically significant (beta_2 = -0.61, p &lt; 0.001), the inflation coefficient is positive (beta_1 = +0.42, p &lt; 0.05), and the VIX coefficient is positive (beta_3 = +0.08, p &lt; 0.001). These findings confirm that the opportunity cost mechanism and the safe haven function are universal properties of gold, not peculiarities of U.S. Treasury markets.</w:t>
      </w:r>
    </w:p>
    <w:p>
      <w:pPr>
        <w:pStyle w:val="Heading3"/>
      </w:pPr>
      <w:r>
        <w:t>Machine learning: results and SHAP analysis</w:t>
      </w:r>
    </w:p>
    <w:p>
      <w:pPr/>
      <w:r>
        <w:rPr>
          <w:rFonts w:ascii="Times New Roman" w:hAnsi="Times New Roman" w:cs="Times New Roman"/>
          <w:rFonts w:ascii="Times New Roman" w:hAnsi="Times New Roman"/>
          <w:b w:val="0"/>
          <w:i w:val="0"/>
          <w:sz w:val="24"/>
        </w:rPr>
        <w:t>Three machine learning architectures are evaluated with a walk-forward expanding window: XGBoost, Random Forest, and LSTM. The feature matrix includes 35 variables and 271 effective observations. The LSTM achieves the best performance: RMSE of 3.815 pp versus 5.054 for the naive random walk (-24.5%), and directional accuracy (DA) of 61.5% versus 55.9% (+5.6 pp). Random Forest outperforms XGBoost -- common in financial time series with n &lt; 500 observations where bagging dominates boosting. SHAP analysis of the XGBoost model shows: CPI one-month lag is the most important predictor (mean |SHAP| = 0.954), followed by TIPS two-month lag (0.617), one-month gold momentum (0.526), and 10-year breakeven three-month lag (0.485). The SHAP hierarchy is fully consistent with the VECM variance decomposition. When two approaches with entirely different assumptions produce the same variable importance ranking, the evidence for genuine economic causality is considerably strengthened.</w:t>
      </w:r>
    </w:p>
    <w:p>
      <w:pPr>
        <w:pStyle w:val="Heading3"/>
      </w:pPr>
      <w:r>
        <w:t>Conclusions and contributions</w:t>
      </w:r>
    </w:p>
    <w:p>
      <w:pPr/>
      <w:r>
        <w:rPr>
          <w:rFonts w:ascii="Times New Roman" w:hAnsi="Times New Roman" w:cs="Times New Roman"/>
          <w:rFonts w:ascii="Times New Roman" w:hAnsi="Times New Roman"/>
          <w:b w:val="0"/>
          <w:i w:val="0"/>
          <w:sz w:val="24"/>
        </w:rPr>
        <w:t>Four main conclusions emerge. First, real interest rates are the dominant structural determinant of gold prices -- a finding robust across the time series, panel, and machine learning frameworks. Second, inflation is the most potent short-run predictor at the monthly horizon. Third, structural relationships are not constant: formal tests document instability at all five episode breakpoints. Fourth, the 2022-2024 paradox -- gold at historical highs while real yields also reached multi-decade highs -- is explained by structural demand from emerging market central banks motivated by de-dollarisation incentives, a channel inelastic to advanced-economy real rates and undetectable by purely financial variable-based models.</w:t>
      </w:r>
    </w:p>
    <w:p>
      <w:pPr/>
      <w:r>
        <w:rPr>
          <w:rFonts w:ascii="Times New Roman" w:hAnsi="Times New Roman" w:cs="Times New Roman"/>
          <w:rFonts w:ascii="Times New Roman" w:hAnsi="Times New Roman"/>
          <w:b w:val="0"/>
          <w:i w:val="0"/>
          <w:sz w:val="24"/>
        </w:rPr>
        <w:t>The thesis makes four original contributions: (i) cross-country validation of classical mechanisms with data through 2025; (ii) formal quantification of structural instability at economically motivated breakpoints; (iii) cross-methodological validation between VECM variance decomposition and SHAP importance rankings; and (iv) integrated analysis of the 2022-2024 episode. Limitations include the small panel cross-section (N = 4), limited ML sample size (271 observations), and the absence of high-frequency central bank reserve data. Natural extensions: expanding the panel to emerging economies, explicitly modelling central bank demand, and estimating Markov Switching VAR models to formally characterise the regime changes.</w:t>
      </w:r>
    </w:p>
    <w:p>
      <w:pPr/>
      <w:r>
        <w:rPr>
          <w:rFonts w:ascii="Times New Roman" w:hAnsi="Times New Roman" w:cs="Times New Roman"/>
          <w:rFonts w:ascii="Times New Roman" w:hAnsi="Times New Roman"/>
          <w:b w:val="0"/>
          <w:i w:val="0"/>
          <w:sz w:val="24"/>
        </w:rPr>
        <w:t>Keywords: gold, VECM, cointegration, panel data, machine learning, SHAP, de-dollarisation.</w:t>
      </w:r>
    </w:p>
    <w:sectPr w:rsidR="00FC693F" w:rsidRPr="0006063C" w:rsidSect="00034616">
      <w:footerReference w:type="default" r:id="rId9"/>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rFonts w:ascii="Times New Roman" w:hAnsi="Times New Roman"/>
        <w:b w:val="0"/>
        <w:i w:val="0"/>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360" w:lineRule="auto"/>
      <w:jc w:val="left"/>
      <w:outlineLvl w:val="0"/>
    </w:pPr>
    <w:rPr>
      <w:rFonts w:asciiTheme="majorHAnsi" w:eastAsiaTheme="majorEastAsia" w:hAnsiTheme="majorHAnsi" w:cstheme="majorBidi" w:ascii="Times New Roman" w:hAnsi="Times New Roman"/>
      <w:b/>
      <w:bCs/>
      <w:i w:val="0"/>
      <w:cap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i w:val="0"/>
      <w:caps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jc w:val="left"/>
      <w:outlineLvl w:val="2"/>
    </w:pPr>
    <w:rPr>
      <w:rFonts w:asciiTheme="majorHAnsi" w:eastAsiaTheme="majorEastAsia" w:hAnsiTheme="majorHAnsi" w:cstheme="majorBidi" w:ascii="Times New Roman" w:hAnsi="Times New Roman"/>
      <w:b w:val="0"/>
      <w:bCs/>
      <w:i/>
      <w:caps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