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6: Análisis de panel: ¿es universal el comportamiento del oro?</w:t>
      </w:r>
    </w:p>
    <w:p>
      <w:pPr>
        <w:pStyle w:val="Heading2"/>
      </w:pPr>
      <w:r>
        <w:t>6.1 Motivación: del análisis de serie temporal al análisis cross-country</w:t>
      </w:r>
    </w:p>
    <w:p>
      <w:pPr>
        <w:spacing w:line="276" w:lineRule="auto" w:after="120"/>
      </w:pPr>
      <w:r>
        <w:t>Los capítulos precedentes han analizado el oro como activo en el mercado estadounidense: datos en dólares, catalizadores de la Reserva Federal y del Tesoro de EE.UU., y un VECM estimado sobre una única serie temporal de 312 observaciones mensuales. Esta perspectiva es legítima —el mercado del oro cotiza globalmente en dólares— pero tiene una limitación: no permite responder a si las relaciones identificadas son específicas de la economía estadounidense o si son fenómenos universales.</w:t>
      </w:r>
    </w:p>
    <w:p>
      <w:pPr>
        <w:spacing w:line="276" w:lineRule="auto" w:after="120"/>
      </w:pPr>
      <w:r>
        <w:t xml:space="preserve">La pregunta tiene relevancia práctica inmediata. Baur y McDermott (2010), en el trabajo fundacional sobre el *safe haven* del oro, documentaron que el oro cumplió esa función durante la Crisis Financiera Global para los mercados europeos y anglosajones, pero </w:t>
      </w:r>
      <w:r>
        <w:rPr>
          <w:b/>
        </w:rPr>
        <w:t>no para los países BRIC</w:t>
      </w:r>
      <w:r>
        <w:t>. Si el comportamiento del oro como cobertura y refugio varía según la economía, entonces los modelos estimados únicamente con datos de EE.UU. pueden generalizar incorrectamente: un inversor europeo, japonés o chino enfrenta condiciones distintas de tipos de interés, inflación y tipo de cambio que pueden alterar la relación entre el oro (cotizado en dólares) y las variables locales.</w:t>
      </w:r>
    </w:p>
    <w:p>
      <w:pPr>
        <w:spacing w:line="276" w:lineRule="auto" w:after="120"/>
      </w:pPr>
      <w:r>
        <w:t xml:space="preserve">Este capítulo aborda esta limitación con un análisis de </w:t>
      </w:r>
      <w:r>
        <w:rPr>
          <w:b/>
        </w:rPr>
        <w:t>datos de panel</w:t>
      </w:r>
      <w:r>
        <w:t>: una muestra de cuatro economías avanzadas —Estados Unidos, Eurozona, Reino Unido y Japón— observadas durante el mismo periodo (2000-2024) y a la misma frecuencia (trimestral). El objetivo es doble: por un lado, contrastar si las relaciones identificadas en el análisis de serie temporal se mantienen a nivel cross-country; por otro, aplicar la metodología de datos de panel estáticos del curso —efectos fijos, efectos aleatorios y contraste de Hausman— a una pregunta de investigación económicamente relevante.</w:t>
      </w:r>
    </w:p>
    <w:p>
      <w:pPr>
        <w:pStyle w:val="Heading2"/>
      </w:pPr>
      <w:r>
        <w:t>6.2 Datos de panel: muestra, variables y fuentes</w:t>
      </w:r>
    </w:p>
    <w:p>
      <w:pPr>
        <w:pStyle w:val="Heading3"/>
      </w:pPr>
      <w:r>
        <w:t>6.2.1 Descripción de la muestra</w:t>
      </w:r>
    </w:p>
    <w:p>
      <w:pPr>
        <w:spacing w:line="276" w:lineRule="auto" w:after="120"/>
      </w:pPr>
      <w:r>
        <w:t xml:space="preserve">El panel comprende </w:t>
      </w:r>
      <w:r>
        <w:rPr>
          <w:b/>
        </w:rPr>
        <w:t>cuatro países/áreas económicas</w:t>
      </w:r>
      <w:r>
        <w:t xml:space="preserve"> y </w:t>
      </w:r>
      <w:r>
        <w:rPr>
          <w:b/>
        </w:rPr>
        <w:t>96 trimestres</w:t>
      </w:r>
      <w:r>
        <w:t xml:space="preserve"> (primer trimestre de 2000 al cuarto trimestre de 2024), lo que genera un panel equilibrado con $N = 4$ unidades de corte transversal y $T = 96$ periodos temporales, y un total de $4 \times 96 = 384$ observaciones.</w:t>
      </w:r>
    </w:p>
    <w:p>
      <w:pPr>
        <w:spacing w:line="276" w:lineRule="auto" w:after="120"/>
      </w:pPr>
      <w:r>
        <w:t>Las cuatro economías se seleccionan por dos criterios: representatividad (son los cuatro mayores mercados de activos del mundo) y disponibilidad de datos comparables en las fuentes institucionales estándar.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195"/>
      </w:tblGrid>
      <w:tr>
        <w:tc>
          <w:tcPr>
            <w:tcW w:type="dxa" w:w="2195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2195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95"/>
          </w:tcPr>
          <w:p>
            <w:r>
              <w:rPr>
                <w:b/>
              </w:rPr>
              <w:t>Moneda de referencia</w:t>
            </w:r>
          </w:p>
        </w:tc>
        <w:tc>
          <w:tcPr>
            <w:tcW w:type="dxa" w:w="2195"/>
          </w:tcPr>
          <w:p>
            <w:r>
              <w:rPr>
                <w:b/>
              </w:rPr>
              <w:t>Banco central</w:t>
            </w:r>
          </w:p>
        </w:tc>
      </w:tr>
      <w:tr>
        <w:tc>
          <w:tcPr>
            <w:tcW w:type="dxa" w:w="2195"/>
          </w:tcPr>
          <w:p>
            <w:r>
              <w:t>Estados Unidos</w:t>
            </w:r>
          </w:p>
        </w:tc>
        <w:tc>
          <w:tcPr>
            <w:tcW w:type="dxa" w:w="2195"/>
          </w:tcPr>
          <w:p>
            <w:r>
              <w:t>US</w:t>
            </w:r>
          </w:p>
        </w:tc>
        <w:tc>
          <w:tcPr>
            <w:tcW w:type="dxa" w:w="2195"/>
          </w:tcPr>
          <w:p>
            <w:r>
              <w:t>Dólar (USD)</w:t>
            </w:r>
          </w:p>
        </w:tc>
        <w:tc>
          <w:tcPr>
            <w:tcW w:type="dxa" w:w="2195"/>
          </w:tcPr>
          <w:p>
            <w:r>
              <w:t>Federal Reserve</w:t>
            </w:r>
          </w:p>
        </w:tc>
      </w:tr>
      <w:tr>
        <w:tc>
          <w:tcPr>
            <w:tcW w:type="dxa" w:w="2195"/>
          </w:tcPr>
          <w:p>
            <w:r>
              <w:t>Eurozona</w:t>
            </w:r>
          </w:p>
        </w:tc>
        <w:tc>
          <w:tcPr>
            <w:tcW w:type="dxa" w:w="2195"/>
          </w:tcPr>
          <w:p>
            <w:r>
              <w:t>EA</w:t>
            </w:r>
          </w:p>
        </w:tc>
        <w:tc>
          <w:tcPr>
            <w:tcW w:type="dxa" w:w="2195"/>
          </w:tcPr>
          <w:p>
            <w:r>
              <w:t>Euro (EUR)</w:t>
            </w:r>
          </w:p>
        </w:tc>
        <w:tc>
          <w:tcPr>
            <w:tcW w:type="dxa" w:w="2195"/>
          </w:tcPr>
          <w:p>
            <w:r>
              <w:t>Banco Central Europeo (BCE)</w:t>
            </w:r>
          </w:p>
        </w:tc>
      </w:tr>
      <w:tr>
        <w:tc>
          <w:tcPr>
            <w:tcW w:type="dxa" w:w="2195"/>
          </w:tcPr>
          <w:p>
            <w:r>
              <w:t>Reino Unido</w:t>
            </w:r>
          </w:p>
        </w:tc>
        <w:tc>
          <w:tcPr>
            <w:tcW w:type="dxa" w:w="2195"/>
          </w:tcPr>
          <w:p>
            <w:r>
              <w:t>UK</w:t>
            </w:r>
          </w:p>
        </w:tc>
        <w:tc>
          <w:tcPr>
            <w:tcW w:type="dxa" w:w="2195"/>
          </w:tcPr>
          <w:p>
            <w:r>
              <w:t>Libra esterlina (GBP)</w:t>
            </w:r>
          </w:p>
        </w:tc>
        <w:tc>
          <w:tcPr>
            <w:tcW w:type="dxa" w:w="2195"/>
          </w:tcPr>
          <w:p>
            <w:r>
              <w:t>Bank of England (BoE)</w:t>
            </w:r>
          </w:p>
        </w:tc>
      </w:tr>
      <w:tr>
        <w:tc>
          <w:tcPr>
            <w:tcW w:type="dxa" w:w="2195"/>
          </w:tcPr>
          <w:p>
            <w:r>
              <w:t>Japón</w:t>
            </w:r>
          </w:p>
        </w:tc>
        <w:tc>
          <w:tcPr>
            <w:tcW w:type="dxa" w:w="2195"/>
          </w:tcPr>
          <w:p>
            <w:r>
              <w:t>JP</w:t>
            </w:r>
          </w:p>
        </w:tc>
        <w:tc>
          <w:tcPr>
            <w:tcW w:type="dxa" w:w="2195"/>
          </w:tcPr>
          <w:p>
            <w:r>
              <w:t>Yen (JPY)</w:t>
            </w:r>
          </w:p>
        </w:tc>
        <w:tc>
          <w:tcPr>
            <w:tcW w:type="dxa" w:w="2195"/>
          </w:tcPr>
          <w:p>
            <w:r>
              <w:t>Bank of Japan (BoJ)</w:t>
            </w:r>
          </w:p>
        </w:tc>
      </w:tr>
    </w:tbl>
    <w:p/>
    <w:p>
      <w:pPr>
        <w:pStyle w:val="Heading3"/>
      </w:pPr>
      <w:r>
        <w:t>6.2.2 Variables del modelo de panel</w:t>
      </w:r>
    </w:p>
    <w:p>
      <w:pPr>
        <w:spacing w:line="276" w:lineRule="auto" w:after="120"/>
      </w:pPr>
      <w:r/>
      <w:r>
        <w:rPr>
          <w:b/>
        </w:rPr>
        <w:t>Variable dependiente.</w:t>
      </w:r>
      <w:r>
        <w:t xml:space="preserve"> El retorno trimestral del precio del oro expresado en la *moneda local* de cada economía. Para EE.UU., el retorno es directamente el retorno del XAU/USD. Para la Eurozona, el Reino Unido y Japón, se construye el precio del oro en moneda local dividiendo el precio en dólares por el tipo de cambio correspondiente (EUR/USD, GBP/USD, USD/JPY). El retorno se calcula como logaritmo de la ratio del precio al final de dos trimestres consecutivos.</w:t>
      </w:r>
    </w:p>
    <w:p>
      <w:pPr>
        <w:spacing w:line="276" w:lineRule="auto" w:after="120"/>
      </w:pPr>
      <w:r>
        <w:t>La utilización del precio en moneda local es fundamental para el análisis de panel: los inversores europeos, británicos o japoneses perciben el precio del oro en sus propias monedas, y la relación entre ese precio y sus variables locales de coste de oportunidad e inflación es la económicamente relevante desde su perspectiva.</w:t>
      </w:r>
    </w:p>
    <w:p>
      <w:pPr>
        <w:spacing w:line="276" w:lineRule="auto" w:after="120"/>
      </w:pPr>
      <w:r/>
      <w:r>
        <w:rPr>
          <w:b/>
        </w:rPr>
        <w:t>Variables explicativas</w:t>
      </w:r>
      <w:r>
        <w:t xml:space="preserve"> (en cada economía $i$ y trimestre $t$):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195"/>
      </w:tblGrid>
      <w:tr>
        <w:tc>
          <w:tcPr>
            <w:tcW w:type="dxa" w:w="2195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95"/>
          </w:tcPr>
          <w:p>
            <w:r>
              <w:rPr>
                <w:b/>
              </w:rPr>
              <w:t>Símbolo</w:t>
            </w:r>
          </w:p>
        </w:tc>
        <w:tc>
          <w:tcPr>
            <w:tcW w:type="dxa" w:w="2195"/>
          </w:tcPr>
          <w:p>
            <w:r>
              <w:rPr>
                <w:b/>
              </w:rPr>
              <w:t>Definición</w:t>
            </w:r>
          </w:p>
        </w:tc>
        <w:tc>
          <w:tcPr>
            <w:tcW w:type="dxa" w:w="2195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2195"/>
          </w:tcPr>
          <w:p>
            <w:r>
              <w:t>Inflación local</w:t>
            </w:r>
          </w:p>
        </w:tc>
        <w:tc>
          <w:tcPr>
            <w:tcW w:type="dxa" w:w="2195"/>
          </w:tcPr>
          <w:p>
            <w:r>
              <w:t>$\pi_{it}$</w:t>
            </w:r>
          </w:p>
        </w:tc>
        <w:tc>
          <w:tcPr>
            <w:tcW w:type="dxa" w:w="2195"/>
          </w:tcPr>
          <w:p>
            <w:r>
              <w:t>Tasa de variación anual del IPC</w:t>
            </w:r>
          </w:p>
        </w:tc>
        <w:tc>
          <w:tcPr>
            <w:tcW w:type="dxa" w:w="2195"/>
          </w:tcPr>
          <w:p>
            <w:r>
              <w:t>FRED, Eurostat, ONS, BoJ</w:t>
            </w:r>
          </w:p>
        </w:tc>
      </w:tr>
      <w:tr>
        <w:tc>
          <w:tcPr>
            <w:tcW w:type="dxa" w:w="2195"/>
          </w:tcPr>
          <w:p>
            <w:r>
              <w:t>Tipo de interés real local</w:t>
            </w:r>
          </w:p>
        </w:tc>
        <w:tc>
          <w:tcPr>
            <w:tcW w:type="dxa" w:w="2195"/>
          </w:tcPr>
          <w:p>
            <w:r>
              <w:t>$r_{it}$</w:t>
            </w:r>
          </w:p>
        </w:tc>
        <w:tc>
          <w:tcPr>
            <w:tcW w:type="dxa" w:w="2195"/>
          </w:tcPr>
          <w:p>
            <w:r>
              <w:t>Tipo nominal a 10 años − inflación a 10 años o TIPS equivalente</w:t>
            </w:r>
          </w:p>
        </w:tc>
        <w:tc>
          <w:tcPr>
            <w:tcW w:type="dxa" w:w="2195"/>
          </w:tcPr>
          <w:p>
            <w:r>
              <w:t>FRED, BCE, BoE, BoJ</w:t>
            </w:r>
          </w:p>
        </w:tc>
      </w:tr>
      <w:tr>
        <w:tc>
          <w:tcPr>
            <w:tcW w:type="dxa" w:w="2195"/>
          </w:tcPr>
          <w:p>
            <w:r>
              <w:t>Volatilidad global</w:t>
            </w:r>
          </w:p>
        </w:tc>
        <w:tc>
          <w:tcPr>
            <w:tcW w:type="dxa" w:w="2195"/>
          </w:tcPr>
          <w:p>
            <w:r>
              <w:t>$VIX_t$</w:t>
            </w:r>
          </w:p>
        </w:tc>
        <w:tc>
          <w:tcPr>
            <w:tcW w:type="dxa" w:w="2195"/>
          </w:tcPr>
          <w:p>
            <w:r>
              <w:t>Índice VIX (variable común a todas las economías)</w:t>
            </w:r>
          </w:p>
        </w:tc>
        <w:tc>
          <w:tcPr>
            <w:tcW w:type="dxa" w:w="2195"/>
          </w:tcPr>
          <w:p>
            <w:r>
              <w:t>FRED</w:t>
            </w:r>
          </w:p>
        </w:tc>
      </w:tr>
      <w:tr>
        <w:tc>
          <w:tcPr>
            <w:tcW w:type="dxa" w:w="2195"/>
          </w:tcPr>
          <w:p>
            <w:r>
              <w:t>Retorno renta variable local</w:t>
            </w:r>
          </w:p>
        </w:tc>
        <w:tc>
          <w:tcPr>
            <w:tcW w:type="dxa" w:w="2195"/>
          </w:tcPr>
          <w:p>
            <w:r>
              <w:t>$eq_{it}$</w:t>
            </w:r>
          </w:p>
        </w:tc>
        <w:tc>
          <w:tcPr>
            <w:tcW w:type="dxa" w:w="2195"/>
          </w:tcPr>
          <w:p>
            <w:r>
              <w:t>Retorno trimestral del índice bursátil principal</w:t>
            </w:r>
          </w:p>
        </w:tc>
        <w:tc>
          <w:tcPr>
            <w:tcW w:type="dxa" w:w="2195"/>
          </w:tcPr>
          <w:p>
            <w:r>
              <w:t>Yahoo Finance</w:t>
            </w:r>
          </w:p>
        </w:tc>
      </w:tr>
    </w:tbl>
    <w:p/>
    <w:p>
      <w:pPr>
        <w:spacing w:line="276" w:lineRule="auto" w:after="120"/>
      </w:pPr>
      <w:r>
        <w:t>*Nota metodológica:* El VIX es la única variable estrictamente común (idéntica para las cuatro economías en cada trimestre). El resto de variables son específicas de cada unidad cross-sectional, capturando las diferencias en condiciones monetarias y financieras entre economías.</w:t>
      </w:r>
    </w:p>
    <w:p>
      <w:pPr>
        <w:pStyle w:val="Heading3"/>
      </w:pPr>
      <w:r>
        <w:t>6.2.3 Fuentes de datos y periodo de análisis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</w:tblGrid>
      <w:tr>
        <w:tc>
          <w:tcPr>
            <w:tcW w:type="dxa" w:w="1756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56"/>
          </w:tcPr>
          <w:p>
            <w:r>
              <w:rPr>
                <w:b/>
              </w:rPr>
              <w:t>EE.UU.</w:t>
            </w:r>
          </w:p>
        </w:tc>
        <w:tc>
          <w:tcPr>
            <w:tcW w:type="dxa" w:w="1756"/>
          </w:tcPr>
          <w:p>
            <w:r>
              <w:rPr>
                <w:b/>
              </w:rPr>
              <w:t>Eurozona</w:t>
            </w:r>
          </w:p>
        </w:tc>
        <w:tc>
          <w:tcPr>
            <w:tcW w:type="dxa" w:w="1756"/>
          </w:tcPr>
          <w:p>
            <w:r>
              <w:rPr>
                <w:b/>
              </w:rPr>
              <w:t>Reino Unido</w:t>
            </w:r>
          </w:p>
        </w:tc>
        <w:tc>
          <w:tcPr>
            <w:tcW w:type="dxa" w:w="1756"/>
          </w:tcPr>
          <w:p>
            <w:r>
              <w:rPr>
                <w:b/>
              </w:rPr>
              <w:t>Japón</w:t>
            </w:r>
          </w:p>
        </w:tc>
      </w:tr>
      <w:tr>
        <w:tc>
          <w:tcPr>
            <w:tcW w:type="dxa" w:w="1756"/>
          </w:tcPr>
          <w:p>
            <w:r>
              <w:t>Inflación</w:t>
            </w:r>
          </w:p>
        </w:tc>
        <w:tc>
          <w:tcPr>
            <w:tcW w:type="dxa" w:w="1756"/>
          </w:tcPr>
          <w:p>
            <w:r>
              <w:t>CPIAUCSL (FRED)</w:t>
            </w:r>
          </w:p>
        </w:tc>
        <w:tc>
          <w:tcPr>
            <w:tcW w:type="dxa" w:w="1756"/>
          </w:tcPr>
          <w:p>
            <w:r>
              <w:t>HICP Eurostat</w:t>
            </w:r>
          </w:p>
        </w:tc>
        <w:tc>
          <w:tcPr>
            <w:tcW w:type="dxa" w:w="1756"/>
          </w:tcPr>
          <w:p>
            <w:r>
              <w:t>ONS CPI</w:t>
            </w:r>
          </w:p>
        </w:tc>
        <w:tc>
          <w:tcPr>
            <w:tcW w:type="dxa" w:w="1756"/>
          </w:tcPr>
          <w:p>
            <w:r>
              <w:t>BoJ CPI</w:t>
            </w:r>
          </w:p>
        </w:tc>
      </w:tr>
      <w:tr>
        <w:tc>
          <w:tcPr>
            <w:tcW w:type="dxa" w:w="1756"/>
          </w:tcPr>
          <w:p>
            <w:r>
              <w:t>Tipo real 10Y</w:t>
            </w:r>
          </w:p>
        </w:tc>
        <w:tc>
          <w:tcPr>
            <w:tcW w:type="dxa" w:w="1756"/>
          </w:tcPr>
          <w:p>
            <w:r>
              <w:t>DFII10 (FRED)</w:t>
            </w:r>
          </w:p>
        </w:tc>
        <w:tc>
          <w:tcPr>
            <w:tcW w:type="dxa" w:w="1756"/>
          </w:tcPr>
          <w:p>
            <w:r>
              <w:t>OAT + OATi spread (BCE)</w:t>
            </w:r>
          </w:p>
        </w:tc>
        <w:tc>
          <w:tcPr>
            <w:tcW w:type="dxa" w:w="1756"/>
          </w:tcPr>
          <w:p>
            <w:r>
              <w:t>BoE real gilt</w:t>
            </w:r>
          </w:p>
        </w:tc>
        <w:tc>
          <w:tcPr>
            <w:tcW w:type="dxa" w:w="1756"/>
          </w:tcPr>
          <w:p>
            <w:r>
              <w:t>JGB real yield (BoJ)</w:t>
            </w:r>
          </w:p>
        </w:tc>
      </w:tr>
      <w:tr>
        <w:tc>
          <w:tcPr>
            <w:tcW w:type="dxa" w:w="1756"/>
          </w:tcPr>
          <w:p>
            <w:r>
              <w:t>Índice bursátil</w:t>
            </w:r>
          </w:p>
        </w:tc>
        <w:tc>
          <w:tcPr>
            <w:tcW w:type="dxa" w:w="1756"/>
          </w:tcPr>
          <w:p>
            <w:r>
              <w:t>S&amp;P 500 (^GSPC)</w:t>
            </w:r>
          </w:p>
        </w:tc>
        <w:tc>
          <w:tcPr>
            <w:tcW w:type="dxa" w:w="1756"/>
          </w:tcPr>
          <w:p>
            <w:r>
              <w:t>EuroStoxx 50 (^STOXX50E)</w:t>
            </w:r>
          </w:p>
        </w:tc>
        <w:tc>
          <w:tcPr>
            <w:tcW w:type="dxa" w:w="1756"/>
          </w:tcPr>
          <w:p>
            <w:r>
              <w:t>FTSE 100 (^FTSE)</w:t>
            </w:r>
          </w:p>
        </w:tc>
        <w:tc>
          <w:tcPr>
            <w:tcW w:type="dxa" w:w="1756"/>
          </w:tcPr>
          <w:p>
            <w:r>
              <w:t>Nikkei 225 (^N225)</w:t>
            </w:r>
          </w:p>
        </w:tc>
      </w:tr>
      <w:tr>
        <w:tc>
          <w:tcPr>
            <w:tcW w:type="dxa" w:w="1756"/>
          </w:tcPr>
          <w:p>
            <w:r>
              <w:t>Tipo cambio</w:t>
            </w:r>
          </w:p>
        </w:tc>
        <w:tc>
          <w:tcPr>
            <w:tcW w:type="dxa" w:w="1756"/>
          </w:tcPr>
          <w:p>
            <w:r>
              <w:t>—</w:t>
            </w:r>
          </w:p>
        </w:tc>
        <w:tc>
          <w:tcPr>
            <w:tcW w:type="dxa" w:w="1756"/>
          </w:tcPr>
          <w:p>
            <w:r>
              <w:t>EUR/USD</w:t>
            </w:r>
          </w:p>
        </w:tc>
        <w:tc>
          <w:tcPr>
            <w:tcW w:type="dxa" w:w="1756"/>
          </w:tcPr>
          <w:p>
            <w:r>
              <w:t>GBP/USD</w:t>
            </w:r>
          </w:p>
        </w:tc>
        <w:tc>
          <w:tcPr>
            <w:tcW w:type="dxa" w:w="1756"/>
          </w:tcPr>
          <w:p>
            <w:r>
              <w:t>USD/JPY</w:t>
            </w:r>
          </w:p>
        </w:tc>
      </w:tr>
    </w:tbl>
    <w:p/>
    <w:p>
      <w:pPr>
        <w:spacing w:line="276" w:lineRule="auto" w:after="120"/>
      </w:pPr>
      <w:r>
        <w:t>El periodo de análisis (2000-2024) cubre 96 trimestres. Se excluye el año 2025 del panel para mantener consistencia con la disponibilidad de datos comparables en las fuentes europeas y japonesas, donde los datos más recientes tienen mayor retardo de publicación que en EE.UU.</w:t>
      </w:r>
    </w:p>
    <w:p>
      <w:pPr>
        <w:pStyle w:val="Heading2"/>
      </w:pPr>
      <w:r>
        <w:t>6.3 El modelo de regresión con datos de panel</w:t>
      </w:r>
    </w:p>
    <w:p>
      <w:pPr>
        <w:pStyle w:val="Heading3"/>
      </w:pPr>
      <w:r>
        <w:t>6.3.1 Especificación general</w:t>
      </w:r>
    </w:p>
    <w:p>
      <w:pPr>
        <w:spacing w:line="276" w:lineRule="auto" w:after="120"/>
      </w:pPr>
      <w:r>
        <w:t>El modelo econométrico de panel estático que se estimará es:</w:t>
      </w:r>
    </w:p>
    <w:p>
      <w:pPr>
        <w:spacing w:line="276" w:lineRule="auto" w:after="120"/>
      </w:pPr>
      <w:r>
        <w:t xml:space="preserve">donde $\bar{x}_i = \frac{1}{T}\sum_{t=1}^{T} x_{it}$ es la media temporal del país $i$. La transformación *within* elimina completamente $\eta_i$ —sea o no correlacionado con los regresores—, lo que hace que el estimador de EF sea </w:t>
      </w:r>
      <w:r>
        <w:rPr>
          <w:b/>
        </w:rPr>
        <w:t>consistente bajo cualquier correlación entre $\eta_i$ y los regresores</w:t>
      </w:r>
      <w:r>
        <w:t>.</w:t>
      </w:r>
    </w:p>
    <w:p>
      <w:pPr>
        <w:spacing w:line="276" w:lineRule="auto" w:after="120"/>
      </w:pPr>
      <w:r>
        <w:t>El coste del estimador de EF es la pérdida de variación entre países: al centrar cada variable en su media por país, solo se utiliza la variación temporal dentro de cada economía (*within* variation). Las variables que no varían en el tiempo son perfectamente colineales con los efectos fijos y quedan automáticamente excluidas del modelo.</w:t>
      </w:r>
    </w:p>
    <w:p>
      <w:pPr>
        <w:ind w:left="567"/>
      </w:pPr>
      <w:r>
        <w:rPr>
          <w:i/>
        </w:rPr>
        <w:t>**[Tabla 6.1: Estimación por efectos fijos (within estimator)]**</w:t>
      </w:r>
    </w:p>
    <w:p>
      <w:pPr>
        <w:ind w:left="567"/>
      </w:pPr>
      <w:r>
        <w:rPr>
          <w:i/>
        </w:rPr>
        <w:t>*(Véase `output/tables/tab_6_01_fe_results.csv`)*</w:t>
      </w:r>
    </w:p>
    <w:p>
      <w:pPr>
        <w:pStyle w:val="Heading3"/>
      </w:pPr>
      <w:r>
        <w:t>6.4.2 Estimador de efectos aleatorios (*GLS*)</w:t>
      </w:r>
    </w:p>
    <w:p>
      <w:pPr>
        <w:spacing w:line="276" w:lineRule="auto" w:after="120"/>
      </w:pPr>
      <w:r>
        <w:t xml:space="preserve">El estimador de </w:t>
      </w:r>
      <w:r>
        <w:rPr>
          <w:b/>
        </w:rPr>
        <w:t>efectos aleatorios</w:t>
      </w:r>
      <w:r>
        <w:t xml:space="preserve"> (EA) asume que $\eta_i$ es un componente aleatorio no correlacionado con los regresores:</w:t>
      </w:r>
    </w:p>
    <w:p>
      <w:pPr>
        <w:spacing w:line="276" w:lineRule="auto" w:after="120"/>
      </w:pPr>
      <w:r>
        <w:t>donde $k$ es el número de regresores que varían en el tiempo y $\widehat{V}(\cdot)$ es la matriz de varianza-covarianza estimada de cada estimador. Bajo $H_0$, $H$ sigue asintóticamente una distribución $\chi^2$ con $k$ grados de libertad. Un p-valor inferior al 5% lleva al rechazo de $H_0$ y a la elección del estimador de EF.</w:t>
      </w:r>
    </w:p>
    <w:p>
      <w:pPr>
        <w:pStyle w:val="Heading3"/>
      </w:pPr>
      <w:r>
        <w:t>6.5.2 Resultado e interpretación económica</w:t>
      </w:r>
    </w:p>
    <w:p>
      <w:pPr>
        <w:ind w:left="567"/>
      </w:pPr>
      <w:r>
        <w:rPr>
          <w:i/>
        </w:rPr>
        <w:t>**[Tabla 6.4: Test de Hausman — Contraste EF vs. EA]**</w:t>
      </w:r>
    </w:p>
    <w:p>
      <w:pPr>
        <w:ind w:left="567"/>
      </w:pPr>
      <w:r>
        <w:rPr>
          <w:i/>
        </w:rPr>
        <w:t>*(Véase `output/tables/tab_6_04_hausman.csv`)*</w:t>
      </w:r>
    </w:p>
    <w:p>
      <w:pPr>
        <w:spacing w:line="276" w:lineRule="auto" w:after="120"/>
      </w:pPr>
      <w:r>
        <w:t xml:space="preserve">La intuición económica del resultado esperado es directa: los efectos individuales $\eta_i$ de cada economía incluyen factores como la cultura local de inversión en oro, el historial de inflación del banco central o la dependencia estructural de la economía del sistema financiero en dólares. Estos factores están plausiblemente correlacionados con las variables explicativas del modelo —especialmente con la inflación local y los tipos de interés reales, que son en parte consecuencia de esas características estructurales de cada economía. Si el test confirma esta correlación, los </w:t>
      </w:r>
      <w:r>
        <w:rPr>
          <w:b/>
        </w:rPr>
        <w:t>efectos fijos</w:t>
      </w:r>
      <w:r>
        <w:t xml:space="preserve"> son el estimador preferido.</w:t>
      </w:r>
    </w:p>
    <w:p>
      <w:pPr>
        <w:pStyle w:val="Heading2"/>
      </w:pPr>
      <w:r>
        <w:t>6.6 Resultados e interpretación cross-country</w:t>
      </w:r>
    </w:p>
    <w:p>
      <w:pPr>
        <w:pStyle w:val="Heading3"/>
      </w:pPr>
      <w:r>
        <w:t>6.6.1 Tabla principal de resultados</w:t>
      </w:r>
    </w:p>
    <w:p>
      <w:pPr>
        <w:ind w:left="567"/>
      </w:pPr>
      <w:r>
        <w:rPr>
          <w:i/>
        </w:rPr>
        <w:t>**[Tabla 6.5: Resultados del modelo de panel preferido (EF o EA según Hausman)]**</w:t>
      </w:r>
    </w:p>
    <w:p>
      <w:pPr>
        <w:ind w:left="567"/>
      </w:pPr>
      <w:r>
        <w:rPr>
          <w:i/>
        </w:rPr>
        <w:t>*(Véase `output/tables/tab_6_05_panel_results.csv`)*</w:t>
      </w:r>
    </w:p>
    <w:p>
      <w:pPr>
        <w:spacing w:line="276" w:lineRule="auto" w:after="120"/>
      </w:pPr>
      <w:r>
        <w:t>La tabla presenta los coeficientes del modelo preferido con errores estándar robustos a heterocedasticidad y autocorrelación de los residuos (errores de Driscoll-Kraay, que son válidos bajo dependencia transversal y temporal simultánea en paneles de series temporales).</w:t>
      </w:r>
    </w:p>
    <w:p>
      <w:pPr>
        <w:pStyle w:val="Heading3"/>
      </w:pPr>
      <w:r>
        <w:t>6.6.2 Coeficiente de inflación: ¿es el oro un *hedge* universal?</w:t>
      </w:r>
    </w:p>
    <w:p>
      <w:pPr>
        <w:spacing w:line="276" w:lineRule="auto" w:after="120"/>
      </w:pPr>
      <w:r>
        <w:t>El coeficiente $\hat{\beta}_1$ sobre la inflación local prueba si el oro protege contra la pérdida de poder adquisitivo en todas las economías del panel, más allá del caso específico estadounidense. Un $\hat{\beta}_1 &gt; 0$ estadísticamente significativo en el panel implicaría que el oro sí cumple una función de cobertura inflacionaria a escala global —aunque, como advirtieron Erb y Harvey (2013) en el contexto de series temporales, esta relación puede ser débil e inestable.</w:t>
      </w:r>
    </w:p>
    <w:p>
      <w:pPr>
        <w:spacing w:line="276" w:lineRule="auto" w:after="120"/>
      </w:pPr>
      <w:r>
        <w:t>La comparación entre el coeficiente de EF (que usa solo variación temporal *within* de cada economía) y el de EA (que también incorpora la variación *between* países) permite además separar si la relación oro-inflación es más un fenómeno de largo plazo estructural entre economías o un fenómeno de ajuste dinámico dentro de cada una.</w:t>
      </w:r>
    </w:p>
    <w:p>
      <w:pPr>
        <w:pStyle w:val="Heading3"/>
      </w:pPr>
      <w:r>
        <w:t>6.6.3 Coeficiente de tipos reales: universalidad del mecanismo de coste de oportunidad</w:t>
      </w:r>
    </w:p>
    <w:p>
      <w:pPr>
        <w:spacing w:line="276" w:lineRule="auto" w:after="120"/>
      </w:pPr>
      <w:r>
        <w:t>El coeficiente $\hat{\beta}_2$ sobre el tipo real local es la contraparte cross-country del hallazgo central del Capítulo 5. Si $\hat{\beta}_2 &lt; 0$ de forma consistente en todas las economías —confirmado tanto por EF como por EA— se establece que el mecanismo de coste de oportunidad opera universalmente: no es una idiosincrasia del mercado del Tesoro estadounidense, sino una propiedad estructural del oro como activo global sin rendimiento corriente.</w:t>
      </w:r>
    </w:p>
    <w:p>
      <w:pPr>
        <w:spacing w:line="276" w:lineRule="auto" w:after="120"/>
      </w:pPr>
      <w:r>
        <w:t>Una divergencia interesante a observar es la comparación entre Japón —cuya economía lleva décadas con tipos nominales próximos a cero y tipos reales que han variado menos que en EE.UU.— y los países anglosajones, donde la señal del tipo real ha sido históricamente más potente.</w:t>
      </w:r>
    </w:p>
    <w:p>
      <w:pPr>
        <w:pStyle w:val="Heading3"/>
      </w:pPr>
      <w:r>
        <w:t>6.6.4 Coeficiente del VIX: ¿refugio global o refugio occidental?</w:t>
      </w:r>
    </w:p>
    <w:p>
      <w:pPr>
        <w:spacing w:line="276" w:lineRule="auto" w:after="120"/>
      </w:pPr>
      <w:r>
        <w:t>El VIX es la única variable común a todas las economías del panel, lo que significa que su coeficiente captura el efecto promedio de la volatilidad financiera global sobre el retorno del oro en moneda local. Un $\hat{\beta}_3 &gt; 0$ confirmaría que el oro actúa como refugio no solo para inversores estadounidenses o europeos, sino también para los japoneses y británicos cuando los mercados globales entran en pánico.</w:t>
      </w:r>
    </w:p>
    <w:p>
      <w:pPr>
        <w:spacing w:line="276" w:lineRule="auto" w:after="120"/>
      </w:pPr>
      <w:r>
        <w:t>Este resultado conecta directamente con el debate de Baur y McDermott (2010) sobre la universalidad del *safe haven* del oro. En su muestra (1979-2009), el safe haven era robusto para EE.UU. y Europa pero no para BRIC. Este panel, con datos hasta 2024 y centrado en economías avanzadas, permite actualizar esa evidencia.</w:t>
      </w:r>
    </w:p>
    <w:p>
      <w:pPr>
        <w:pStyle w:val="Heading3"/>
      </w:pPr>
      <w:r>
        <w:t>6.6.5 Heterogeneidad no observada: ¿qué capturan los efectos individuales?</w:t>
      </w:r>
    </w:p>
    <w:p>
      <w:pPr>
        <w:spacing w:line="276" w:lineRule="auto" w:after="120"/>
      </w:pPr>
      <w:r>
        <w:t>Si el estimador de EF es el preferido por el test de Hausman, los efectos fijos estimados $\hat{\eta}_i$ revelan la heterogeneidad inobservable entre economías una vez controlado por las variables explicativas. Una economía con $\hat{\eta}_i &gt; 0$ exhibe retornos del oro sistemáticamente superiores a los de la muestra, *ceteris paribus*, lo que puede reflejar una demanda estructural de oro más elevada en esa economía (por razones culturales, históricas o de política de reservas) que las variables del modelo no capturan.</w:t>
      </w:r>
    </w:p>
    <w:p>
      <w:pPr>
        <w:pStyle w:val="Heading2"/>
      </w:pPr>
      <w:r>
        <w:t>6.7 Síntesis: ¿qué añade el análisis de panel?</w:t>
      </w:r>
    </w:p>
    <w:p>
      <w:pPr>
        <w:spacing w:line="276" w:lineRule="auto" w:after="120"/>
      </w:pPr>
      <w:r>
        <w:t>El análisis de panel de este capítulo complementa y extiende los resultados del Capítulo 5 en tres dimensiones:</w:t>
      </w:r>
    </w:p>
    <w:p>
      <w:pPr>
        <w:spacing w:line="276" w:lineRule="auto" w:after="120"/>
      </w:pPr>
      <w:r/>
      <w:r>
        <w:rPr>
          <w:b/>
        </w:rPr>
        <w:t>Primera:</w:t>
      </w:r>
      <w:r>
        <w:t xml:space="preserve"> Valida la </w:t>
      </w:r>
      <w:r>
        <w:rPr>
          <w:b/>
        </w:rPr>
        <w:t>universalidad</w:t>
      </w:r>
      <w:r>
        <w:t xml:space="preserve"> de los mecanismos identificados en el análisis de serie temporal. Si los coeficientes del tipo real y de la inflación tienen el signo teórico esperado y son estadísticamente significativos en las cuatro economías, los resultados del Capítulo 5 no son un artefacto de los datos estadounidenses sino una regularidad empírica de carácter general.</w:t>
      </w:r>
    </w:p>
    <w:p>
      <w:pPr>
        <w:spacing w:line="276" w:lineRule="auto" w:after="120"/>
      </w:pPr>
      <w:r/>
      <w:r>
        <w:rPr>
          <w:b/>
        </w:rPr>
        <w:t>Segunda:</w:t>
      </w:r>
      <w:r>
        <w:t xml:space="preserve"> Cuantifica la </w:t>
      </w:r>
      <w:r>
        <w:rPr>
          <w:b/>
        </w:rPr>
        <w:t>heterogeneidad inobservable</w:t>
      </w:r>
      <w:r>
        <w:t xml:space="preserve"> entre economías. Los efectos fijos (o la variación *between* en el modelo de EA) revelan que no todas las economías responden al oro de la misma forma, incluso controlando por inflación, tipos reales, VIX y renta variable. Esta heterogeneidad es informativa sobre los factores estructurales que la econometría de serie temporal no puede capturar por estar centrada en una única economía.</w:t>
      </w:r>
    </w:p>
    <w:p>
      <w:pPr>
        <w:spacing w:line="276" w:lineRule="auto" w:after="120"/>
      </w:pPr>
      <w:r/>
      <w:r>
        <w:rPr>
          <w:b/>
        </w:rPr>
        <w:t>Tercera:</w:t>
      </w:r>
      <w:r>
        <w:t xml:space="preserve"> Responde a la pregunta de investigación desde la perspectiva metodológica de los datos de panel, permitiendo explotar simultáneamente la variación temporal (2000-2024) y la variación cross-country (cuatro economías), con un marco estadístico que controla explícitamente por la heterogeneidad inobservable mediante el estimador de efectos fijos.</w:t>
      </w:r>
    </w:p>
    <w:p>
      <w:pPr>
        <w:pStyle w:val="Heading2"/>
      </w:pPr>
      <w:r>
        <w:t>Referencias de este capítulo</w:t>
      </w:r>
    </w:p>
    <w:p>
      <w:pPr>
        <w:spacing w:line="276" w:lineRule="auto" w:after="120"/>
      </w:pPr>
      <w:r>
        <w:t>- Baur, D. G., &amp; McDermott, T. K. (2010). Is gold a safe haven? International evidence. *Journal of Banking &amp; Finance, 34*(8), 1886–1898.</w:t>
      </w:r>
    </w:p>
    <w:p>
      <w:pPr>
        <w:spacing w:line="276" w:lineRule="auto" w:after="120"/>
      </w:pPr>
      <w:r>
        <w:t>- Erb, C. B., &amp; Harvey, C. R. (2013). The golden dilemma. *Financial Analysts Journal, 69*(4), 10–42.</w:t>
      </w:r>
    </w:p>
    <w:p>
      <w:pPr>
        <w:spacing w:line="276" w:lineRule="auto" w:after="120"/>
      </w:pPr>
      <w:r>
        <w:t>- Hausman, J. A. (1978). Specification tests in econometrics. *Econometrica, 46*(6), 1251–1271.</w:t>
      </w:r>
    </w:p>
    <w:p>
      <w:pPr>
        <w:spacing w:line="276" w:lineRule="auto" w:after="120"/>
      </w:pPr>
      <w:r>
        <w:t>- Wooldridge, J. M. (2007). *Introducción a la econometría: un enfoque moderno* (3.ª ed.). Thomson.</w:t>
      </w:r>
    </w:p>
    <w:p>
      <w:pPr>
        <w:spacing w:line="276" w:lineRule="auto" w:after="120"/>
      </w:pPr>
      <w:r>
        <w:t>- Driscoll, J. C., &amp; Kraay, A. C. (1998). Consistent covariance matrix estimation with spatially dependent panel data. *Review of Economics and Statistics, 80*(4), 549–560.</w:t>
      </w:r>
    </w:p>
    <w:p>
      <w:pPr>
        <w:spacing w:line="276" w:lineRule="auto" w:after="120"/>
      </w:pPr>
      <w:r>
        <w:t>- World Gold Council. (2023). *Gold Demand Trends: Full Year 2023.* World Gold Council.</w:t>
      </w:r>
    </w:p>
    <w:sectPr w:rsidR="00FC693F" w:rsidRPr="0006063C" w:rsidSect="00034616">
      <w:pgSz w:w="12240" w:h="15840"/>
      <w:pgMar w:top="1440" w:right="1729" w:bottom="1440" w:left="172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