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E410" w14:textId="77777777" w:rsidR="00292E4C" w:rsidRDefault="00B86CD7">
      <w:pPr>
        <w:pStyle w:val="Title"/>
        <w:jc w:val="center"/>
      </w:pPr>
      <w:r>
        <w:t>Triclopyr and Imazapyr in Timber Stand Improvement</w:t>
      </w:r>
    </w:p>
    <w:p w14:paraId="41C11E37" w14:textId="77777777" w:rsidR="00292E4C" w:rsidRDefault="00B86CD7">
      <w:pPr>
        <w:pStyle w:val="Subtitle"/>
        <w:jc w:val="center"/>
      </w:pPr>
      <w:r>
        <w:t>Common Formulations, Application Methods, Species-Level Considerations, and Practical Tradeoffs</w:t>
      </w:r>
    </w:p>
    <w:p w14:paraId="28B10D1B" w14:textId="77777777" w:rsidR="00292E4C" w:rsidRDefault="00B86CD7">
      <w:pPr>
        <w:jc w:val="center"/>
      </w:pPr>
      <w:r>
        <w:t>Research paper prepared for field reference</w:t>
      </w:r>
      <w:r>
        <w:br/>
        <w:t>March 12, 2026</w:t>
      </w:r>
    </w:p>
    <w:tbl>
      <w:tblPr>
        <w:tblW w:w="0" w:type="auto"/>
        <w:jc w:val="center"/>
        <w:tblLook w:val="04A0" w:firstRow="1" w:lastRow="0" w:firstColumn="1" w:lastColumn="0" w:noHBand="0" w:noVBand="1"/>
      </w:tblPr>
      <w:tblGrid>
        <w:gridCol w:w="9792"/>
      </w:tblGrid>
      <w:tr w:rsidR="00292E4C" w14:paraId="4DFA4274" w14:textId="77777777">
        <w:trPr>
          <w:jc w:val="center"/>
        </w:trPr>
        <w:tc>
          <w:tcPr>
            <w:tcW w:w="9792" w:type="dxa"/>
            <w:shd w:val="clear" w:color="auto" w:fill="EAF2F8"/>
            <w:tcMar>
              <w:top w:w="90" w:type="dxa"/>
              <w:left w:w="120" w:type="dxa"/>
              <w:bottom w:w="90" w:type="dxa"/>
              <w:right w:w="120" w:type="dxa"/>
            </w:tcMar>
            <w:vAlign w:val="center"/>
          </w:tcPr>
          <w:p w14:paraId="2B509894" w14:textId="77777777" w:rsidR="00292E4C" w:rsidRDefault="00B86CD7">
            <w:pPr>
              <w:spacing w:after="0"/>
            </w:pPr>
            <w:r>
              <w:rPr>
                <w:i/>
                <w:sz w:val="19"/>
              </w:rPr>
              <w:t>Important note: Herbicide labels govern legal use. Product labels, site conditions, state restrictions, and stewardship considerations always take precedence over general guidance in this paper.</w:t>
            </w:r>
          </w:p>
        </w:tc>
      </w:tr>
    </w:tbl>
    <w:p w14:paraId="14D42A12" w14:textId="77777777" w:rsidR="00292E4C" w:rsidRDefault="00B86CD7">
      <w:pPr>
        <w:pStyle w:val="Heading1"/>
      </w:pPr>
      <w:r>
        <w:t>Introduction</w:t>
      </w:r>
    </w:p>
    <w:p w14:paraId="2A5EA46B" w14:textId="77777777" w:rsidR="00292E4C" w:rsidRDefault="00B86CD7">
      <w:r>
        <w:t>Triclopyr and imazapyr are among the most common herbicides used in individual stem treatments for timber stand improvement (TSI). In practice, their use is shaped less by one universal mix and more by the treatment method, stem size, season, target species, and tolerance for non-target risk. Forestry guidance consistently shows a broad pattern: oil-based triclopyr ester mixtures dominate basal bark work, while water-based imazapyr and triclopyr amine mixtures are common for hack-and-squirt, injection, gird</w:t>
      </w:r>
      <w:r>
        <w:t>le-and-spray, and fresh cut-stump treatments [1][2][3][4].</w:t>
      </w:r>
    </w:p>
    <w:p w14:paraId="0BD67956" w14:textId="77777777" w:rsidR="00292E4C" w:rsidRDefault="00B86CD7">
      <w:r>
        <w:t>Landowners and foresters often discuss triclopyr and imazapyr as though they are interchangeable. They are not. Triclopyr is generally preferred where selectivity around desirable crop trees matters most because it has much less soil activity than imazapyr. Imazapyr, by contrast, often broadens the spectrum of control and improves performance on difficult species, but it also increases the potential for non-target injury through soil or root uptake [2][5][6].</w:t>
      </w:r>
    </w:p>
    <w:p w14:paraId="3DF99143" w14:textId="77777777" w:rsidR="00292E4C" w:rsidRDefault="00B86CD7">
      <w:r>
        <w:t>This paper summarizes the most common formulation and carrier combinations used in TSI, explains why water or basal oil is chosen for each method, compares the operational pros and cons of each combination, and adds a species-by-species recommendation table for common southeastern hardwoods. The intent is practical decision support rather than a substitute for the herbicide label.</w:t>
      </w:r>
    </w:p>
    <w:p w14:paraId="2A4699F2" w14:textId="77777777" w:rsidR="00292E4C" w:rsidRDefault="00B86CD7">
      <w:pPr>
        <w:pStyle w:val="Heading1"/>
      </w:pPr>
      <w:r>
        <w:t>How Carrier Choice Changes the Treatment</w:t>
      </w:r>
    </w:p>
    <w:p w14:paraId="718CB440" w14:textId="77777777" w:rsidR="00292E4C" w:rsidRDefault="00B86CD7">
      <w:r>
        <w:t>Carrier choice is not just a convenience decision. It is usually determined by the herbicide formulation and the way the herbicide must enter the plant. Basal oil is favored when the herbicide must penetrate intact bark or partially dried tissue, which is why oil-based mixes dominate basal bark and delayed cut-stump work. Water is favored when the herbicide is being placed directly into exposed cambium or sapwood, which is why water-based solutions are common for hack-and-squirt, injection, girdle-and-spray</w:t>
      </w:r>
      <w:r>
        <w:t>, and fresh cut-stump applications [2][3][4][7].</w:t>
      </w:r>
    </w:p>
    <w:p w14:paraId="3DEBE533" w14:textId="77777777" w:rsidR="00292E4C" w:rsidRDefault="00B86CD7">
      <w:r>
        <w:t>Within that framework, triclopyr ester is the classic choice for oil-based bark penetration, triclopyr amine is commonly used in water-based cut-surface treatments, and imazapyr is widely used in water for injection style treatments but can also be used in low-volume basal bark treatments when the label allows [2][3][5].</w:t>
      </w:r>
    </w:p>
    <w:p w14:paraId="1DC4A960" w14:textId="77777777" w:rsidR="00292E4C" w:rsidRDefault="00B86CD7">
      <w:pPr>
        <w:pStyle w:val="Heading1"/>
      </w:pPr>
      <w:r>
        <w:lastRenderedPageBreak/>
        <w:t>Common Formulations and Combinations in Timber Stand Improvement</w:t>
      </w:r>
    </w:p>
    <w:p w14:paraId="1CA2852B" w14:textId="77777777" w:rsidR="00292E4C" w:rsidRDefault="00B86CD7">
      <w:pPr>
        <w:pStyle w:val="Heading2"/>
      </w:pPr>
      <w:r>
        <w:t>1. Triclopyr ester plus basal oil</w:t>
      </w:r>
    </w:p>
    <w:p w14:paraId="21DB8C6D" w14:textId="77777777" w:rsidR="00292E4C" w:rsidRDefault="00B86CD7">
      <w:r>
        <w:t>This is the classic basal bark combination for small to medium unwanted hardwood stems. It is common because the ester formulation penetrates bark well when carried in basal oil. Forestry and extension guidance repeatedly describe triclopyr ester in oil as a workhorse treatment for basal bark, dormant stem treatment, and some basal cut-stump work [4][7].</w:t>
      </w:r>
    </w:p>
    <w:p w14:paraId="7EA70836" w14:textId="77777777" w:rsidR="00292E4C" w:rsidRDefault="00B86CD7">
      <w:r>
        <w:t>Its main strengths are dependable bark penetration, operational simplicity in dense understories, and lower risk to nearby desirable trees compared with imazapyr-heavy options. Its limitations are that it is messier to handle than water-based mixes, requires an oil carrier, and may be less effective on certain species or root sprouters than a triclopyr plus imazapyr mixture [5][8].</w:t>
      </w:r>
    </w:p>
    <w:p w14:paraId="68F2FEEB" w14:textId="77777777" w:rsidR="00292E4C" w:rsidRDefault="00B86CD7">
      <w:pPr>
        <w:pStyle w:val="Heading2"/>
      </w:pPr>
      <w:r>
        <w:t>2. Triclopyr ester plus a low percentage of imazapyr plus basal oil</w:t>
      </w:r>
    </w:p>
    <w:p w14:paraId="4D2A6E96" w14:textId="77777777" w:rsidR="00292E4C" w:rsidRDefault="00B86CD7">
      <w:r>
        <w:t>This is a common enhanced basal bark approach where managers want the bark penetration of triclopyr ester plus broader efficacy from imazapyr. Current imazapyr labels for low-volume basal bark explicitly note that imazapyr at about 3 to 5 percent can be tank mixed with Triclopyr 4 or other basal products to broaden the spectrum of control, provided compatibility is managed correctly [2].</w:t>
      </w:r>
    </w:p>
    <w:p w14:paraId="6FE15BF0" w14:textId="77777777" w:rsidR="00292E4C" w:rsidRDefault="00B86CD7">
      <w:r>
        <w:t>The practical benefit is broader control in mixed stands, especially where stem-by-stem species sorting is not efficient. The practical drawback is that imazapyr adds soil activity and therefore increases concern about non-target effects around desirable crop trees, shared root zones, and closely spaced stems [2][5].</w:t>
      </w:r>
    </w:p>
    <w:p w14:paraId="3390F229" w14:textId="77777777" w:rsidR="00292E4C" w:rsidRDefault="00B86CD7">
      <w:pPr>
        <w:pStyle w:val="Heading2"/>
      </w:pPr>
      <w:r>
        <w:t>3. Imazapyr in water for hack-and-squirt, injection, or girdle-and-spray</w:t>
      </w:r>
    </w:p>
    <w:p w14:paraId="5AA6DEFE" w14:textId="77777777" w:rsidR="00292E4C" w:rsidRDefault="00B86CD7">
      <w:r>
        <w:t>For larger stems, imazapyr in water is a standard option for hack-and-squirt or related injection treatments. Extension publications describe individual stem treatment as especially useful once stems are too large for easy basal treatment and note that injection style treatments can be highly effective across many hardwood species when properly timed and placed [3][6].</w:t>
      </w:r>
    </w:p>
    <w:p w14:paraId="4EC596C8" w14:textId="77777777" w:rsidR="00292E4C" w:rsidRDefault="00B86CD7">
      <w:r>
        <w:t>This combination is operationally clean and often efficient for larger cull trees because the herbicide is placed directly into the cut. The tradeoff is that imazapyr is soil active, so practitioners must be more careful near desirable trees and around species that may share root systems [5][6].</w:t>
      </w:r>
    </w:p>
    <w:p w14:paraId="0D364EB3" w14:textId="77777777" w:rsidR="00292E4C" w:rsidRDefault="00B86CD7">
      <w:pPr>
        <w:pStyle w:val="Heading2"/>
      </w:pPr>
      <w:r>
        <w:t>4. Water-based triclopyr amine or imazapyr for fresh cut stumps</w:t>
      </w:r>
    </w:p>
    <w:p w14:paraId="7775ECE9" w14:textId="77777777" w:rsidR="00292E4C" w:rsidRDefault="00B86CD7">
      <w:r>
        <w:t>Fresh cut-stump treatments are commonly water based because the herbicide is applied directly to the exposed cambium and outer sapwood immediately after cutting. Extension guidance consistently emphasizes that water-based cut-stump treatments are most effective when applied immediately after cutting and are particularly well suited when the stand is already being thinned with saw work [9].</w:t>
      </w:r>
    </w:p>
    <w:p w14:paraId="020E9638" w14:textId="77777777" w:rsidR="00292E4C" w:rsidRDefault="00B86CD7">
      <w:r>
        <w:t>The advantages are a cleaner mix, lower carrier cost, and good efficacy when timing is right. The limitation is that treatment delay reduces performance, and imazapyr-based treatments still require caution where nearby desirable stems could be affected [2][9].</w:t>
      </w:r>
    </w:p>
    <w:p w14:paraId="04A5814B" w14:textId="77777777" w:rsidR="00292E4C" w:rsidRDefault="00B86CD7">
      <w:pPr>
        <w:pStyle w:val="Heading2"/>
      </w:pPr>
      <w:r>
        <w:t>5. Oil-based delayed cut-stump or basal cut-stump treatments</w:t>
      </w:r>
    </w:p>
    <w:p w14:paraId="5C5DCE66" w14:textId="77777777" w:rsidR="00292E4C" w:rsidRDefault="00B86CD7">
      <w:r>
        <w:t>When stumps cannot be treated immediately, or when the applicator intends to wet the stump collar and bark zone, oil-based treatments regain value because the carrier improves penetration into bark and partially drying tissues. This approach is common in field practice where cutting and treating are not perfectly synchronized [7].</w:t>
      </w:r>
    </w:p>
    <w:p w14:paraId="15C3F9B6" w14:textId="77777777" w:rsidR="00292E4C" w:rsidRDefault="00B86CD7">
      <w:r>
        <w:lastRenderedPageBreak/>
        <w:t>These treatments are more forgiving than water-only mixtures on older cut surfaces, but they are also messier and more expensive. As with other oil-based approaches, adding imazapyr broadens control at the cost of more non-target concern [2][7].</w:t>
      </w:r>
    </w:p>
    <w:p w14:paraId="1A4F7D6E" w14:textId="77777777" w:rsidR="00292E4C" w:rsidRDefault="00B86CD7">
      <w:pPr>
        <w:pStyle w:val="Heading1"/>
      </w:pPr>
      <w:r>
        <w:t>Field Comparison Table</w:t>
      </w:r>
    </w:p>
    <w:tbl>
      <w:tblPr>
        <w:tblStyle w:val="TableGrid"/>
        <w:tblW w:w="0" w:type="auto"/>
        <w:jc w:val="center"/>
        <w:tblLook w:val="04A0" w:firstRow="1" w:lastRow="0" w:firstColumn="1" w:lastColumn="0" w:noHBand="0" w:noVBand="1"/>
      </w:tblPr>
      <w:tblGrid>
        <w:gridCol w:w="1353"/>
        <w:gridCol w:w="1888"/>
        <w:gridCol w:w="1229"/>
        <w:gridCol w:w="1694"/>
        <w:gridCol w:w="1960"/>
        <w:gridCol w:w="1868"/>
      </w:tblGrid>
      <w:tr w:rsidR="00292E4C" w14:paraId="3E55BE05" w14:textId="77777777">
        <w:trPr>
          <w:tblHeader/>
          <w:jc w:val="center"/>
        </w:trPr>
        <w:tc>
          <w:tcPr>
            <w:tcW w:w="1440" w:type="dxa"/>
            <w:shd w:val="clear" w:color="auto" w:fill="D9EAF7"/>
            <w:tcMar>
              <w:top w:w="80" w:type="dxa"/>
              <w:left w:w="100" w:type="dxa"/>
              <w:bottom w:w="80" w:type="dxa"/>
              <w:right w:w="100" w:type="dxa"/>
            </w:tcMar>
            <w:vAlign w:val="center"/>
          </w:tcPr>
          <w:p w14:paraId="768BB548" w14:textId="77777777" w:rsidR="00292E4C" w:rsidRDefault="00B86CD7">
            <w:r>
              <w:rPr>
                <w:b/>
                <w:sz w:val="19"/>
              </w:rPr>
              <w:t>Treatment method</w:t>
            </w:r>
          </w:p>
        </w:tc>
        <w:tc>
          <w:tcPr>
            <w:tcW w:w="2088" w:type="dxa"/>
            <w:shd w:val="clear" w:color="auto" w:fill="D9EAF7"/>
            <w:tcMar>
              <w:top w:w="80" w:type="dxa"/>
              <w:left w:w="100" w:type="dxa"/>
              <w:bottom w:w="80" w:type="dxa"/>
              <w:right w:w="100" w:type="dxa"/>
            </w:tcMar>
            <w:vAlign w:val="center"/>
          </w:tcPr>
          <w:p w14:paraId="68B68091" w14:textId="77777777" w:rsidR="00292E4C" w:rsidRDefault="00B86CD7">
            <w:r>
              <w:rPr>
                <w:b/>
                <w:sz w:val="19"/>
              </w:rPr>
              <w:t>Common formulation / combination</w:t>
            </w:r>
          </w:p>
        </w:tc>
        <w:tc>
          <w:tcPr>
            <w:tcW w:w="1368" w:type="dxa"/>
            <w:shd w:val="clear" w:color="auto" w:fill="D9EAF7"/>
            <w:tcMar>
              <w:top w:w="80" w:type="dxa"/>
              <w:left w:w="100" w:type="dxa"/>
              <w:bottom w:w="80" w:type="dxa"/>
              <w:right w:w="100" w:type="dxa"/>
            </w:tcMar>
            <w:vAlign w:val="center"/>
          </w:tcPr>
          <w:p w14:paraId="3C6F2CCB" w14:textId="77777777" w:rsidR="00292E4C" w:rsidRDefault="00B86CD7">
            <w:r>
              <w:rPr>
                <w:b/>
                <w:sz w:val="19"/>
              </w:rPr>
              <w:t>Typical carrier</w:t>
            </w:r>
          </w:p>
        </w:tc>
        <w:tc>
          <w:tcPr>
            <w:tcW w:w="1872" w:type="dxa"/>
            <w:shd w:val="clear" w:color="auto" w:fill="D9EAF7"/>
            <w:tcMar>
              <w:top w:w="80" w:type="dxa"/>
              <w:left w:w="100" w:type="dxa"/>
              <w:bottom w:w="80" w:type="dxa"/>
              <w:right w:w="100" w:type="dxa"/>
            </w:tcMar>
            <w:vAlign w:val="center"/>
          </w:tcPr>
          <w:p w14:paraId="101633BA" w14:textId="77777777" w:rsidR="00292E4C" w:rsidRDefault="00B86CD7">
            <w:r>
              <w:rPr>
                <w:b/>
                <w:sz w:val="19"/>
              </w:rPr>
              <w:t>Best fit</w:t>
            </w:r>
          </w:p>
        </w:tc>
        <w:tc>
          <w:tcPr>
            <w:tcW w:w="2232" w:type="dxa"/>
            <w:shd w:val="clear" w:color="auto" w:fill="D9EAF7"/>
            <w:tcMar>
              <w:top w:w="80" w:type="dxa"/>
              <w:left w:w="100" w:type="dxa"/>
              <w:bottom w:w="80" w:type="dxa"/>
              <w:right w:w="100" w:type="dxa"/>
            </w:tcMar>
            <w:vAlign w:val="center"/>
          </w:tcPr>
          <w:p w14:paraId="3ECB2117" w14:textId="77777777" w:rsidR="00292E4C" w:rsidRDefault="00B86CD7">
            <w:r>
              <w:rPr>
                <w:b/>
                <w:sz w:val="19"/>
              </w:rPr>
              <w:t>Main pros</w:t>
            </w:r>
          </w:p>
        </w:tc>
        <w:tc>
          <w:tcPr>
            <w:tcW w:w="2088" w:type="dxa"/>
            <w:shd w:val="clear" w:color="auto" w:fill="D9EAF7"/>
            <w:tcMar>
              <w:top w:w="80" w:type="dxa"/>
              <w:left w:w="100" w:type="dxa"/>
              <w:bottom w:w="80" w:type="dxa"/>
              <w:right w:w="100" w:type="dxa"/>
            </w:tcMar>
            <w:vAlign w:val="center"/>
          </w:tcPr>
          <w:p w14:paraId="11C143E1" w14:textId="77777777" w:rsidR="00292E4C" w:rsidRDefault="00B86CD7">
            <w:r>
              <w:rPr>
                <w:b/>
                <w:sz w:val="19"/>
              </w:rPr>
              <w:t>Main cons</w:t>
            </w:r>
          </w:p>
        </w:tc>
      </w:tr>
      <w:tr w:rsidR="00292E4C" w14:paraId="652DD2AF" w14:textId="77777777">
        <w:trPr>
          <w:jc w:val="center"/>
        </w:trPr>
        <w:tc>
          <w:tcPr>
            <w:tcW w:w="1440" w:type="dxa"/>
            <w:tcMar>
              <w:top w:w="80" w:type="dxa"/>
              <w:left w:w="100" w:type="dxa"/>
              <w:bottom w:w="80" w:type="dxa"/>
              <w:right w:w="100" w:type="dxa"/>
            </w:tcMar>
            <w:vAlign w:val="center"/>
          </w:tcPr>
          <w:p w14:paraId="7A6790E4" w14:textId="77777777" w:rsidR="00292E4C" w:rsidRDefault="00B86CD7">
            <w:r>
              <w:rPr>
                <w:sz w:val="18"/>
              </w:rPr>
              <w:t>Basal bark</w:t>
            </w:r>
          </w:p>
        </w:tc>
        <w:tc>
          <w:tcPr>
            <w:tcW w:w="2088" w:type="dxa"/>
            <w:tcMar>
              <w:top w:w="80" w:type="dxa"/>
              <w:left w:w="100" w:type="dxa"/>
              <w:bottom w:w="80" w:type="dxa"/>
              <w:right w:w="100" w:type="dxa"/>
            </w:tcMar>
            <w:vAlign w:val="center"/>
          </w:tcPr>
          <w:p w14:paraId="722E7B2D" w14:textId="77777777" w:rsidR="00292E4C" w:rsidRDefault="00B86CD7">
            <w:r>
              <w:rPr>
                <w:sz w:val="18"/>
              </w:rPr>
              <w:t>Triclopyr ester alone</w:t>
            </w:r>
          </w:p>
        </w:tc>
        <w:tc>
          <w:tcPr>
            <w:tcW w:w="1368" w:type="dxa"/>
            <w:tcMar>
              <w:top w:w="80" w:type="dxa"/>
              <w:left w:w="100" w:type="dxa"/>
              <w:bottom w:w="80" w:type="dxa"/>
              <w:right w:w="100" w:type="dxa"/>
            </w:tcMar>
            <w:vAlign w:val="center"/>
          </w:tcPr>
          <w:p w14:paraId="7C387364" w14:textId="77777777" w:rsidR="00292E4C" w:rsidRDefault="00B86CD7">
            <w:r>
              <w:rPr>
                <w:sz w:val="18"/>
              </w:rPr>
              <w:t>Basal oil</w:t>
            </w:r>
          </w:p>
        </w:tc>
        <w:tc>
          <w:tcPr>
            <w:tcW w:w="1872" w:type="dxa"/>
            <w:tcMar>
              <w:top w:w="80" w:type="dxa"/>
              <w:left w:w="100" w:type="dxa"/>
              <w:bottom w:w="80" w:type="dxa"/>
              <w:right w:w="100" w:type="dxa"/>
            </w:tcMar>
            <w:vAlign w:val="center"/>
          </w:tcPr>
          <w:p w14:paraId="1CAFC1E2" w14:textId="77777777" w:rsidR="00292E4C" w:rsidRDefault="00B86CD7">
            <w:r>
              <w:rPr>
                <w:sz w:val="18"/>
              </w:rPr>
              <w:t>Small to medium hardwood stems, often dormant season</w:t>
            </w:r>
          </w:p>
        </w:tc>
        <w:tc>
          <w:tcPr>
            <w:tcW w:w="2232" w:type="dxa"/>
            <w:tcMar>
              <w:top w:w="80" w:type="dxa"/>
              <w:left w:w="100" w:type="dxa"/>
              <w:bottom w:w="80" w:type="dxa"/>
              <w:right w:w="100" w:type="dxa"/>
            </w:tcMar>
            <w:vAlign w:val="center"/>
          </w:tcPr>
          <w:p w14:paraId="1DADCD00" w14:textId="77777777" w:rsidR="00292E4C" w:rsidRDefault="00B86CD7">
            <w:r>
              <w:rPr>
                <w:sz w:val="18"/>
              </w:rPr>
              <w:t>Excellent bark penetration; limited soil activity relative to imazapyr; dependable around crop trees</w:t>
            </w:r>
          </w:p>
        </w:tc>
        <w:tc>
          <w:tcPr>
            <w:tcW w:w="2088" w:type="dxa"/>
            <w:tcMar>
              <w:top w:w="80" w:type="dxa"/>
              <w:left w:w="100" w:type="dxa"/>
              <w:bottom w:w="80" w:type="dxa"/>
              <w:right w:w="100" w:type="dxa"/>
            </w:tcMar>
            <w:vAlign w:val="center"/>
          </w:tcPr>
          <w:p w14:paraId="2F9E40EF" w14:textId="77777777" w:rsidR="00292E4C" w:rsidRDefault="00B86CD7">
            <w:r>
              <w:rPr>
                <w:sz w:val="18"/>
              </w:rPr>
              <w:t>Messier than water mixes; not ideal for larger stems</w:t>
            </w:r>
          </w:p>
        </w:tc>
      </w:tr>
      <w:tr w:rsidR="00292E4C" w14:paraId="7BCD25FF" w14:textId="77777777">
        <w:trPr>
          <w:jc w:val="center"/>
        </w:trPr>
        <w:tc>
          <w:tcPr>
            <w:tcW w:w="1440" w:type="dxa"/>
            <w:tcMar>
              <w:top w:w="80" w:type="dxa"/>
              <w:left w:w="100" w:type="dxa"/>
              <w:bottom w:w="80" w:type="dxa"/>
              <w:right w:w="100" w:type="dxa"/>
            </w:tcMar>
            <w:vAlign w:val="center"/>
          </w:tcPr>
          <w:p w14:paraId="29F876D1" w14:textId="77777777" w:rsidR="00292E4C" w:rsidRDefault="00B86CD7">
            <w:r>
              <w:rPr>
                <w:sz w:val="18"/>
              </w:rPr>
              <w:t>Basal bark</w:t>
            </w:r>
          </w:p>
        </w:tc>
        <w:tc>
          <w:tcPr>
            <w:tcW w:w="2088" w:type="dxa"/>
            <w:tcMar>
              <w:top w:w="80" w:type="dxa"/>
              <w:left w:w="100" w:type="dxa"/>
              <w:bottom w:w="80" w:type="dxa"/>
              <w:right w:w="100" w:type="dxa"/>
            </w:tcMar>
            <w:vAlign w:val="center"/>
          </w:tcPr>
          <w:p w14:paraId="3BF2F157" w14:textId="77777777" w:rsidR="00292E4C" w:rsidRDefault="00B86CD7">
            <w:r>
              <w:rPr>
                <w:sz w:val="18"/>
              </w:rPr>
              <w:t>Triclopyr ester plus low-rate imazapyr</w:t>
            </w:r>
          </w:p>
        </w:tc>
        <w:tc>
          <w:tcPr>
            <w:tcW w:w="1368" w:type="dxa"/>
            <w:tcMar>
              <w:top w:w="80" w:type="dxa"/>
              <w:left w:w="100" w:type="dxa"/>
              <w:bottom w:w="80" w:type="dxa"/>
              <w:right w:w="100" w:type="dxa"/>
            </w:tcMar>
            <w:vAlign w:val="center"/>
          </w:tcPr>
          <w:p w14:paraId="72216008" w14:textId="77777777" w:rsidR="00292E4C" w:rsidRDefault="00B86CD7">
            <w:r>
              <w:rPr>
                <w:sz w:val="18"/>
              </w:rPr>
              <w:t>Basal oil</w:t>
            </w:r>
          </w:p>
        </w:tc>
        <w:tc>
          <w:tcPr>
            <w:tcW w:w="1872" w:type="dxa"/>
            <w:tcMar>
              <w:top w:w="80" w:type="dxa"/>
              <w:left w:w="100" w:type="dxa"/>
              <w:bottom w:w="80" w:type="dxa"/>
              <w:right w:w="100" w:type="dxa"/>
            </w:tcMar>
            <w:vAlign w:val="center"/>
          </w:tcPr>
          <w:p w14:paraId="056E136A" w14:textId="77777777" w:rsidR="00292E4C" w:rsidRDefault="00B86CD7">
            <w:r>
              <w:rPr>
                <w:sz w:val="18"/>
              </w:rPr>
              <w:t>Mixed stands where broader control is needed</w:t>
            </w:r>
          </w:p>
        </w:tc>
        <w:tc>
          <w:tcPr>
            <w:tcW w:w="2232" w:type="dxa"/>
            <w:tcMar>
              <w:top w:w="80" w:type="dxa"/>
              <w:left w:w="100" w:type="dxa"/>
              <w:bottom w:w="80" w:type="dxa"/>
              <w:right w:w="100" w:type="dxa"/>
            </w:tcMar>
            <w:vAlign w:val="center"/>
          </w:tcPr>
          <w:p w14:paraId="6AEB6A66" w14:textId="77777777" w:rsidR="00292E4C" w:rsidRDefault="00B86CD7">
            <w:r>
              <w:rPr>
                <w:sz w:val="18"/>
              </w:rPr>
              <w:t>Broader control spectrum; stronger on some difficult species</w:t>
            </w:r>
          </w:p>
        </w:tc>
        <w:tc>
          <w:tcPr>
            <w:tcW w:w="2088" w:type="dxa"/>
            <w:tcMar>
              <w:top w:w="80" w:type="dxa"/>
              <w:left w:w="100" w:type="dxa"/>
              <w:bottom w:w="80" w:type="dxa"/>
              <w:right w:w="100" w:type="dxa"/>
            </w:tcMar>
            <w:vAlign w:val="center"/>
          </w:tcPr>
          <w:p w14:paraId="645DC14A" w14:textId="77777777" w:rsidR="00292E4C" w:rsidRDefault="00B86CD7">
            <w:r>
              <w:rPr>
                <w:sz w:val="18"/>
              </w:rPr>
              <w:t>Higher non-target risk because imazapyr has soil activity; compatibility matters</w:t>
            </w:r>
          </w:p>
        </w:tc>
      </w:tr>
      <w:tr w:rsidR="00292E4C" w14:paraId="5721C57B" w14:textId="77777777">
        <w:trPr>
          <w:jc w:val="center"/>
        </w:trPr>
        <w:tc>
          <w:tcPr>
            <w:tcW w:w="1440" w:type="dxa"/>
            <w:tcMar>
              <w:top w:w="80" w:type="dxa"/>
              <w:left w:w="100" w:type="dxa"/>
              <w:bottom w:w="80" w:type="dxa"/>
              <w:right w:w="100" w:type="dxa"/>
            </w:tcMar>
            <w:vAlign w:val="center"/>
          </w:tcPr>
          <w:p w14:paraId="083799FB" w14:textId="77777777" w:rsidR="00292E4C" w:rsidRDefault="00B86CD7">
            <w:r>
              <w:rPr>
                <w:sz w:val="18"/>
              </w:rPr>
              <w:t>Hack-and-squirt / injection</w:t>
            </w:r>
          </w:p>
        </w:tc>
        <w:tc>
          <w:tcPr>
            <w:tcW w:w="2088" w:type="dxa"/>
            <w:tcMar>
              <w:top w:w="80" w:type="dxa"/>
              <w:left w:w="100" w:type="dxa"/>
              <w:bottom w:w="80" w:type="dxa"/>
              <w:right w:w="100" w:type="dxa"/>
            </w:tcMar>
            <w:vAlign w:val="center"/>
          </w:tcPr>
          <w:p w14:paraId="581AECDA" w14:textId="77777777" w:rsidR="00292E4C" w:rsidRDefault="00B86CD7">
            <w:r>
              <w:rPr>
                <w:sz w:val="18"/>
              </w:rPr>
              <w:t>Imazapyr alone</w:t>
            </w:r>
          </w:p>
        </w:tc>
        <w:tc>
          <w:tcPr>
            <w:tcW w:w="1368" w:type="dxa"/>
            <w:tcMar>
              <w:top w:w="80" w:type="dxa"/>
              <w:left w:w="100" w:type="dxa"/>
              <w:bottom w:w="80" w:type="dxa"/>
              <w:right w:w="100" w:type="dxa"/>
            </w:tcMar>
            <w:vAlign w:val="center"/>
          </w:tcPr>
          <w:p w14:paraId="1BFD49A7" w14:textId="77777777" w:rsidR="00292E4C" w:rsidRDefault="00B86CD7">
            <w:r>
              <w:rPr>
                <w:sz w:val="18"/>
              </w:rPr>
              <w:t>Water</w:t>
            </w:r>
          </w:p>
        </w:tc>
        <w:tc>
          <w:tcPr>
            <w:tcW w:w="1872" w:type="dxa"/>
            <w:tcMar>
              <w:top w:w="80" w:type="dxa"/>
              <w:left w:w="100" w:type="dxa"/>
              <w:bottom w:w="80" w:type="dxa"/>
              <w:right w:w="100" w:type="dxa"/>
            </w:tcMar>
            <w:vAlign w:val="center"/>
          </w:tcPr>
          <w:p w14:paraId="5EFF5911" w14:textId="77777777" w:rsidR="00292E4C" w:rsidRDefault="00B86CD7">
            <w:r>
              <w:rPr>
                <w:sz w:val="18"/>
              </w:rPr>
              <w:t>Larger cull trees where standing kill is preferred</w:t>
            </w:r>
          </w:p>
        </w:tc>
        <w:tc>
          <w:tcPr>
            <w:tcW w:w="2232" w:type="dxa"/>
            <w:tcMar>
              <w:top w:w="80" w:type="dxa"/>
              <w:left w:w="100" w:type="dxa"/>
              <w:bottom w:w="80" w:type="dxa"/>
              <w:right w:w="100" w:type="dxa"/>
            </w:tcMar>
            <w:vAlign w:val="center"/>
          </w:tcPr>
          <w:p w14:paraId="0508D35F" w14:textId="77777777" w:rsidR="00292E4C" w:rsidRDefault="00B86CD7">
            <w:r>
              <w:rPr>
                <w:sz w:val="18"/>
              </w:rPr>
              <w:t>Very effective on many hardwoods; direct placement; no oil needed</w:t>
            </w:r>
          </w:p>
        </w:tc>
        <w:tc>
          <w:tcPr>
            <w:tcW w:w="2088" w:type="dxa"/>
            <w:tcMar>
              <w:top w:w="80" w:type="dxa"/>
              <w:left w:w="100" w:type="dxa"/>
              <w:bottom w:w="80" w:type="dxa"/>
              <w:right w:w="100" w:type="dxa"/>
            </w:tcMar>
            <w:vAlign w:val="center"/>
          </w:tcPr>
          <w:p w14:paraId="3EA19018" w14:textId="77777777" w:rsidR="00292E4C" w:rsidRDefault="00B86CD7">
            <w:r>
              <w:rPr>
                <w:sz w:val="18"/>
              </w:rPr>
              <w:t>More concern about soil or root uptake near desirable trees</w:t>
            </w:r>
          </w:p>
        </w:tc>
      </w:tr>
      <w:tr w:rsidR="00292E4C" w14:paraId="7A35563A" w14:textId="77777777">
        <w:trPr>
          <w:jc w:val="center"/>
        </w:trPr>
        <w:tc>
          <w:tcPr>
            <w:tcW w:w="1440" w:type="dxa"/>
            <w:tcMar>
              <w:top w:w="80" w:type="dxa"/>
              <w:left w:w="100" w:type="dxa"/>
              <w:bottom w:w="80" w:type="dxa"/>
              <w:right w:w="100" w:type="dxa"/>
            </w:tcMar>
            <w:vAlign w:val="center"/>
          </w:tcPr>
          <w:p w14:paraId="45A1D494" w14:textId="77777777" w:rsidR="00292E4C" w:rsidRDefault="00B86CD7">
            <w:r>
              <w:rPr>
                <w:sz w:val="18"/>
              </w:rPr>
              <w:t>Hack-and-squirt / injection</w:t>
            </w:r>
          </w:p>
        </w:tc>
        <w:tc>
          <w:tcPr>
            <w:tcW w:w="2088" w:type="dxa"/>
            <w:tcMar>
              <w:top w:w="80" w:type="dxa"/>
              <w:left w:w="100" w:type="dxa"/>
              <w:bottom w:w="80" w:type="dxa"/>
              <w:right w:w="100" w:type="dxa"/>
            </w:tcMar>
            <w:vAlign w:val="center"/>
          </w:tcPr>
          <w:p w14:paraId="6C6503E2" w14:textId="77777777" w:rsidR="00292E4C" w:rsidRDefault="00B86CD7">
            <w:r>
              <w:rPr>
                <w:sz w:val="18"/>
              </w:rPr>
              <w:t>Triclopyr amine alone</w:t>
            </w:r>
          </w:p>
        </w:tc>
        <w:tc>
          <w:tcPr>
            <w:tcW w:w="1368" w:type="dxa"/>
            <w:tcMar>
              <w:top w:w="80" w:type="dxa"/>
              <w:left w:w="100" w:type="dxa"/>
              <w:bottom w:w="80" w:type="dxa"/>
              <w:right w:w="100" w:type="dxa"/>
            </w:tcMar>
            <w:vAlign w:val="center"/>
          </w:tcPr>
          <w:p w14:paraId="7A52F84C" w14:textId="77777777" w:rsidR="00292E4C" w:rsidRDefault="00B86CD7">
            <w:r>
              <w:rPr>
                <w:sz w:val="18"/>
              </w:rPr>
              <w:t>Water</w:t>
            </w:r>
          </w:p>
        </w:tc>
        <w:tc>
          <w:tcPr>
            <w:tcW w:w="1872" w:type="dxa"/>
            <w:tcMar>
              <w:top w:w="80" w:type="dxa"/>
              <w:left w:w="100" w:type="dxa"/>
              <w:bottom w:w="80" w:type="dxa"/>
              <w:right w:w="100" w:type="dxa"/>
            </w:tcMar>
            <w:vAlign w:val="center"/>
          </w:tcPr>
          <w:p w14:paraId="5C0C7DE9" w14:textId="77777777" w:rsidR="00292E4C" w:rsidRDefault="00B86CD7">
            <w:r>
              <w:rPr>
                <w:sz w:val="18"/>
              </w:rPr>
              <w:t>Larger stems near desirable trees where lower soil activity is preferred</w:t>
            </w:r>
          </w:p>
        </w:tc>
        <w:tc>
          <w:tcPr>
            <w:tcW w:w="2232" w:type="dxa"/>
            <w:tcMar>
              <w:top w:w="80" w:type="dxa"/>
              <w:left w:w="100" w:type="dxa"/>
              <w:bottom w:w="80" w:type="dxa"/>
              <w:right w:w="100" w:type="dxa"/>
            </w:tcMar>
            <w:vAlign w:val="center"/>
          </w:tcPr>
          <w:p w14:paraId="664728B0" w14:textId="77777777" w:rsidR="00292E4C" w:rsidRDefault="00B86CD7">
            <w:r>
              <w:rPr>
                <w:sz w:val="18"/>
              </w:rPr>
              <w:t>Less soil residual concern than imazapyr; useful in selective release work</w:t>
            </w:r>
          </w:p>
        </w:tc>
        <w:tc>
          <w:tcPr>
            <w:tcW w:w="2088" w:type="dxa"/>
            <w:tcMar>
              <w:top w:w="80" w:type="dxa"/>
              <w:left w:w="100" w:type="dxa"/>
              <w:bottom w:w="80" w:type="dxa"/>
              <w:right w:w="100" w:type="dxa"/>
            </w:tcMar>
            <w:vAlign w:val="center"/>
          </w:tcPr>
          <w:p w14:paraId="52F0C7FF" w14:textId="77777777" w:rsidR="00292E4C" w:rsidRDefault="00B86CD7">
            <w:r>
              <w:rPr>
                <w:sz w:val="18"/>
              </w:rPr>
              <w:t>Can be weaker on some hard-to-control species</w:t>
            </w:r>
          </w:p>
        </w:tc>
      </w:tr>
      <w:tr w:rsidR="00292E4C" w14:paraId="1EE2E32B" w14:textId="77777777">
        <w:trPr>
          <w:jc w:val="center"/>
        </w:trPr>
        <w:tc>
          <w:tcPr>
            <w:tcW w:w="1440" w:type="dxa"/>
            <w:tcMar>
              <w:top w:w="80" w:type="dxa"/>
              <w:left w:w="100" w:type="dxa"/>
              <w:bottom w:w="80" w:type="dxa"/>
              <w:right w:w="100" w:type="dxa"/>
            </w:tcMar>
            <w:vAlign w:val="center"/>
          </w:tcPr>
          <w:p w14:paraId="6B39F20B" w14:textId="77777777" w:rsidR="00292E4C" w:rsidRDefault="00B86CD7">
            <w:r>
              <w:rPr>
                <w:sz w:val="18"/>
              </w:rPr>
              <w:t>Fresh cut stump</w:t>
            </w:r>
          </w:p>
        </w:tc>
        <w:tc>
          <w:tcPr>
            <w:tcW w:w="2088" w:type="dxa"/>
            <w:tcMar>
              <w:top w:w="80" w:type="dxa"/>
              <w:left w:w="100" w:type="dxa"/>
              <w:bottom w:w="80" w:type="dxa"/>
              <w:right w:w="100" w:type="dxa"/>
            </w:tcMar>
            <w:vAlign w:val="center"/>
          </w:tcPr>
          <w:p w14:paraId="29077D51" w14:textId="77777777" w:rsidR="00292E4C" w:rsidRDefault="00B86CD7">
            <w:r>
              <w:rPr>
                <w:sz w:val="18"/>
              </w:rPr>
              <w:t>Triclopyr amine or imazapyr</w:t>
            </w:r>
          </w:p>
        </w:tc>
        <w:tc>
          <w:tcPr>
            <w:tcW w:w="1368" w:type="dxa"/>
            <w:tcMar>
              <w:top w:w="80" w:type="dxa"/>
              <w:left w:w="100" w:type="dxa"/>
              <w:bottom w:w="80" w:type="dxa"/>
              <w:right w:w="100" w:type="dxa"/>
            </w:tcMar>
            <w:vAlign w:val="center"/>
          </w:tcPr>
          <w:p w14:paraId="1F5F66DE" w14:textId="77777777" w:rsidR="00292E4C" w:rsidRDefault="00B86CD7">
            <w:r>
              <w:rPr>
                <w:sz w:val="18"/>
              </w:rPr>
              <w:t>Water</w:t>
            </w:r>
          </w:p>
        </w:tc>
        <w:tc>
          <w:tcPr>
            <w:tcW w:w="1872" w:type="dxa"/>
            <w:tcMar>
              <w:top w:w="80" w:type="dxa"/>
              <w:left w:w="100" w:type="dxa"/>
              <w:bottom w:w="80" w:type="dxa"/>
              <w:right w:w="100" w:type="dxa"/>
            </w:tcMar>
            <w:vAlign w:val="center"/>
          </w:tcPr>
          <w:p w14:paraId="29FA0F58" w14:textId="77777777" w:rsidR="00292E4C" w:rsidRDefault="00B86CD7">
            <w:r>
              <w:rPr>
                <w:sz w:val="18"/>
              </w:rPr>
              <w:t>Trees cut during thinning and treated immediately</w:t>
            </w:r>
          </w:p>
        </w:tc>
        <w:tc>
          <w:tcPr>
            <w:tcW w:w="2232" w:type="dxa"/>
            <w:tcMar>
              <w:top w:w="80" w:type="dxa"/>
              <w:left w:w="100" w:type="dxa"/>
              <w:bottom w:w="80" w:type="dxa"/>
              <w:right w:w="100" w:type="dxa"/>
            </w:tcMar>
            <w:vAlign w:val="center"/>
          </w:tcPr>
          <w:p w14:paraId="792B5B63" w14:textId="77777777" w:rsidR="00292E4C" w:rsidRDefault="00B86CD7">
            <w:r>
              <w:rPr>
                <w:sz w:val="18"/>
              </w:rPr>
              <w:t>Clean, simple, lower carrier cost, effective with prompt application</w:t>
            </w:r>
          </w:p>
        </w:tc>
        <w:tc>
          <w:tcPr>
            <w:tcW w:w="2088" w:type="dxa"/>
            <w:tcMar>
              <w:top w:w="80" w:type="dxa"/>
              <w:left w:w="100" w:type="dxa"/>
              <w:bottom w:w="80" w:type="dxa"/>
              <w:right w:w="100" w:type="dxa"/>
            </w:tcMar>
            <w:vAlign w:val="center"/>
          </w:tcPr>
          <w:p w14:paraId="0F5DDC8E" w14:textId="77777777" w:rsidR="00292E4C" w:rsidRDefault="00B86CD7">
            <w:r>
              <w:rPr>
                <w:sz w:val="18"/>
              </w:rPr>
              <w:t>Timing is critical; delay reduces control</w:t>
            </w:r>
          </w:p>
        </w:tc>
      </w:tr>
      <w:tr w:rsidR="00292E4C" w14:paraId="3947E0BE" w14:textId="77777777">
        <w:trPr>
          <w:jc w:val="center"/>
        </w:trPr>
        <w:tc>
          <w:tcPr>
            <w:tcW w:w="1440" w:type="dxa"/>
            <w:tcMar>
              <w:top w:w="80" w:type="dxa"/>
              <w:left w:w="100" w:type="dxa"/>
              <w:bottom w:w="80" w:type="dxa"/>
              <w:right w:w="100" w:type="dxa"/>
            </w:tcMar>
            <w:vAlign w:val="center"/>
          </w:tcPr>
          <w:p w14:paraId="0131A937" w14:textId="77777777" w:rsidR="00292E4C" w:rsidRDefault="00B86CD7">
            <w:r>
              <w:rPr>
                <w:sz w:val="18"/>
              </w:rPr>
              <w:t>Delayed cut stump / basal cut-stump</w:t>
            </w:r>
          </w:p>
        </w:tc>
        <w:tc>
          <w:tcPr>
            <w:tcW w:w="2088" w:type="dxa"/>
            <w:tcMar>
              <w:top w:w="80" w:type="dxa"/>
              <w:left w:w="100" w:type="dxa"/>
              <w:bottom w:w="80" w:type="dxa"/>
              <w:right w:w="100" w:type="dxa"/>
            </w:tcMar>
            <w:vAlign w:val="center"/>
          </w:tcPr>
          <w:p w14:paraId="6935461F" w14:textId="77777777" w:rsidR="00292E4C" w:rsidRDefault="00B86CD7">
            <w:r>
              <w:rPr>
                <w:sz w:val="18"/>
              </w:rPr>
              <w:t>Triclopyr ester, or triclopyr plus imazapyr</w:t>
            </w:r>
          </w:p>
        </w:tc>
        <w:tc>
          <w:tcPr>
            <w:tcW w:w="1368" w:type="dxa"/>
            <w:tcMar>
              <w:top w:w="80" w:type="dxa"/>
              <w:left w:w="100" w:type="dxa"/>
              <w:bottom w:w="80" w:type="dxa"/>
              <w:right w:w="100" w:type="dxa"/>
            </w:tcMar>
            <w:vAlign w:val="center"/>
          </w:tcPr>
          <w:p w14:paraId="3BCFF45F" w14:textId="77777777" w:rsidR="00292E4C" w:rsidRDefault="00B86CD7">
            <w:r>
              <w:rPr>
                <w:sz w:val="18"/>
              </w:rPr>
              <w:t>Basal oil</w:t>
            </w:r>
          </w:p>
        </w:tc>
        <w:tc>
          <w:tcPr>
            <w:tcW w:w="1872" w:type="dxa"/>
            <w:tcMar>
              <w:top w:w="80" w:type="dxa"/>
              <w:left w:w="100" w:type="dxa"/>
              <w:bottom w:w="80" w:type="dxa"/>
              <w:right w:w="100" w:type="dxa"/>
            </w:tcMar>
            <w:vAlign w:val="center"/>
          </w:tcPr>
          <w:p w14:paraId="33DEAF0A" w14:textId="77777777" w:rsidR="00292E4C" w:rsidRDefault="00B86CD7">
            <w:r>
              <w:rPr>
                <w:sz w:val="18"/>
              </w:rPr>
              <w:t>Older cut surfaces or stump collar treatment</w:t>
            </w:r>
          </w:p>
        </w:tc>
        <w:tc>
          <w:tcPr>
            <w:tcW w:w="2232" w:type="dxa"/>
            <w:tcMar>
              <w:top w:w="80" w:type="dxa"/>
              <w:left w:w="100" w:type="dxa"/>
              <w:bottom w:w="80" w:type="dxa"/>
              <w:right w:w="100" w:type="dxa"/>
            </w:tcMar>
            <w:vAlign w:val="center"/>
          </w:tcPr>
          <w:p w14:paraId="00EDD3E6" w14:textId="77777777" w:rsidR="00292E4C" w:rsidRDefault="00B86CD7">
            <w:r>
              <w:rPr>
                <w:sz w:val="18"/>
              </w:rPr>
              <w:t>Better penetration into bark and drying tissue</w:t>
            </w:r>
          </w:p>
        </w:tc>
        <w:tc>
          <w:tcPr>
            <w:tcW w:w="2088" w:type="dxa"/>
            <w:tcMar>
              <w:top w:w="80" w:type="dxa"/>
              <w:left w:w="100" w:type="dxa"/>
              <w:bottom w:w="80" w:type="dxa"/>
              <w:right w:w="100" w:type="dxa"/>
            </w:tcMar>
            <w:vAlign w:val="center"/>
          </w:tcPr>
          <w:p w14:paraId="3EE6DA0C" w14:textId="77777777" w:rsidR="00292E4C" w:rsidRDefault="00B86CD7">
            <w:r>
              <w:rPr>
                <w:sz w:val="18"/>
              </w:rPr>
              <w:t>Messier and costlier; imazapyr increases non-target concern</w:t>
            </w:r>
          </w:p>
        </w:tc>
      </w:tr>
    </w:tbl>
    <w:p w14:paraId="1585AAEC" w14:textId="77777777" w:rsidR="00292E4C" w:rsidRDefault="00B86CD7">
      <w:pPr>
        <w:pStyle w:val="Subtitle"/>
      </w:pPr>
      <w:r>
        <w:t>Table 1. Practical comparison of common triclopyr and imazapyr use patterns in TSI.</w:t>
      </w:r>
    </w:p>
    <w:p w14:paraId="43FAE7AA" w14:textId="77777777" w:rsidR="00292E4C" w:rsidRDefault="00B86CD7">
      <w:pPr>
        <w:pStyle w:val="Heading1"/>
      </w:pPr>
      <w:r>
        <w:t>Species-by-Species Recommendations for Common Southeastern Hardwoods</w:t>
      </w:r>
    </w:p>
    <w:p w14:paraId="0B964CFD" w14:textId="77777777" w:rsidR="00292E4C" w:rsidRDefault="00B86CD7">
      <w:r>
        <w:t>The table below is intentionally practical. It does not claim that one herbicide is always best for each species. Instead, it shows method tendencies that fit the published evidence, common field practice, and known strengths or weaknesses of triclopyr and imazapyr in mixed hardwood stands [5][6][8][10][11].</w:t>
      </w:r>
    </w:p>
    <w:tbl>
      <w:tblPr>
        <w:tblStyle w:val="TableGrid"/>
        <w:tblW w:w="0" w:type="auto"/>
        <w:jc w:val="center"/>
        <w:tblLook w:val="04A0" w:firstRow="1" w:lastRow="0" w:firstColumn="1" w:lastColumn="0" w:noHBand="0" w:noVBand="1"/>
      </w:tblPr>
      <w:tblGrid>
        <w:gridCol w:w="1368"/>
        <w:gridCol w:w="2592"/>
        <w:gridCol w:w="2736"/>
        <w:gridCol w:w="2088"/>
        <w:gridCol w:w="1008"/>
      </w:tblGrid>
      <w:tr w:rsidR="00292E4C" w14:paraId="216892FF" w14:textId="77777777">
        <w:trPr>
          <w:tblHeader/>
          <w:jc w:val="center"/>
        </w:trPr>
        <w:tc>
          <w:tcPr>
            <w:tcW w:w="1368" w:type="dxa"/>
            <w:shd w:val="clear" w:color="auto" w:fill="D9EAD3"/>
            <w:tcMar>
              <w:top w:w="80" w:type="dxa"/>
              <w:left w:w="100" w:type="dxa"/>
              <w:bottom w:w="80" w:type="dxa"/>
              <w:right w:w="100" w:type="dxa"/>
            </w:tcMar>
            <w:vAlign w:val="center"/>
          </w:tcPr>
          <w:p w14:paraId="20142C6D" w14:textId="77777777" w:rsidR="00292E4C" w:rsidRDefault="00B86CD7">
            <w:r>
              <w:rPr>
                <w:b/>
                <w:sz w:val="18"/>
              </w:rPr>
              <w:lastRenderedPageBreak/>
              <w:t>Species</w:t>
            </w:r>
          </w:p>
        </w:tc>
        <w:tc>
          <w:tcPr>
            <w:tcW w:w="2592" w:type="dxa"/>
            <w:shd w:val="clear" w:color="auto" w:fill="D9EAD3"/>
            <w:tcMar>
              <w:top w:w="80" w:type="dxa"/>
              <w:left w:w="100" w:type="dxa"/>
              <w:bottom w:w="80" w:type="dxa"/>
              <w:right w:w="100" w:type="dxa"/>
            </w:tcMar>
            <w:vAlign w:val="center"/>
          </w:tcPr>
          <w:p w14:paraId="40F91303" w14:textId="77777777" w:rsidR="00292E4C" w:rsidRDefault="00B86CD7">
            <w:r>
              <w:rPr>
                <w:b/>
                <w:sz w:val="18"/>
              </w:rPr>
              <w:t>Typical TSI recommendation</w:t>
            </w:r>
          </w:p>
        </w:tc>
        <w:tc>
          <w:tcPr>
            <w:tcW w:w="2736" w:type="dxa"/>
            <w:shd w:val="clear" w:color="auto" w:fill="D9EAD3"/>
            <w:tcMar>
              <w:top w:w="80" w:type="dxa"/>
              <w:left w:w="100" w:type="dxa"/>
              <w:bottom w:w="80" w:type="dxa"/>
              <w:right w:w="100" w:type="dxa"/>
            </w:tcMar>
            <w:vAlign w:val="center"/>
          </w:tcPr>
          <w:p w14:paraId="2E5B2385" w14:textId="77777777" w:rsidR="00292E4C" w:rsidRDefault="00B86CD7">
            <w:r>
              <w:rPr>
                <w:b/>
                <w:sz w:val="18"/>
              </w:rPr>
              <w:t>Why this is commonly preferred</w:t>
            </w:r>
          </w:p>
        </w:tc>
        <w:tc>
          <w:tcPr>
            <w:tcW w:w="2088" w:type="dxa"/>
            <w:shd w:val="clear" w:color="auto" w:fill="D9EAD3"/>
            <w:tcMar>
              <w:top w:w="80" w:type="dxa"/>
              <w:left w:w="100" w:type="dxa"/>
              <w:bottom w:w="80" w:type="dxa"/>
              <w:right w:w="100" w:type="dxa"/>
            </w:tcMar>
            <w:vAlign w:val="center"/>
          </w:tcPr>
          <w:p w14:paraId="796E7F74" w14:textId="77777777" w:rsidR="00292E4C" w:rsidRDefault="00B86CD7">
            <w:r>
              <w:rPr>
                <w:b/>
                <w:sz w:val="18"/>
              </w:rPr>
              <w:t>Key caution</w:t>
            </w:r>
          </w:p>
        </w:tc>
        <w:tc>
          <w:tcPr>
            <w:tcW w:w="1008" w:type="dxa"/>
            <w:shd w:val="clear" w:color="auto" w:fill="D9EAD3"/>
            <w:tcMar>
              <w:top w:w="80" w:type="dxa"/>
              <w:left w:w="100" w:type="dxa"/>
              <w:bottom w:w="80" w:type="dxa"/>
              <w:right w:w="100" w:type="dxa"/>
            </w:tcMar>
            <w:vAlign w:val="center"/>
          </w:tcPr>
          <w:p w14:paraId="1F1C72B0" w14:textId="77777777" w:rsidR="00292E4C" w:rsidRDefault="00B86CD7">
            <w:r>
              <w:rPr>
                <w:b/>
                <w:sz w:val="18"/>
              </w:rPr>
              <w:t>Evidence basis</w:t>
            </w:r>
          </w:p>
        </w:tc>
      </w:tr>
      <w:tr w:rsidR="00292E4C" w14:paraId="6C579414" w14:textId="77777777">
        <w:trPr>
          <w:jc w:val="center"/>
        </w:trPr>
        <w:tc>
          <w:tcPr>
            <w:tcW w:w="1368" w:type="dxa"/>
            <w:tcMar>
              <w:top w:w="80" w:type="dxa"/>
              <w:left w:w="100" w:type="dxa"/>
              <w:bottom w:w="80" w:type="dxa"/>
              <w:right w:w="100" w:type="dxa"/>
            </w:tcMar>
            <w:vAlign w:val="center"/>
          </w:tcPr>
          <w:p w14:paraId="43DBF7EF" w14:textId="77777777" w:rsidR="00292E4C" w:rsidRDefault="00B86CD7">
            <w:r>
              <w:rPr>
                <w:sz w:val="17"/>
              </w:rPr>
              <w:t>Sweetgum</w:t>
            </w:r>
          </w:p>
        </w:tc>
        <w:tc>
          <w:tcPr>
            <w:tcW w:w="2592" w:type="dxa"/>
            <w:tcMar>
              <w:top w:w="80" w:type="dxa"/>
              <w:left w:w="100" w:type="dxa"/>
              <w:bottom w:w="80" w:type="dxa"/>
              <w:right w:w="100" w:type="dxa"/>
            </w:tcMar>
            <w:vAlign w:val="center"/>
          </w:tcPr>
          <w:p w14:paraId="68C3679C" w14:textId="77777777" w:rsidR="00292E4C" w:rsidRDefault="00B86CD7">
            <w:r>
              <w:rPr>
                <w:sz w:val="17"/>
              </w:rPr>
              <w:t>Small stems: basal bark with triclopyr ester; larger stems: hack-and-squirt or girdle-and-spray, often with triclopyr plus imazapyr in mixed stands</w:t>
            </w:r>
          </w:p>
        </w:tc>
        <w:tc>
          <w:tcPr>
            <w:tcW w:w="2736" w:type="dxa"/>
            <w:tcMar>
              <w:top w:w="80" w:type="dxa"/>
              <w:left w:w="100" w:type="dxa"/>
              <w:bottom w:w="80" w:type="dxa"/>
              <w:right w:w="100" w:type="dxa"/>
            </w:tcMar>
            <w:vAlign w:val="center"/>
          </w:tcPr>
          <w:p w14:paraId="2B6AB912" w14:textId="77777777" w:rsidR="00292E4C" w:rsidRDefault="00B86CD7">
            <w:r>
              <w:rPr>
                <w:sz w:val="17"/>
              </w:rPr>
              <w:t>Sweetgum is a common competitor in southern hardwood stands and is usually controlled well by individual stem treatments. Mixtures are often chosen when many species are present and one product alone may leave escapes</w:t>
            </w:r>
          </w:p>
        </w:tc>
        <w:tc>
          <w:tcPr>
            <w:tcW w:w="2088" w:type="dxa"/>
            <w:tcMar>
              <w:top w:w="80" w:type="dxa"/>
              <w:left w:w="100" w:type="dxa"/>
              <w:bottom w:w="80" w:type="dxa"/>
              <w:right w:w="100" w:type="dxa"/>
            </w:tcMar>
            <w:vAlign w:val="center"/>
          </w:tcPr>
          <w:p w14:paraId="384AA282" w14:textId="77777777" w:rsidR="00292E4C" w:rsidRDefault="00B86CD7">
            <w:r>
              <w:rPr>
                <w:sz w:val="17"/>
              </w:rPr>
              <w:t>Watch for root sprouting or shared root systems, especially when treating one sweetgum near another</w:t>
            </w:r>
          </w:p>
        </w:tc>
        <w:tc>
          <w:tcPr>
            <w:tcW w:w="1008" w:type="dxa"/>
            <w:tcMar>
              <w:top w:w="80" w:type="dxa"/>
              <w:left w:w="100" w:type="dxa"/>
              <w:bottom w:w="80" w:type="dxa"/>
              <w:right w:w="100" w:type="dxa"/>
            </w:tcMar>
            <w:vAlign w:val="center"/>
          </w:tcPr>
          <w:p w14:paraId="22492D32" w14:textId="77777777" w:rsidR="00292E4C" w:rsidRDefault="00B86CD7">
            <w:r>
              <w:rPr>
                <w:sz w:val="17"/>
              </w:rPr>
              <w:t>[5][8][10]</w:t>
            </w:r>
          </w:p>
        </w:tc>
      </w:tr>
      <w:tr w:rsidR="00292E4C" w14:paraId="1E04FFB0" w14:textId="77777777">
        <w:trPr>
          <w:jc w:val="center"/>
        </w:trPr>
        <w:tc>
          <w:tcPr>
            <w:tcW w:w="1368" w:type="dxa"/>
            <w:tcMar>
              <w:top w:w="80" w:type="dxa"/>
              <w:left w:w="100" w:type="dxa"/>
              <w:bottom w:w="80" w:type="dxa"/>
              <w:right w:w="100" w:type="dxa"/>
            </w:tcMar>
            <w:vAlign w:val="center"/>
          </w:tcPr>
          <w:p w14:paraId="76D8B6F4" w14:textId="77777777" w:rsidR="00292E4C" w:rsidRDefault="00B86CD7">
            <w:r>
              <w:rPr>
                <w:sz w:val="17"/>
              </w:rPr>
              <w:t>Red maple</w:t>
            </w:r>
          </w:p>
        </w:tc>
        <w:tc>
          <w:tcPr>
            <w:tcW w:w="2592" w:type="dxa"/>
            <w:tcMar>
              <w:top w:w="80" w:type="dxa"/>
              <w:left w:w="100" w:type="dxa"/>
              <w:bottom w:w="80" w:type="dxa"/>
              <w:right w:w="100" w:type="dxa"/>
            </w:tcMar>
            <w:vAlign w:val="center"/>
          </w:tcPr>
          <w:p w14:paraId="72EF99DC" w14:textId="77777777" w:rsidR="00292E4C" w:rsidRDefault="00B86CD7">
            <w:r>
              <w:rPr>
                <w:sz w:val="17"/>
              </w:rPr>
              <w:t>Basal bark for small stems; hack-and-squirt, girdle-and-spray, or cut-stump for larger stems. Triclopyr alone is often adequate, though mixtures also work well</w:t>
            </w:r>
          </w:p>
        </w:tc>
        <w:tc>
          <w:tcPr>
            <w:tcW w:w="2736" w:type="dxa"/>
            <w:tcMar>
              <w:top w:w="80" w:type="dxa"/>
              <w:left w:w="100" w:type="dxa"/>
              <w:bottom w:w="80" w:type="dxa"/>
              <w:right w:w="100" w:type="dxa"/>
            </w:tcMar>
            <w:vAlign w:val="center"/>
          </w:tcPr>
          <w:p w14:paraId="6CEE8A6D" w14:textId="77777777" w:rsidR="00292E4C" w:rsidRDefault="00B86CD7">
            <w:r>
              <w:rPr>
                <w:sz w:val="17"/>
              </w:rPr>
              <w:t>Red maple is a common oak competitor and is commonly listed among species effectively controlled by hack-and-squirt style treatments</w:t>
            </w:r>
          </w:p>
        </w:tc>
        <w:tc>
          <w:tcPr>
            <w:tcW w:w="2088" w:type="dxa"/>
            <w:tcMar>
              <w:top w:w="80" w:type="dxa"/>
              <w:left w:w="100" w:type="dxa"/>
              <w:bottom w:w="80" w:type="dxa"/>
              <w:right w:w="100" w:type="dxa"/>
            </w:tcMar>
            <w:vAlign w:val="center"/>
          </w:tcPr>
          <w:p w14:paraId="16415B08" w14:textId="77777777" w:rsidR="00292E4C" w:rsidRDefault="00B86CD7">
            <w:r>
              <w:rPr>
                <w:sz w:val="17"/>
              </w:rPr>
              <w:t>Avoid early spring treatment when sap is moving strongly in maples</w:t>
            </w:r>
          </w:p>
        </w:tc>
        <w:tc>
          <w:tcPr>
            <w:tcW w:w="1008" w:type="dxa"/>
            <w:tcMar>
              <w:top w:w="80" w:type="dxa"/>
              <w:left w:w="100" w:type="dxa"/>
              <w:bottom w:w="80" w:type="dxa"/>
              <w:right w:w="100" w:type="dxa"/>
            </w:tcMar>
            <w:vAlign w:val="center"/>
          </w:tcPr>
          <w:p w14:paraId="644DF6E1" w14:textId="77777777" w:rsidR="00292E4C" w:rsidRDefault="00B86CD7">
            <w:r>
              <w:rPr>
                <w:sz w:val="17"/>
              </w:rPr>
              <w:t>[6][10][11]</w:t>
            </w:r>
          </w:p>
        </w:tc>
      </w:tr>
      <w:tr w:rsidR="00292E4C" w14:paraId="634DCEA5" w14:textId="77777777">
        <w:trPr>
          <w:jc w:val="center"/>
        </w:trPr>
        <w:tc>
          <w:tcPr>
            <w:tcW w:w="1368" w:type="dxa"/>
            <w:tcMar>
              <w:top w:w="80" w:type="dxa"/>
              <w:left w:w="100" w:type="dxa"/>
              <w:bottom w:w="80" w:type="dxa"/>
              <w:right w:w="100" w:type="dxa"/>
            </w:tcMar>
            <w:vAlign w:val="center"/>
          </w:tcPr>
          <w:p w14:paraId="40D1D6A2" w14:textId="77777777" w:rsidR="00292E4C" w:rsidRDefault="00B86CD7">
            <w:r>
              <w:rPr>
                <w:sz w:val="17"/>
              </w:rPr>
              <w:t>Elm</w:t>
            </w:r>
          </w:p>
        </w:tc>
        <w:tc>
          <w:tcPr>
            <w:tcW w:w="2592" w:type="dxa"/>
            <w:tcMar>
              <w:top w:w="80" w:type="dxa"/>
              <w:left w:w="100" w:type="dxa"/>
              <w:bottom w:w="80" w:type="dxa"/>
              <w:right w:w="100" w:type="dxa"/>
            </w:tcMar>
            <w:vAlign w:val="center"/>
          </w:tcPr>
          <w:p w14:paraId="4D23DA92" w14:textId="77777777" w:rsidR="00292E4C" w:rsidRDefault="00B86CD7">
            <w:r>
              <w:rPr>
                <w:sz w:val="17"/>
              </w:rPr>
              <w:t>Favor triclopyr-based treatments for small stems and selective basal work; for larger stems use triclopyr amine hack-and-squirt or a triclopyr plus imazapyr mixture where labels allow</w:t>
            </w:r>
          </w:p>
        </w:tc>
        <w:tc>
          <w:tcPr>
            <w:tcW w:w="2736" w:type="dxa"/>
            <w:tcMar>
              <w:top w:w="80" w:type="dxa"/>
              <w:left w:w="100" w:type="dxa"/>
              <w:bottom w:w="80" w:type="dxa"/>
              <w:right w:w="100" w:type="dxa"/>
            </w:tcMar>
            <w:vAlign w:val="center"/>
          </w:tcPr>
          <w:p w14:paraId="7384E515" w14:textId="77777777" w:rsidR="00292E4C" w:rsidRDefault="00B86CD7">
            <w:r>
              <w:rPr>
                <w:sz w:val="17"/>
              </w:rPr>
              <w:t>Imazapyr alone is reported to be weak on elm, so triclopyr becomes the important component when elm is part of the target mix</w:t>
            </w:r>
          </w:p>
        </w:tc>
        <w:tc>
          <w:tcPr>
            <w:tcW w:w="2088" w:type="dxa"/>
            <w:tcMar>
              <w:top w:w="80" w:type="dxa"/>
              <w:left w:w="100" w:type="dxa"/>
              <w:bottom w:w="80" w:type="dxa"/>
              <w:right w:w="100" w:type="dxa"/>
            </w:tcMar>
            <w:vAlign w:val="center"/>
          </w:tcPr>
          <w:p w14:paraId="4C5552DC" w14:textId="77777777" w:rsidR="00292E4C" w:rsidRDefault="00B86CD7">
            <w:r>
              <w:rPr>
                <w:sz w:val="17"/>
              </w:rPr>
              <w:t>Do not rely on imazapyr alone where elm control is a primary objective</w:t>
            </w:r>
          </w:p>
        </w:tc>
        <w:tc>
          <w:tcPr>
            <w:tcW w:w="1008" w:type="dxa"/>
            <w:tcMar>
              <w:top w:w="80" w:type="dxa"/>
              <w:left w:w="100" w:type="dxa"/>
              <w:bottom w:w="80" w:type="dxa"/>
              <w:right w:w="100" w:type="dxa"/>
            </w:tcMar>
            <w:vAlign w:val="center"/>
          </w:tcPr>
          <w:p w14:paraId="0058A20F" w14:textId="77777777" w:rsidR="00292E4C" w:rsidRDefault="00B86CD7">
            <w:r>
              <w:rPr>
                <w:sz w:val="17"/>
              </w:rPr>
              <w:t>[5][10]</w:t>
            </w:r>
          </w:p>
        </w:tc>
      </w:tr>
      <w:tr w:rsidR="00292E4C" w14:paraId="6F8C65CA" w14:textId="77777777">
        <w:trPr>
          <w:jc w:val="center"/>
        </w:trPr>
        <w:tc>
          <w:tcPr>
            <w:tcW w:w="1368" w:type="dxa"/>
            <w:tcMar>
              <w:top w:w="80" w:type="dxa"/>
              <w:left w:w="100" w:type="dxa"/>
              <w:bottom w:w="80" w:type="dxa"/>
              <w:right w:w="100" w:type="dxa"/>
            </w:tcMar>
            <w:vAlign w:val="center"/>
          </w:tcPr>
          <w:p w14:paraId="3AFD8ECC" w14:textId="77777777" w:rsidR="00292E4C" w:rsidRDefault="00B86CD7">
            <w:r>
              <w:rPr>
                <w:sz w:val="17"/>
              </w:rPr>
              <w:t>Yellow-poplar</w:t>
            </w:r>
          </w:p>
        </w:tc>
        <w:tc>
          <w:tcPr>
            <w:tcW w:w="2592" w:type="dxa"/>
            <w:tcMar>
              <w:top w:w="80" w:type="dxa"/>
              <w:left w:w="100" w:type="dxa"/>
              <w:bottom w:w="80" w:type="dxa"/>
              <w:right w:w="100" w:type="dxa"/>
            </w:tcMar>
            <w:vAlign w:val="center"/>
          </w:tcPr>
          <w:p w14:paraId="2C5BFDD4" w14:textId="77777777" w:rsidR="00292E4C" w:rsidRDefault="00B86CD7">
            <w:r>
              <w:rPr>
                <w:sz w:val="17"/>
              </w:rPr>
              <w:t>Use basal bark on saplings and small stems; use hack-and-squirt or girdle-and-spray for larger competitor trees during crop-tree release</w:t>
            </w:r>
          </w:p>
        </w:tc>
        <w:tc>
          <w:tcPr>
            <w:tcW w:w="2736" w:type="dxa"/>
            <w:tcMar>
              <w:top w:w="80" w:type="dxa"/>
              <w:left w:w="100" w:type="dxa"/>
              <w:bottom w:w="80" w:type="dxa"/>
              <w:right w:w="100" w:type="dxa"/>
            </w:tcMar>
            <w:vAlign w:val="center"/>
          </w:tcPr>
          <w:p w14:paraId="6025800F" w14:textId="77777777" w:rsidR="00292E4C" w:rsidRDefault="00B86CD7">
            <w:r>
              <w:rPr>
                <w:sz w:val="17"/>
              </w:rPr>
              <w:t>Yellow-poplar is a fast-growing competitor in many oak systems, so individual stem treatment is often chosen where selective release is needed</w:t>
            </w:r>
          </w:p>
        </w:tc>
        <w:tc>
          <w:tcPr>
            <w:tcW w:w="2088" w:type="dxa"/>
            <w:tcMar>
              <w:top w:w="80" w:type="dxa"/>
              <w:left w:w="100" w:type="dxa"/>
              <w:bottom w:w="80" w:type="dxa"/>
              <w:right w:w="100" w:type="dxa"/>
            </w:tcMar>
            <w:vAlign w:val="center"/>
          </w:tcPr>
          <w:p w14:paraId="19AEBBAF" w14:textId="77777777" w:rsidR="00292E4C" w:rsidRDefault="00B86CD7">
            <w:r>
              <w:rPr>
                <w:sz w:val="17"/>
              </w:rPr>
              <w:t>Be careful when desirable yellow-poplar are present because imazapyr can increase non-target concerns</w:t>
            </w:r>
          </w:p>
        </w:tc>
        <w:tc>
          <w:tcPr>
            <w:tcW w:w="1008" w:type="dxa"/>
            <w:tcMar>
              <w:top w:w="80" w:type="dxa"/>
              <w:left w:w="100" w:type="dxa"/>
              <w:bottom w:w="80" w:type="dxa"/>
              <w:right w:w="100" w:type="dxa"/>
            </w:tcMar>
            <w:vAlign w:val="center"/>
          </w:tcPr>
          <w:p w14:paraId="5F62E231" w14:textId="77777777" w:rsidR="00292E4C" w:rsidRDefault="00B86CD7">
            <w:r>
              <w:rPr>
                <w:sz w:val="17"/>
              </w:rPr>
              <w:t>[5][11][12]</w:t>
            </w:r>
          </w:p>
        </w:tc>
      </w:tr>
      <w:tr w:rsidR="00292E4C" w14:paraId="4DAD32A1" w14:textId="77777777">
        <w:trPr>
          <w:jc w:val="center"/>
        </w:trPr>
        <w:tc>
          <w:tcPr>
            <w:tcW w:w="1368" w:type="dxa"/>
            <w:tcMar>
              <w:top w:w="80" w:type="dxa"/>
              <w:left w:w="100" w:type="dxa"/>
              <w:bottom w:w="80" w:type="dxa"/>
              <w:right w:w="100" w:type="dxa"/>
            </w:tcMar>
            <w:vAlign w:val="center"/>
          </w:tcPr>
          <w:p w14:paraId="7829D71D" w14:textId="77777777" w:rsidR="00292E4C" w:rsidRDefault="00B86CD7">
            <w:r>
              <w:rPr>
                <w:sz w:val="17"/>
              </w:rPr>
              <w:t>American beech</w:t>
            </w:r>
          </w:p>
        </w:tc>
        <w:tc>
          <w:tcPr>
            <w:tcW w:w="2592" w:type="dxa"/>
            <w:tcMar>
              <w:top w:w="80" w:type="dxa"/>
              <w:left w:w="100" w:type="dxa"/>
              <w:bottom w:w="80" w:type="dxa"/>
              <w:right w:w="100" w:type="dxa"/>
            </w:tcMar>
            <w:vAlign w:val="center"/>
          </w:tcPr>
          <w:p w14:paraId="782E608D" w14:textId="77777777" w:rsidR="00292E4C" w:rsidRDefault="00B86CD7">
            <w:r>
              <w:rPr>
                <w:sz w:val="17"/>
              </w:rPr>
              <w:t>Hack-and-squirt or injection style treatments are commonly preferred on larger stems; basal bark can fit smaller stems</w:t>
            </w:r>
          </w:p>
        </w:tc>
        <w:tc>
          <w:tcPr>
            <w:tcW w:w="2736" w:type="dxa"/>
            <w:tcMar>
              <w:top w:w="80" w:type="dxa"/>
              <w:left w:w="100" w:type="dxa"/>
              <w:bottom w:w="80" w:type="dxa"/>
              <w:right w:w="100" w:type="dxa"/>
            </w:tcMar>
            <w:vAlign w:val="center"/>
          </w:tcPr>
          <w:p w14:paraId="263B0C84" w14:textId="77777777" w:rsidR="00292E4C" w:rsidRDefault="00B86CD7">
            <w:r>
              <w:rPr>
                <w:sz w:val="17"/>
              </w:rPr>
              <w:t>Beech is shade tolerant, persistent in the understory, and commonly listed among species effectively controlled by hack-and-squirt treatments</w:t>
            </w:r>
          </w:p>
        </w:tc>
        <w:tc>
          <w:tcPr>
            <w:tcW w:w="2088" w:type="dxa"/>
            <w:tcMar>
              <w:top w:w="80" w:type="dxa"/>
              <w:left w:w="100" w:type="dxa"/>
              <w:bottom w:w="80" w:type="dxa"/>
              <w:right w:w="100" w:type="dxa"/>
            </w:tcMar>
            <w:vAlign w:val="center"/>
          </w:tcPr>
          <w:p w14:paraId="425BF134" w14:textId="77777777" w:rsidR="00292E4C" w:rsidRDefault="00B86CD7">
            <w:r>
              <w:rPr>
                <w:sz w:val="17"/>
              </w:rPr>
              <w:t>Beech can regenerate from roots and may require follow-up monitoring</w:t>
            </w:r>
          </w:p>
        </w:tc>
        <w:tc>
          <w:tcPr>
            <w:tcW w:w="1008" w:type="dxa"/>
            <w:tcMar>
              <w:top w:w="80" w:type="dxa"/>
              <w:left w:w="100" w:type="dxa"/>
              <w:bottom w:w="80" w:type="dxa"/>
              <w:right w:w="100" w:type="dxa"/>
            </w:tcMar>
            <w:vAlign w:val="center"/>
          </w:tcPr>
          <w:p w14:paraId="5C413C25" w14:textId="77777777" w:rsidR="00292E4C" w:rsidRDefault="00B86CD7">
            <w:r>
              <w:rPr>
                <w:sz w:val="17"/>
              </w:rPr>
              <w:t>[6][11]</w:t>
            </w:r>
          </w:p>
        </w:tc>
      </w:tr>
      <w:tr w:rsidR="00292E4C" w14:paraId="1BA4DB0F" w14:textId="77777777">
        <w:trPr>
          <w:jc w:val="center"/>
        </w:trPr>
        <w:tc>
          <w:tcPr>
            <w:tcW w:w="1368" w:type="dxa"/>
            <w:tcMar>
              <w:top w:w="80" w:type="dxa"/>
              <w:left w:w="100" w:type="dxa"/>
              <w:bottom w:w="80" w:type="dxa"/>
              <w:right w:w="100" w:type="dxa"/>
            </w:tcMar>
            <w:vAlign w:val="center"/>
          </w:tcPr>
          <w:p w14:paraId="087C2681" w14:textId="77777777" w:rsidR="00292E4C" w:rsidRDefault="00B86CD7">
            <w:r>
              <w:rPr>
                <w:sz w:val="17"/>
              </w:rPr>
              <w:t>Hickory</w:t>
            </w:r>
          </w:p>
        </w:tc>
        <w:tc>
          <w:tcPr>
            <w:tcW w:w="2592" w:type="dxa"/>
            <w:tcMar>
              <w:top w:w="80" w:type="dxa"/>
              <w:left w:w="100" w:type="dxa"/>
              <w:bottom w:w="80" w:type="dxa"/>
              <w:right w:w="100" w:type="dxa"/>
            </w:tcMar>
            <w:vAlign w:val="center"/>
          </w:tcPr>
          <w:p w14:paraId="1DDDD870" w14:textId="77777777" w:rsidR="00292E4C" w:rsidRDefault="00B86CD7">
            <w:r>
              <w:rPr>
                <w:sz w:val="17"/>
              </w:rPr>
              <w:t>Favor triclopyr plus imazapyr for larger stems when hickory control is important; for small stems, consider basal bark with an enhanced mix where label and stand conditions support it</w:t>
            </w:r>
          </w:p>
        </w:tc>
        <w:tc>
          <w:tcPr>
            <w:tcW w:w="2736" w:type="dxa"/>
            <w:tcMar>
              <w:top w:w="80" w:type="dxa"/>
              <w:left w:w="100" w:type="dxa"/>
              <w:bottom w:w="80" w:type="dxa"/>
              <w:right w:w="100" w:type="dxa"/>
            </w:tcMar>
            <w:vAlign w:val="center"/>
          </w:tcPr>
          <w:p w14:paraId="62C515A8" w14:textId="77777777" w:rsidR="00292E4C" w:rsidRDefault="00B86CD7">
            <w:r>
              <w:rPr>
                <w:sz w:val="17"/>
              </w:rPr>
              <w:t>Published FSI research found triclopyr alone left many hickory stems alive, while the triclopyr plus imazapyr mixture provided much better control</w:t>
            </w:r>
          </w:p>
        </w:tc>
        <w:tc>
          <w:tcPr>
            <w:tcW w:w="2088" w:type="dxa"/>
            <w:tcMar>
              <w:top w:w="80" w:type="dxa"/>
              <w:left w:w="100" w:type="dxa"/>
              <w:bottom w:w="80" w:type="dxa"/>
              <w:right w:w="100" w:type="dxa"/>
            </w:tcMar>
            <w:vAlign w:val="center"/>
          </w:tcPr>
          <w:p w14:paraId="3DDCA71F" w14:textId="77777777" w:rsidR="00292E4C" w:rsidRDefault="00B86CD7">
            <w:r>
              <w:rPr>
                <w:sz w:val="17"/>
              </w:rPr>
              <w:t>If nearby desirable trees are sensitive, weigh improved efficacy against the additional imazapyr risk</w:t>
            </w:r>
          </w:p>
        </w:tc>
        <w:tc>
          <w:tcPr>
            <w:tcW w:w="1008" w:type="dxa"/>
            <w:tcMar>
              <w:top w:w="80" w:type="dxa"/>
              <w:left w:w="100" w:type="dxa"/>
              <w:bottom w:w="80" w:type="dxa"/>
              <w:right w:w="100" w:type="dxa"/>
            </w:tcMar>
            <w:vAlign w:val="center"/>
          </w:tcPr>
          <w:p w14:paraId="550428FA" w14:textId="77777777" w:rsidR="00292E4C" w:rsidRDefault="00B86CD7">
            <w:r>
              <w:rPr>
                <w:sz w:val="17"/>
              </w:rPr>
              <w:t>[5][10]</w:t>
            </w:r>
          </w:p>
        </w:tc>
      </w:tr>
    </w:tbl>
    <w:p w14:paraId="1E7498EE" w14:textId="77777777" w:rsidR="00292E4C" w:rsidRDefault="00B86CD7">
      <w:pPr>
        <w:pStyle w:val="Subtitle"/>
      </w:pPr>
      <w:r>
        <w:t>Table 2. Species-level tendencies for several common southeastern hardwoods encountered in TSI work.</w:t>
      </w:r>
    </w:p>
    <w:p w14:paraId="7A1BAB10" w14:textId="77777777" w:rsidR="00292E4C" w:rsidRDefault="00B86CD7">
      <w:pPr>
        <w:pStyle w:val="Heading1"/>
      </w:pPr>
      <w:r>
        <w:lastRenderedPageBreak/>
        <w:t>Operational Pros and Cons by Combination</w:t>
      </w:r>
    </w:p>
    <w:p w14:paraId="127E8564" w14:textId="77777777" w:rsidR="00292E4C" w:rsidRDefault="00B86CD7">
      <w:pPr>
        <w:pStyle w:val="Heading2"/>
      </w:pPr>
      <w:r>
        <w:t>Water-based combinations</w:t>
      </w:r>
    </w:p>
    <w:p w14:paraId="1AD01B7B" w14:textId="77777777" w:rsidR="00292E4C" w:rsidRDefault="00B86CD7">
      <w:r>
        <w:t>Water-based solutions are cleaner to mix and handle, typically cheaper at the carrier level, and especially well suited to fresh cut-surface treatments. They fit operations where applicators are cutting stems, making hacks, or otherwise exposing cambium directly. Their downside is that they are less forgiving when treatment is delayed or when the treatment surface is not fresh [2][3][9].</w:t>
      </w:r>
    </w:p>
    <w:p w14:paraId="3CBB0278" w14:textId="77777777" w:rsidR="00292E4C" w:rsidRDefault="00B86CD7">
      <w:pPr>
        <w:pStyle w:val="Heading2"/>
      </w:pPr>
      <w:r>
        <w:t>Oil-based combinations</w:t>
      </w:r>
    </w:p>
    <w:p w14:paraId="6D5A85B1" w14:textId="77777777" w:rsidR="00292E4C" w:rsidRDefault="00B86CD7">
      <w:r>
        <w:t>Oil-based solutions dominate when bark penetration matters. They are often the best option for small-stem basal bark work and for delayed stump or stump-collar treatment. Their drawbacks are messier handling, higher carrier cost, and greater need for mixing discipline. They also increase the temptation to over-apply, which should be avoided with either active ingredient [2][7].</w:t>
      </w:r>
    </w:p>
    <w:p w14:paraId="44C7B7CF" w14:textId="77777777" w:rsidR="00292E4C" w:rsidRDefault="00B86CD7">
      <w:pPr>
        <w:pStyle w:val="Heading2"/>
      </w:pPr>
      <w:r>
        <w:t>Single-active approaches</w:t>
      </w:r>
    </w:p>
    <w:p w14:paraId="3CE3583E" w14:textId="77777777" w:rsidR="00292E4C" w:rsidRDefault="00B86CD7">
      <w:r>
        <w:t>Single-active approaches make sense when the stand is dominated by species known to be susceptible to one product and the manager wants to minimize cost, complexity, or non-target risk. Triclopyr-heavy programs are especially attractive where desirable trees are nearby because of triclopyr’s limited soil activity [5].</w:t>
      </w:r>
    </w:p>
    <w:p w14:paraId="78BD0668" w14:textId="77777777" w:rsidR="00292E4C" w:rsidRDefault="00B86CD7">
      <w:pPr>
        <w:pStyle w:val="Heading2"/>
      </w:pPr>
      <w:r>
        <w:t>Combination approaches</w:t>
      </w:r>
    </w:p>
    <w:p w14:paraId="06ABB35A" w14:textId="77777777" w:rsidR="00292E4C" w:rsidRDefault="00B86CD7">
      <w:r>
        <w:t>Combination approaches are most valuable when mixed-species stands contain both species that are weaker to triclopyr and species that are weaker to imazapyr. Tennessee research in upland hardwood FSI found the triclopyr plus imazapyr mixture provided better overall control than triclopyr alone, especially for hickory, while causing essentially minimal non-target mortality under the study conditions [5]. Even so, the extra efficacy does not erase the need for careful application and label compliance.</w:t>
      </w:r>
    </w:p>
    <w:p w14:paraId="040C4902" w14:textId="77777777" w:rsidR="00292E4C" w:rsidRDefault="00B86CD7">
      <w:pPr>
        <w:pStyle w:val="Heading1"/>
      </w:pPr>
      <w:r>
        <w:t>Practical Decision Rules</w:t>
      </w:r>
    </w:p>
    <w:p w14:paraId="665985E0" w14:textId="77777777" w:rsidR="00292E4C" w:rsidRDefault="00B86CD7">
      <w:pPr>
        <w:ind w:left="288" w:hanging="259"/>
      </w:pPr>
      <w:r>
        <w:t>• Use triclopyr ester plus basal oil as the default starting point for basal bark treatment of small to medium hardwood stems where selectivity around crop trees matters.</w:t>
      </w:r>
    </w:p>
    <w:p w14:paraId="1371CC67" w14:textId="77777777" w:rsidR="00292E4C" w:rsidRDefault="00B86CD7">
      <w:pPr>
        <w:ind w:left="288" w:hanging="259"/>
      </w:pPr>
      <w:r>
        <w:t>• Use water-based imazapyr or triclopyr amine for hack-and-squirt, injection, girdle-and-spray, or fresh cut-stump work where the herbicide will contact exposed cambium directly.</w:t>
      </w:r>
    </w:p>
    <w:p w14:paraId="0FBB3FB9" w14:textId="77777777" w:rsidR="00292E4C" w:rsidRDefault="00B86CD7">
      <w:pPr>
        <w:ind w:left="288" w:hanging="259"/>
      </w:pPr>
      <w:r>
        <w:t>• Add imazapyr to a triclopyr program when species mix, target size, or prior experience suggests triclopyr alone will leave important escapes, especially with hickory or other weak species.</w:t>
      </w:r>
    </w:p>
    <w:p w14:paraId="1D884771" w14:textId="77777777" w:rsidR="00292E4C" w:rsidRDefault="00B86CD7">
      <w:pPr>
        <w:ind w:left="288" w:hanging="259"/>
      </w:pPr>
      <w:r>
        <w:t>• Avoid treating during strong spring sap flow when labels or extension guidance caution reduced efficacy, especially for maples and related spring-sensitive situations.</w:t>
      </w:r>
    </w:p>
    <w:p w14:paraId="10298C7A" w14:textId="77777777" w:rsidR="00292E4C" w:rsidRDefault="00B86CD7">
      <w:pPr>
        <w:ind w:left="288" w:hanging="259"/>
      </w:pPr>
      <w:r>
        <w:t>• Use extra caution where target trees may share root systems with desirable trees or with one another, because apparent soil damage may sometimes be root-connected transfer.</w:t>
      </w:r>
    </w:p>
    <w:p w14:paraId="24FED04E" w14:textId="77777777" w:rsidR="00292E4C" w:rsidRDefault="00B86CD7">
      <w:pPr>
        <w:pStyle w:val="Heading1"/>
      </w:pPr>
      <w:r>
        <w:t>Conclusion</w:t>
      </w:r>
    </w:p>
    <w:p w14:paraId="5E8A0BB6" w14:textId="77777777" w:rsidR="00292E4C" w:rsidRDefault="00B86CD7">
      <w:r>
        <w:t>The most common triclopyr and imazapyr combinations in timber stand improvement are best understood as method-specific tools rather than generic recipes. Triclopyr ester plus basal oil remains the standard basal bark choice. Water-based imazapyr remains a leading option for hack-and-squirt and injection. Water-</w:t>
      </w:r>
      <w:r>
        <w:lastRenderedPageBreak/>
        <w:t>based triclopyr amine and imazapyr fit fresh cut-stump work, while oil-based treatments become more attractive when bark penetration or delayed stump treatment is needed [2][3][4][7][9].</w:t>
      </w:r>
    </w:p>
    <w:p w14:paraId="70F03AFA" w14:textId="77777777" w:rsidR="00292E4C" w:rsidRDefault="00B86CD7">
      <w:r>
        <w:t>When stands are diverse, the triclopyr plus imazapyr combination can broaden control and reduce escapes, but that benefit comes with added attention to non-target risk. In practical terms, the choice comes down to a three-part balance: stem size and treatment method, target-species spectrum, and tolerance for non-target exposure. Framing the decision this way produces better TSI prescriptions than searching for one universal mixture.</w:t>
      </w:r>
    </w:p>
    <w:p w14:paraId="4B137E4F" w14:textId="77777777" w:rsidR="00292E4C" w:rsidRPr="004477D7" w:rsidRDefault="00B86CD7">
      <w:pPr>
        <w:pStyle w:val="Heading1"/>
        <w:rPr>
          <w:lang w:val="fr-FR"/>
        </w:rPr>
      </w:pPr>
      <w:r w:rsidRPr="004477D7">
        <w:rPr>
          <w:lang w:val="fr-FR"/>
        </w:rPr>
        <w:t>References</w:t>
      </w:r>
    </w:p>
    <w:p w14:paraId="45E16F58" w14:textId="77777777" w:rsidR="00292E4C" w:rsidRDefault="00B86CD7">
      <w:pPr>
        <w:spacing w:after="80"/>
        <w:ind w:left="360" w:hanging="360"/>
      </w:pPr>
      <w:r w:rsidRPr="004477D7">
        <w:rPr>
          <w:lang w:val="fr-FR"/>
        </w:rPr>
        <w:t xml:space="preserve">[1] Kochenderfer, J.D., et al. </w:t>
      </w:r>
      <w:r>
        <w:t>Manual herbicide application methods for managing vegetation in Appalachian hardwood forests. U.S. Forest Service. 2012.</w:t>
      </w:r>
    </w:p>
    <w:p w14:paraId="74796A38" w14:textId="77777777" w:rsidR="00292E4C" w:rsidRDefault="00B86CD7">
      <w:pPr>
        <w:spacing w:after="80"/>
        <w:ind w:left="360" w:hanging="360"/>
      </w:pPr>
      <w:r>
        <w:t>[2] Alligare. Ecomazapyr 2 SL label. 2024. Low-volume basal bark, cut stem, stump, and tank-mix language.</w:t>
      </w:r>
    </w:p>
    <w:p w14:paraId="70ECCBB8" w14:textId="77777777" w:rsidR="00292E4C" w:rsidRDefault="00B86CD7">
      <w:pPr>
        <w:spacing w:after="80"/>
        <w:ind w:left="360" w:hanging="360"/>
      </w:pPr>
      <w:r>
        <w:t>[3] Mississippi State University Extension. Tree Injection for Timber Stand Improvement, Publication P2942. 2025.</w:t>
      </w:r>
    </w:p>
    <w:p w14:paraId="475048E8" w14:textId="77777777" w:rsidR="00292E4C" w:rsidRDefault="00B86CD7">
      <w:pPr>
        <w:spacing w:after="80"/>
        <w:ind w:left="360" w:hanging="360"/>
      </w:pPr>
      <w:r>
        <w:t>[4] Alligare Triclopyr 4 label and associated basal bark directions for triclopyr ester in oil-based applications.</w:t>
      </w:r>
    </w:p>
    <w:p w14:paraId="6E09B7E2" w14:textId="77777777" w:rsidR="00292E4C" w:rsidRDefault="00B86CD7">
      <w:pPr>
        <w:spacing w:after="80"/>
        <w:ind w:left="360" w:hanging="360"/>
      </w:pPr>
      <w:r>
        <w:t>[5] Turner, M.A., Gulsby, W.D., and Harper, C.A. Mixture of Triclopyr and Imazapyr More Effective than Triclopyr Alone for Hardwood Forest Stand Improvement. Forest Science 67(1):43-48. 2021.</w:t>
      </w:r>
    </w:p>
    <w:p w14:paraId="05E03D82" w14:textId="77777777" w:rsidR="00292E4C" w:rsidRDefault="00B86CD7">
      <w:pPr>
        <w:spacing w:after="80"/>
        <w:ind w:left="360" w:hanging="360"/>
      </w:pPr>
      <w:r>
        <w:t>[6] Penn State Extension. Using Hack-and-Squirt Herbicide Applications to Control Unwanted Trees. 2019.</w:t>
      </w:r>
    </w:p>
    <w:p w14:paraId="06A466FE" w14:textId="77777777" w:rsidR="00292E4C" w:rsidRDefault="00B86CD7">
      <w:pPr>
        <w:spacing w:after="80"/>
        <w:ind w:left="360" w:hanging="360"/>
      </w:pPr>
      <w:r>
        <w:t>[7] USDA Forest Service and extension forestry guidance on oil-based basal bark and delayed stump treatment practices.</w:t>
      </w:r>
    </w:p>
    <w:p w14:paraId="6C0FCBAD" w14:textId="77777777" w:rsidR="00292E4C" w:rsidRDefault="00B86CD7">
      <w:pPr>
        <w:spacing w:after="80"/>
        <w:ind w:left="360" w:hanging="360"/>
      </w:pPr>
      <w:r>
        <w:t>[8] University of Tennessee. Forest Stand Improvement guidance describing practical triclopyr plus imazapyr mixtures, species weaknesses, and seasonal cautions. PB1885. 2020.</w:t>
      </w:r>
    </w:p>
    <w:p w14:paraId="3505AEE6" w14:textId="77777777" w:rsidR="00292E4C" w:rsidRDefault="00B86CD7">
      <w:pPr>
        <w:spacing w:after="80"/>
        <w:ind w:left="360" w:hanging="360"/>
      </w:pPr>
      <w:r>
        <w:t>[9] Auburn University Extension. Guidance for cut-stump treatments, timing, and the role of water-based treatments on fresh cuts. 2022.</w:t>
      </w:r>
    </w:p>
    <w:p w14:paraId="36137B8E" w14:textId="77777777" w:rsidR="00292E4C" w:rsidRDefault="00B86CD7">
      <w:pPr>
        <w:spacing w:after="80"/>
        <w:ind w:left="360" w:hanging="360"/>
      </w:pPr>
      <w:r>
        <w:t>[10] Kentucky and Tennessee oak regeneration and site-preparation guidance identifying sweetgum, red maple, beech, yellow-poplar, and similar species as common competitors in hardwood and oak systems.</w:t>
      </w:r>
    </w:p>
    <w:p w14:paraId="2477D3CC" w14:textId="77777777" w:rsidR="00292E4C" w:rsidRDefault="00B86CD7">
      <w:pPr>
        <w:spacing w:after="80"/>
        <w:ind w:left="360" w:hanging="360"/>
      </w:pPr>
      <w:r>
        <w:t>[11] USDA Southern Research Station oak regeneration guidance on red maple and yellow-poplar as important competitors in oak stands.</w:t>
      </w:r>
    </w:p>
    <w:p w14:paraId="24051174" w14:textId="77777777" w:rsidR="00292E4C" w:rsidRDefault="00B86CD7">
      <w:pPr>
        <w:spacing w:after="80"/>
        <w:ind w:left="360" w:hanging="360"/>
      </w:pPr>
      <w:r>
        <w:t>[12] Tennessee shelterwood-burn and crop-tree release guidance identifying yellow-poplar and sweetgum as important competitors in oak management.</w:t>
      </w:r>
    </w:p>
    <w:sectPr w:rsidR="00292E4C">
      <w:footerReference w:type="even" r:id="rId8"/>
      <w:footerReference w:type="default" r:id="rId9"/>
      <w:footerReference w:type="first" r:id="rId10"/>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FC77" w14:textId="77777777" w:rsidR="00B86CD7" w:rsidRDefault="00B86CD7" w:rsidP="004477D7">
      <w:pPr>
        <w:spacing w:after="0" w:line="240" w:lineRule="auto"/>
      </w:pPr>
      <w:r>
        <w:separator/>
      </w:r>
    </w:p>
  </w:endnote>
  <w:endnote w:type="continuationSeparator" w:id="0">
    <w:p w14:paraId="2FC9B726" w14:textId="77777777" w:rsidR="00B86CD7" w:rsidRDefault="00B86CD7" w:rsidP="00447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9AEB9" w14:textId="3D77E659" w:rsidR="004477D7" w:rsidRDefault="004477D7">
    <w:pPr>
      <w:pStyle w:val="Footer"/>
    </w:pPr>
    <w:r>
      <w:rPr>
        <w:noProof/>
      </w:rPr>
      <mc:AlternateContent>
        <mc:Choice Requires="wps">
          <w:drawing>
            <wp:anchor distT="0" distB="0" distL="0" distR="0" simplePos="0" relativeHeight="251658240" behindDoc="0" locked="0" layoutInCell="1" allowOverlap="1" wp14:anchorId="3BCCA72B" wp14:editId="12C21228">
              <wp:simplePos x="635" y="635"/>
              <wp:positionH relativeFrom="page">
                <wp:align>left</wp:align>
              </wp:positionH>
              <wp:positionV relativeFrom="page">
                <wp:align>bottom</wp:align>
              </wp:positionV>
              <wp:extent cx="1241425" cy="294640"/>
              <wp:effectExtent l="0" t="0" r="15875" b="0"/>
              <wp:wrapNone/>
              <wp:docPr id="1694065814" name="Text Box 2"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1425" cy="294640"/>
                      </a:xfrm>
                      <a:prstGeom prst="rect">
                        <a:avLst/>
                      </a:prstGeom>
                      <a:noFill/>
                      <a:ln>
                        <a:noFill/>
                      </a:ln>
                    </wps:spPr>
                    <wps:txbx>
                      <w:txbxContent>
                        <w:p w14:paraId="4F7F2436" w14:textId="5B9CFE69" w:rsidR="004477D7" w:rsidRPr="004477D7" w:rsidRDefault="004477D7" w:rsidP="004477D7">
                          <w:pPr>
                            <w:spacing w:after="0"/>
                            <w:rPr>
                              <w:rFonts w:eastAsia="Aptos" w:cs="Aptos"/>
                              <w:noProof/>
                              <w:color w:val="000000"/>
                              <w:sz w:val="12"/>
                              <w:szCs w:val="12"/>
                            </w:rPr>
                          </w:pPr>
                          <w:r w:rsidRPr="004477D7">
                            <w:rPr>
                              <w:rFonts w:eastAsia="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CCA72B" id="_x0000_t202" coordsize="21600,21600" o:spt="202" path="m,l,21600r21600,l21600,xe">
              <v:stroke joinstyle="miter"/>
              <v:path gradientshapeok="t" o:connecttype="rect"/>
            </v:shapetype>
            <v:shape id="Text Box 2" o:spid="_x0000_s1026" type="#_x0000_t202" alt="DESE Research, Inc. - General" style="position:absolute;margin-left:0;margin-top:0;width:97.75pt;height:23.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" filled="f" stroked="f">
              <v:fill o:detectmouseclick="t"/>
              <v:textbox style="mso-fit-shape-to-text:t" inset="20pt,0,0,15pt">
                <w:txbxContent>
                  <w:p w14:paraId="4F7F2436" w14:textId="5B9CFE69" w:rsidR="004477D7" w:rsidRPr="004477D7" w:rsidRDefault="004477D7" w:rsidP="004477D7">
                    <w:pPr>
                      <w:spacing w:after="0"/>
                      <w:rPr>
                        <w:rFonts w:eastAsia="Aptos" w:cs="Aptos"/>
                        <w:noProof/>
                        <w:color w:val="000000"/>
                        <w:sz w:val="12"/>
                        <w:szCs w:val="12"/>
                      </w:rPr>
                    </w:pPr>
                    <w:r w:rsidRPr="004477D7">
                      <w:rPr>
                        <w:rFonts w:eastAsia="Aptos" w:cs="Aptos"/>
                        <w:noProof/>
                        <w:color w:val="000000"/>
                        <w:sz w:val="12"/>
                        <w:szCs w:val="12"/>
                      </w:rPr>
                      <w:t>DESE Research, Inc. -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0AE6A" w14:textId="26F68A03" w:rsidR="004477D7" w:rsidRDefault="004477D7">
    <w:pPr>
      <w:pStyle w:val="Footer"/>
    </w:pPr>
    <w:r>
      <w:rPr>
        <w:noProof/>
      </w:rPr>
      <mc:AlternateContent>
        <mc:Choice Requires="wps">
          <w:drawing>
            <wp:anchor distT="0" distB="0" distL="0" distR="0" simplePos="0" relativeHeight="251658241" behindDoc="0" locked="0" layoutInCell="1" allowOverlap="1" wp14:anchorId="5B19621D" wp14:editId="4B21719E">
              <wp:simplePos x="776377" y="9437298"/>
              <wp:positionH relativeFrom="page">
                <wp:align>left</wp:align>
              </wp:positionH>
              <wp:positionV relativeFrom="page">
                <wp:align>bottom</wp:align>
              </wp:positionV>
              <wp:extent cx="1241425" cy="294640"/>
              <wp:effectExtent l="0" t="0" r="15875" b="0"/>
              <wp:wrapNone/>
              <wp:docPr id="1583700070" name="Text Box 3"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1425" cy="294640"/>
                      </a:xfrm>
                      <a:prstGeom prst="rect">
                        <a:avLst/>
                      </a:prstGeom>
                      <a:noFill/>
                      <a:ln>
                        <a:noFill/>
                      </a:ln>
                    </wps:spPr>
                    <wps:txbx>
                      <w:txbxContent>
                        <w:p w14:paraId="5E86C3B9" w14:textId="730F84A5" w:rsidR="004477D7" w:rsidRPr="004477D7" w:rsidRDefault="004477D7" w:rsidP="004477D7">
                          <w:pPr>
                            <w:spacing w:after="0"/>
                            <w:rPr>
                              <w:rFonts w:eastAsia="Aptos" w:cs="Aptos"/>
                              <w:noProof/>
                              <w:color w:val="000000"/>
                              <w:sz w:val="12"/>
                              <w:szCs w:val="12"/>
                            </w:rPr>
                          </w:pPr>
                          <w:r w:rsidRPr="004477D7">
                            <w:rPr>
                              <w:rFonts w:eastAsia="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19621D" id="_x0000_t202" coordsize="21600,21600" o:spt="202" path="m,l,21600r21600,l21600,xe">
              <v:stroke joinstyle="miter"/>
              <v:path gradientshapeok="t" o:connecttype="rect"/>
            </v:shapetype>
            <v:shape id="Text Box 3" o:spid="_x0000_s1027" type="#_x0000_t202" alt="DESE Research, Inc. - General" style="position:absolute;margin-left:0;margin-top:0;width:97.75pt;height:23.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" filled="f" stroked="f">
              <v:fill o:detectmouseclick="t"/>
              <v:textbox style="mso-fit-shape-to-text:t" inset="20pt,0,0,15pt">
                <w:txbxContent>
                  <w:p w14:paraId="5E86C3B9" w14:textId="730F84A5" w:rsidR="004477D7" w:rsidRPr="004477D7" w:rsidRDefault="004477D7" w:rsidP="004477D7">
                    <w:pPr>
                      <w:spacing w:after="0"/>
                      <w:rPr>
                        <w:rFonts w:eastAsia="Aptos" w:cs="Aptos"/>
                        <w:noProof/>
                        <w:color w:val="000000"/>
                        <w:sz w:val="12"/>
                        <w:szCs w:val="12"/>
                      </w:rPr>
                    </w:pPr>
                    <w:r w:rsidRPr="004477D7">
                      <w:rPr>
                        <w:rFonts w:eastAsia="Aptos" w:cs="Aptos"/>
                        <w:noProof/>
                        <w:color w:val="000000"/>
                        <w:sz w:val="12"/>
                        <w:szCs w:val="12"/>
                      </w:rPr>
                      <w:t>DESE Research, Inc. -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1182" w14:textId="69B25406" w:rsidR="004477D7" w:rsidRDefault="004477D7">
    <w:pPr>
      <w:pStyle w:val="Footer"/>
    </w:pPr>
    <w:r>
      <w:rPr>
        <w:noProof/>
      </w:rPr>
      <mc:AlternateContent>
        <mc:Choice Requires="wps">
          <w:drawing>
            <wp:anchor distT="0" distB="0" distL="0" distR="0" simplePos="0" relativeHeight="251658242" behindDoc="0" locked="0" layoutInCell="1" allowOverlap="1" wp14:anchorId="794E5DA4" wp14:editId="3CDED7FD">
              <wp:simplePos x="635" y="635"/>
              <wp:positionH relativeFrom="page">
                <wp:align>left</wp:align>
              </wp:positionH>
              <wp:positionV relativeFrom="page">
                <wp:align>bottom</wp:align>
              </wp:positionV>
              <wp:extent cx="1241425" cy="294640"/>
              <wp:effectExtent l="0" t="0" r="15875" b="0"/>
              <wp:wrapNone/>
              <wp:docPr id="1954743407" name="Text Box 1"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1425" cy="294640"/>
                      </a:xfrm>
                      <a:prstGeom prst="rect">
                        <a:avLst/>
                      </a:prstGeom>
                      <a:noFill/>
                      <a:ln>
                        <a:noFill/>
                      </a:ln>
                    </wps:spPr>
                    <wps:txbx>
                      <w:txbxContent>
                        <w:p w14:paraId="0DEA9D0C" w14:textId="7C9791F9" w:rsidR="004477D7" w:rsidRPr="004477D7" w:rsidRDefault="004477D7" w:rsidP="004477D7">
                          <w:pPr>
                            <w:spacing w:after="0"/>
                            <w:rPr>
                              <w:rFonts w:eastAsia="Aptos" w:cs="Aptos"/>
                              <w:noProof/>
                              <w:color w:val="000000"/>
                              <w:sz w:val="12"/>
                              <w:szCs w:val="12"/>
                            </w:rPr>
                          </w:pPr>
                          <w:r w:rsidRPr="004477D7">
                            <w:rPr>
                              <w:rFonts w:eastAsia="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4E5DA4" id="_x0000_t202" coordsize="21600,21600" o:spt="202" path="m,l,21600r21600,l21600,xe">
              <v:stroke joinstyle="miter"/>
              <v:path gradientshapeok="t" o:connecttype="rect"/>
            </v:shapetype>
            <v:shape id="Text Box 1" o:spid="_x0000_s1028" type="#_x0000_t202" alt="DESE Research, Inc. - General" style="position:absolute;margin-left:0;margin-top:0;width:97.75pt;height:23.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" filled="f" stroked="f">
              <v:fill o:detectmouseclick="t"/>
              <v:textbox style="mso-fit-shape-to-text:t" inset="20pt,0,0,15pt">
                <w:txbxContent>
                  <w:p w14:paraId="0DEA9D0C" w14:textId="7C9791F9" w:rsidR="004477D7" w:rsidRPr="004477D7" w:rsidRDefault="004477D7" w:rsidP="004477D7">
                    <w:pPr>
                      <w:spacing w:after="0"/>
                      <w:rPr>
                        <w:rFonts w:eastAsia="Aptos" w:cs="Aptos"/>
                        <w:noProof/>
                        <w:color w:val="000000"/>
                        <w:sz w:val="12"/>
                        <w:szCs w:val="12"/>
                      </w:rPr>
                    </w:pPr>
                    <w:r w:rsidRPr="004477D7">
                      <w:rPr>
                        <w:rFonts w:eastAsia="Aptos" w:cs="Aptos"/>
                        <w:noProof/>
                        <w:color w:val="000000"/>
                        <w:sz w:val="12"/>
                        <w:szCs w:val="12"/>
                      </w:rPr>
                      <w:t>DESE Research, Inc. -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E4928" w14:textId="77777777" w:rsidR="00B86CD7" w:rsidRDefault="00B86CD7" w:rsidP="004477D7">
      <w:pPr>
        <w:spacing w:after="0" w:line="240" w:lineRule="auto"/>
      </w:pPr>
      <w:r>
        <w:separator/>
      </w:r>
    </w:p>
  </w:footnote>
  <w:footnote w:type="continuationSeparator" w:id="0">
    <w:p w14:paraId="0285DD65" w14:textId="77777777" w:rsidR="00B86CD7" w:rsidRDefault="00B86CD7" w:rsidP="00447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615830">
    <w:abstractNumId w:val="8"/>
  </w:num>
  <w:num w:numId="2" w16cid:durableId="1831365325">
    <w:abstractNumId w:val="6"/>
  </w:num>
  <w:num w:numId="3" w16cid:durableId="1949120254">
    <w:abstractNumId w:val="5"/>
  </w:num>
  <w:num w:numId="4" w16cid:durableId="1926377641">
    <w:abstractNumId w:val="4"/>
  </w:num>
  <w:num w:numId="5" w16cid:durableId="2120291475">
    <w:abstractNumId w:val="7"/>
  </w:num>
  <w:num w:numId="6" w16cid:durableId="25839605">
    <w:abstractNumId w:val="3"/>
  </w:num>
  <w:num w:numId="7" w16cid:durableId="2080398482">
    <w:abstractNumId w:val="2"/>
  </w:num>
  <w:num w:numId="8" w16cid:durableId="1960643435">
    <w:abstractNumId w:val="1"/>
  </w:num>
  <w:num w:numId="9" w16cid:durableId="2113234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E4C"/>
    <w:rsid w:val="0029639D"/>
    <w:rsid w:val="00326F90"/>
    <w:rsid w:val="004477D7"/>
    <w:rsid w:val="006B303D"/>
    <w:rsid w:val="006C7833"/>
    <w:rsid w:val="006F662C"/>
    <w:rsid w:val="00AA1D8D"/>
    <w:rsid w:val="00B47730"/>
    <w:rsid w:val="00B86C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53729A1-AED7-4051-BE43-7C29B760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2F2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2F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5ae83bf-5173-442f-899b-ca1b50b823cd}" enabled="1" method="Privileged" siteId="{81349428-f52e-4686-aac8-448974b80e31}"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2351</Words>
  <Characters>14110</Characters>
  <Application>Microsoft Office Word</Application>
  <DocSecurity>0</DocSecurity>
  <Lines>371</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2013-12-23T23:15:00Z</dcterms:created>
  <dcterms:modified xsi:type="dcterms:W3CDTF">2026-03-12T13:24:00Z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7483046f,64f96496,5e655866</vt:lpwstr>
  </property>
  <property fmtid="{D5CDD505-2E9C-101B-9397-08002B2CF9AE}" pid="3" name="ClassificationContentMarkingFooterFontProps">
    <vt:lpwstr>#000000,6,Aptos</vt:lpwstr>
  </property>
  <property fmtid="{D5CDD505-2E9C-101B-9397-08002B2CF9AE}" pid="4" name="ClassificationContentMarkingFooterText">
    <vt:lpwstr>DESE Research, Inc. - General</vt:lpwstr>
  </property>
</Properties>
</file>