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A626A" w14:textId="77777777" w:rsidR="008334E7" w:rsidRPr="008334E7" w:rsidRDefault="008334E7" w:rsidP="008334E7">
      <w:pPr>
        <w:rPr>
          <w:b/>
          <w:bCs/>
        </w:rPr>
      </w:pPr>
      <w:r w:rsidRPr="008334E7">
        <w:rPr>
          <w:b/>
          <w:bCs/>
        </w:rPr>
        <w:t>Civil War Lead Mining in Northern Alabama</w:t>
      </w:r>
    </w:p>
    <w:p w14:paraId="6F7513D9" w14:textId="635E5226" w:rsidR="00D816F8" w:rsidRDefault="008334E7" w:rsidP="008334E7">
      <w:r w:rsidRPr="008334E7">
        <w:t>Dan Brown, NSS 31306</w:t>
      </w:r>
    </w:p>
    <w:p w14:paraId="61E4BE49" w14:textId="77777777" w:rsidR="008334E7" w:rsidRDefault="008334E7" w:rsidP="008334E7"/>
    <w:p w14:paraId="7C24290C" w14:textId="77777777" w:rsidR="008334E7" w:rsidRDefault="008334E7" w:rsidP="008334E7">
      <w:r w:rsidRPr="008334E7">
        <w:t>I first became interested in lead deposits in the region</w:t>
      </w:r>
      <w:r>
        <w:t xml:space="preserve"> </w:t>
      </w:r>
      <w:r w:rsidRPr="008334E7">
        <w:t xml:space="preserve">when we decided to use the water in </w:t>
      </w:r>
      <w:proofErr w:type="spellStart"/>
      <w:r w:rsidRPr="008334E7">
        <w:t>Vinsons</w:t>
      </w:r>
      <w:proofErr w:type="spellEnd"/>
      <w:r w:rsidRPr="008334E7">
        <w:t xml:space="preserve"> Cave for</w:t>
      </w:r>
      <w:r>
        <w:t xml:space="preserve"> </w:t>
      </w:r>
      <w:r w:rsidRPr="008334E7">
        <w:t>our household water supply. Water testing, using both</w:t>
      </w:r>
      <w:r>
        <w:t xml:space="preserve"> </w:t>
      </w:r>
      <w:r w:rsidRPr="008334E7">
        <w:t>do-it-yourself test kits and laboratory testing by National</w:t>
      </w:r>
      <w:r>
        <w:t xml:space="preserve"> </w:t>
      </w:r>
      <w:r w:rsidRPr="008334E7">
        <w:t>Testing Laboratories in Cleveland, Ohio, showed the</w:t>
      </w:r>
      <w:r>
        <w:t xml:space="preserve"> </w:t>
      </w:r>
      <w:r w:rsidRPr="008334E7">
        <w:t>presence of lead in the water. The lead concentrations</w:t>
      </w:r>
      <w:r>
        <w:t xml:space="preserve"> </w:t>
      </w:r>
      <w:r w:rsidRPr="008334E7">
        <w:t xml:space="preserve">were </w:t>
      </w:r>
      <w:proofErr w:type="gramStart"/>
      <w:r w:rsidRPr="008334E7">
        <w:t>variable, but</w:t>
      </w:r>
      <w:proofErr w:type="gramEnd"/>
      <w:r w:rsidRPr="008334E7">
        <w:t xml:space="preserve"> seemed to be worse during dry spells.</w:t>
      </w:r>
      <w:r>
        <w:t xml:space="preserve"> </w:t>
      </w:r>
      <w:r w:rsidRPr="008334E7">
        <w:t>These tests indicated the need for lead-removal filters</w:t>
      </w:r>
      <w:r>
        <w:t xml:space="preserve"> </w:t>
      </w:r>
      <w:r w:rsidRPr="008334E7">
        <w:t>on my water system. The cave water system proved to</w:t>
      </w:r>
      <w:r>
        <w:t xml:space="preserve"> </w:t>
      </w:r>
      <w:r w:rsidRPr="008334E7">
        <w:t>be a maintenance nightmare. The heavy fine silts and</w:t>
      </w:r>
      <w:r>
        <w:t xml:space="preserve"> </w:t>
      </w:r>
      <w:r w:rsidRPr="008334E7">
        <w:t>biofilms in the cave water constantly plugged up my lead</w:t>
      </w:r>
      <w:r>
        <w:t xml:space="preserve"> </w:t>
      </w:r>
      <w:r w:rsidRPr="008334E7">
        <w:t>removal</w:t>
      </w:r>
      <w:r>
        <w:t xml:space="preserve"> </w:t>
      </w:r>
      <w:r w:rsidRPr="008334E7">
        <w:t>filters, even with the addition of a</w:t>
      </w:r>
      <w:r>
        <w:t xml:space="preserve"> </w:t>
      </w:r>
      <w:r w:rsidRPr="008334E7">
        <w:t>back-washable filter ahead of the lead-removal filters.</w:t>
      </w:r>
      <w:r>
        <w:t xml:space="preserve"> </w:t>
      </w:r>
      <w:r w:rsidRPr="008334E7">
        <w:t>The foot valve also washed out of the cave pool during</w:t>
      </w:r>
      <w:r>
        <w:t xml:space="preserve"> </w:t>
      </w:r>
      <w:r w:rsidRPr="008334E7">
        <w:t xml:space="preserve">heavy rainfall, </w:t>
      </w:r>
      <w:proofErr w:type="gramStart"/>
      <w:r w:rsidRPr="008334E7">
        <w:t>in spite of</w:t>
      </w:r>
      <w:proofErr w:type="gramEnd"/>
      <w:r w:rsidRPr="008334E7">
        <w:t xml:space="preserve"> being buried under piles of</w:t>
      </w:r>
      <w:r>
        <w:t xml:space="preserve"> </w:t>
      </w:r>
      <w:r w:rsidRPr="008334E7">
        <w:t>rocks, requiring frequent trips into the cave to reset the</w:t>
      </w:r>
      <w:r>
        <w:t xml:space="preserve"> </w:t>
      </w:r>
      <w:r w:rsidRPr="008334E7">
        <w:t>foot valve and re-prime the pump. The low-flow high</w:t>
      </w:r>
      <w:r>
        <w:t xml:space="preserve"> </w:t>
      </w:r>
      <w:r w:rsidRPr="008334E7">
        <w:t>pressure</w:t>
      </w:r>
      <w:r>
        <w:t xml:space="preserve"> </w:t>
      </w:r>
      <w:r w:rsidRPr="008334E7">
        <w:t>diaphragm pump required to suck the water</w:t>
      </w:r>
      <w:r>
        <w:t xml:space="preserve"> </w:t>
      </w:r>
      <w:r w:rsidRPr="008334E7">
        <w:t>from the cave pool and push it 230!vertical feet uphill to</w:t>
      </w:r>
      <w:r>
        <w:t xml:space="preserve"> </w:t>
      </w:r>
      <w:r w:rsidRPr="008334E7">
        <w:t>the house had to be replaced often. The 600</w:t>
      </w:r>
      <w:r>
        <w:t xml:space="preserve"> </w:t>
      </w:r>
      <w:r w:rsidRPr="008334E7">
        <w:t>feet of</w:t>
      </w:r>
      <w:r>
        <w:t xml:space="preserve"> </w:t>
      </w:r>
      <w:r w:rsidRPr="008334E7">
        <w:t>signal wire to the cave pool float switches proved to be</w:t>
      </w:r>
      <w:r>
        <w:t xml:space="preserve"> </w:t>
      </w:r>
      <w:r w:rsidRPr="008334E7">
        <w:t>an effective antenna for lightning that fried my digital</w:t>
      </w:r>
      <w:r>
        <w:t xml:space="preserve"> </w:t>
      </w:r>
      <w:r w:rsidRPr="008334E7">
        <w:t>pump control circuit during thunderstorms. The system</w:t>
      </w:r>
      <w:r>
        <w:t xml:space="preserve"> </w:t>
      </w:r>
      <w:r w:rsidRPr="008334E7">
        <w:t>was eventually abandoned and replaced with a modern</w:t>
      </w:r>
      <w:r>
        <w:t xml:space="preserve"> </w:t>
      </w:r>
      <w:r w:rsidRPr="008334E7">
        <w:t>potable rainwater harvesting system having far less</w:t>
      </w:r>
      <w:r>
        <w:t xml:space="preserve"> </w:t>
      </w:r>
      <w:r w:rsidRPr="008334E7">
        <w:t>maintenance and orders of magnitude cleaner water.</w:t>
      </w:r>
      <w:r>
        <w:t xml:space="preserve"> </w:t>
      </w:r>
      <w:r w:rsidRPr="008334E7">
        <w:t>But my fascination with lead in the water remained and</w:t>
      </w:r>
      <w:r>
        <w:t xml:space="preserve"> </w:t>
      </w:r>
      <w:r w:rsidRPr="008334E7">
        <w:t>I began to inquire about it.</w:t>
      </w:r>
      <w:r>
        <w:t xml:space="preserve"> </w:t>
      </w:r>
    </w:p>
    <w:p w14:paraId="4B835872" w14:textId="287C79D2" w:rsidR="008334E7" w:rsidRDefault="008334E7" w:rsidP="008334E7">
      <w:r w:rsidRPr="008334E7">
        <w:t xml:space="preserve">Doyle Myers, a bluegrass </w:t>
      </w:r>
      <w:proofErr w:type="spellStart"/>
      <w:r w:rsidRPr="008334E7">
        <w:t>pickin</w:t>
      </w:r>
      <w:proofErr w:type="spellEnd"/>
      <w:r w:rsidRPr="008334E7">
        <w:t xml:space="preserve">’ buddy of mine and </w:t>
      </w:r>
      <w:proofErr w:type="spellStart"/>
      <w:r w:rsidRPr="008334E7">
        <w:t>oldtimer</w:t>
      </w:r>
      <w:proofErr w:type="spellEnd"/>
      <w:r>
        <w:t xml:space="preserve"> </w:t>
      </w:r>
      <w:r w:rsidRPr="008334E7">
        <w:t>who has lived in the area all his life, told me a story</w:t>
      </w:r>
      <w:r>
        <w:t xml:space="preserve"> </w:t>
      </w:r>
      <w:r w:rsidRPr="008334E7">
        <w:t>that he heard as a kid from a man who was about</w:t>
      </w:r>
      <w:r>
        <w:t xml:space="preserve"> </w:t>
      </w:r>
      <w:r w:rsidRPr="008334E7">
        <w:t>100</w:t>
      </w:r>
      <w:r>
        <w:t xml:space="preserve"> </w:t>
      </w:r>
      <w:r w:rsidRPr="008334E7">
        <w:t>years old at the time. Everyone called this 100-yearold</w:t>
      </w:r>
      <w:r>
        <w:t xml:space="preserve"> </w:t>
      </w:r>
      <w:r w:rsidRPr="008334E7">
        <w:t>man, “Professor Hill,” due to his lifetime career as a</w:t>
      </w:r>
      <w:r>
        <w:t xml:space="preserve"> </w:t>
      </w:r>
      <w:r w:rsidRPr="008334E7">
        <w:t>school teacher. Professor Hill was a boy about 7 or</w:t>
      </w:r>
      <w:r>
        <w:t xml:space="preserve"> </w:t>
      </w:r>
      <w:r w:rsidRPr="008334E7">
        <w:t>8</w:t>
      </w:r>
      <w:r>
        <w:t xml:space="preserve"> </w:t>
      </w:r>
      <w:r w:rsidRPr="008334E7">
        <w:t>years of age during the Civil War and lived in the same</w:t>
      </w:r>
      <w:r>
        <w:t xml:space="preserve"> </w:t>
      </w:r>
      <w:r w:rsidRPr="008334E7">
        <w:t>house near where the Flint River Lodge hunting club now</w:t>
      </w:r>
      <w:r>
        <w:t xml:space="preserve"> </w:t>
      </w:r>
      <w:r w:rsidRPr="008334E7">
        <w:t xml:space="preserve">exists. He told the young boy, Doyle, </w:t>
      </w:r>
      <w:r w:rsidRPr="008334E7">
        <w:rPr>
          <w:highlight w:val="yellow"/>
        </w:rPr>
        <w:t>that a highly</w:t>
      </w:r>
      <w:r w:rsidR="00BE49F1" w:rsidRPr="00BE49F1">
        <w:rPr>
          <w:highlight w:val="yellow"/>
        </w:rPr>
        <w:t xml:space="preserve"> </w:t>
      </w:r>
      <w:r w:rsidRPr="008334E7">
        <w:rPr>
          <w:highlight w:val="yellow"/>
        </w:rPr>
        <w:t>productive lead mine was once run by the Confederates</w:t>
      </w:r>
      <w:r w:rsidRPr="00BE49F1">
        <w:rPr>
          <w:highlight w:val="yellow"/>
        </w:rPr>
        <w:t xml:space="preserve"> </w:t>
      </w:r>
      <w:r w:rsidRPr="008334E7">
        <w:rPr>
          <w:highlight w:val="yellow"/>
        </w:rPr>
        <w:t>in Opossum Hollow on the southern end of Green</w:t>
      </w:r>
      <w:r w:rsidRPr="00BE49F1">
        <w:rPr>
          <w:highlight w:val="yellow"/>
        </w:rPr>
        <w:t xml:space="preserve"> </w:t>
      </w:r>
      <w:r w:rsidRPr="008334E7">
        <w:rPr>
          <w:highlight w:val="yellow"/>
        </w:rPr>
        <w:t>Mountain, just west of Potato Hill. Practically every day</w:t>
      </w:r>
      <w:r w:rsidRPr="00BE49F1">
        <w:rPr>
          <w:highlight w:val="yellow"/>
        </w:rPr>
        <w:t xml:space="preserve"> </w:t>
      </w:r>
      <w:r w:rsidRPr="008334E7">
        <w:rPr>
          <w:highlight w:val="yellow"/>
        </w:rPr>
        <w:t>wagon loads</w:t>
      </w:r>
      <w:r w:rsidRPr="00BE49F1">
        <w:rPr>
          <w:highlight w:val="yellow"/>
        </w:rPr>
        <w:t xml:space="preserve"> of lead mine balls and other lead munitions left the mine, forded a shallow area of the Flint River at the Swift Ford, and passed near his house. When the Yankees moved in to occupy Huntsville, the C.S.A. miners moved all their equipment into the mine, detonated a charge of black powder, and collapsed the entrance shut to prevent it from falling into Yankee hands. Doyle and his young buddies went up into Opossum Hollow looking for the old mine but never found it. What they did find, at around 700 to 800 feet in elevation, was large limestone boulders with lead veins so pure that he could carve it out with a pocket knife. This wasn’t galena or lead sulfide, as was mined further south in Alabama, but pure lead. Doyle’s grandfather also told him that there was </w:t>
      </w:r>
      <w:r w:rsidRPr="00BE49F1">
        <w:rPr>
          <w:highlight w:val="yellow"/>
        </w:rPr>
        <w:lastRenderedPageBreak/>
        <w:t xml:space="preserve">pure lead all in these mountains and that Doyle’s great grandfather used to chop lead out of the rocks on Keel Mountain with a hatchet </w:t>
      </w:r>
      <w:proofErr w:type="gramStart"/>
      <w:r w:rsidRPr="00BE49F1">
        <w:rPr>
          <w:highlight w:val="yellow"/>
        </w:rPr>
        <w:t>in order to</w:t>
      </w:r>
      <w:proofErr w:type="gramEnd"/>
      <w:r w:rsidRPr="00BE49F1">
        <w:rPr>
          <w:highlight w:val="yellow"/>
        </w:rPr>
        <w:t xml:space="preserve"> make rifle balls for his muzzle loader.</w:t>
      </w:r>
    </w:p>
    <w:p w14:paraId="5A6EB4B2" w14:textId="77777777" w:rsidR="008334E7" w:rsidRDefault="008334E7" w:rsidP="008334E7">
      <w:r w:rsidRPr="008334E7">
        <w:t xml:space="preserve">I told the story to another </w:t>
      </w:r>
      <w:proofErr w:type="spellStart"/>
      <w:r w:rsidRPr="008334E7">
        <w:t>pickin</w:t>
      </w:r>
      <w:proofErr w:type="spellEnd"/>
      <w:r w:rsidRPr="008334E7">
        <w:t xml:space="preserve">’ buddy, also an </w:t>
      </w:r>
      <w:proofErr w:type="spellStart"/>
      <w:r w:rsidRPr="008334E7">
        <w:t>oldtimer</w:t>
      </w:r>
      <w:proofErr w:type="spellEnd"/>
      <w:r w:rsidRPr="008334E7">
        <w:t>, Tommy Lemley of New Hope, Alabama. Lemley Mountain is named after his grandfather who settled in the area southwest of New Hope. Tommy had also heard of an old, abandoned lead mine on Haymer Mountain, near Lemley Mountain, but its location has since been lost. Haymer is also in the limestone layer at about the right elevation for finding lead. In the late 1940s, the</w:t>
      </w:r>
      <w:r>
        <w:t xml:space="preserve"> </w:t>
      </w:r>
      <w:r w:rsidRPr="008334E7">
        <w:t>known presence of lead and radon in northern Alabama prompted the Atomic Energy Commission to declare the area as being highly likely for finding uranium deposits. A public craze to find uranium erupted with local hardware stores selling Geiger counters. No uranium was ever found and the hunt eventually died off. But this also corroborates, although circumstantially, early lead mining in northern Alabama. There are also stories of Native Americans mining lead in the area, probably for their own muzzle loaders or for bartering with the white man.</w:t>
      </w:r>
    </w:p>
    <w:p w14:paraId="14AFE7F0" w14:textId="77777777" w:rsidR="008334E7" w:rsidRDefault="008334E7" w:rsidP="008334E7">
      <w:r w:rsidRPr="008334E7">
        <w:t>Other than local legend among long-time residents, attempts to find written documentation of lead mining in northern Alabama have so far been unfruitful. Given the horrors of Reconstruction and the carpet baggers after the Civil War, maybe this should not be surprising. The locals probably were not all that interested in sharing their secrets with the Yankees. The closest I’ve come to written documentation about lead mining in northern Alabama is on page!213 of a Department of the Interior United States Geological Survey, Bulletin!606, entitled  Origin of the Zinc and Lead Deposits of the Joplin Region, by C. E. Siebenthal, published by the Government Printing Office in 1915. The author writes:</w:t>
      </w:r>
    </w:p>
    <w:p w14:paraId="6AEEDE22" w14:textId="77777777" w:rsidR="008334E7" w:rsidRPr="008334E7" w:rsidRDefault="008334E7" w:rsidP="008334E7">
      <w:pPr>
        <w:rPr>
          <w:i/>
          <w:iCs/>
        </w:rPr>
      </w:pPr>
      <w:r w:rsidRPr="008334E7">
        <w:rPr>
          <w:i/>
          <w:iCs/>
        </w:rPr>
        <w:t>The Nashville uplift, the southern continuation of the Cincinnati anticline, is characterized by the same structural relations and practically the same stratigraphic relations as the Cincinnati uplift. Numerous deposits of lead are known in the central region of Tennessee, and some of them have been mined, as is noted by Nelson. Deposits of zinc occur in the area, but information is not at hand as to their location. The Nashville uplift extends into the northern part of Alabama, where lead has been mined near Guntersville, in Marshall County, and near New Market, in Madison County.</w:t>
      </w:r>
    </w:p>
    <w:p w14:paraId="78CA303F" w14:textId="2A7523E5" w:rsidR="008334E7" w:rsidRPr="008334E7" w:rsidRDefault="008334E7" w:rsidP="008334E7">
      <w:r w:rsidRPr="008334E7">
        <w:t xml:space="preserve">Since Opossum Hollow and Haymer Mountain are </w:t>
      </w:r>
      <w:proofErr w:type="gramStart"/>
      <w:r w:rsidRPr="008334E7">
        <w:t>fairly</w:t>
      </w:r>
      <w:r>
        <w:t xml:space="preserve"> </w:t>
      </w:r>
      <w:r w:rsidRPr="008334E7">
        <w:t>close</w:t>
      </w:r>
      <w:proofErr w:type="gramEnd"/>
      <w:r w:rsidRPr="008334E7">
        <w:t xml:space="preserve"> to Guntersville, at least as a crow flies, this may</w:t>
      </w:r>
      <w:r>
        <w:t xml:space="preserve"> </w:t>
      </w:r>
      <w:r w:rsidRPr="008334E7">
        <w:t>possibly be a reference to these two lead mines. Anyway,</w:t>
      </w:r>
      <w:r>
        <w:t xml:space="preserve"> </w:t>
      </w:r>
      <w:r w:rsidRPr="008334E7">
        <w:t>if you go caving in northern Alabama, don’t be surprised</w:t>
      </w:r>
      <w:r>
        <w:t xml:space="preserve"> </w:t>
      </w:r>
      <w:r w:rsidRPr="008334E7">
        <w:t>if you find veins of pure lead in the limestone. You might</w:t>
      </w:r>
      <w:r>
        <w:t xml:space="preserve"> </w:t>
      </w:r>
      <w:r w:rsidRPr="008334E7">
        <w:t xml:space="preserve">even find one of the long-forgotten and highly </w:t>
      </w:r>
      <w:r>
        <w:t>s</w:t>
      </w:r>
      <w:r w:rsidRPr="008334E7">
        <w:t>ecret lead</w:t>
      </w:r>
      <w:r>
        <w:t xml:space="preserve"> </w:t>
      </w:r>
      <w:r w:rsidRPr="008334E7">
        <w:t>mines of the C.S.A.</w:t>
      </w:r>
    </w:p>
    <w:sectPr w:rsidR="008334E7" w:rsidRPr="008334E7">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AC851" w14:textId="77777777" w:rsidR="00094AF3" w:rsidRDefault="00094AF3" w:rsidP="008334E7">
      <w:pPr>
        <w:spacing w:after="0" w:line="240" w:lineRule="auto"/>
      </w:pPr>
      <w:r>
        <w:separator/>
      </w:r>
    </w:p>
  </w:endnote>
  <w:endnote w:type="continuationSeparator" w:id="0">
    <w:p w14:paraId="46D8D12D" w14:textId="77777777" w:rsidR="00094AF3" w:rsidRDefault="00094AF3" w:rsidP="00833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B6A53" w14:textId="5CBE5A0B" w:rsidR="008334E7" w:rsidRDefault="008334E7">
    <w:pPr>
      <w:pStyle w:val="Footer"/>
    </w:pPr>
    <w:r>
      <w:rPr>
        <w:noProof/>
      </w:rPr>
      <mc:AlternateContent>
        <mc:Choice Requires="wps">
          <w:drawing>
            <wp:anchor distT="0" distB="0" distL="0" distR="0" simplePos="0" relativeHeight="251659264" behindDoc="0" locked="0" layoutInCell="1" allowOverlap="1" wp14:anchorId="0D913AAE" wp14:editId="6239E455">
              <wp:simplePos x="635" y="635"/>
              <wp:positionH relativeFrom="page">
                <wp:align>left</wp:align>
              </wp:positionH>
              <wp:positionV relativeFrom="page">
                <wp:align>bottom</wp:align>
              </wp:positionV>
              <wp:extent cx="1235075" cy="298450"/>
              <wp:effectExtent l="0" t="0" r="3175" b="0"/>
              <wp:wrapNone/>
              <wp:docPr id="649981905" name="Text Box 2" descr="DESE Research, Inc. -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35075" cy="298450"/>
                      </a:xfrm>
                      <a:prstGeom prst="rect">
                        <a:avLst/>
                      </a:prstGeom>
                      <a:noFill/>
                      <a:ln>
                        <a:noFill/>
                      </a:ln>
                    </wps:spPr>
                    <wps:txbx>
                      <w:txbxContent>
                        <w:p w14:paraId="29815CB5" w14:textId="62CE5DF3" w:rsidR="008334E7" w:rsidRPr="008334E7" w:rsidRDefault="008334E7" w:rsidP="008334E7">
                          <w:pPr>
                            <w:spacing w:after="0"/>
                            <w:rPr>
                              <w:rFonts w:ascii="Aptos" w:eastAsia="Aptos" w:hAnsi="Aptos" w:cs="Aptos"/>
                              <w:noProof/>
                              <w:color w:val="000000"/>
                              <w:sz w:val="12"/>
                              <w:szCs w:val="12"/>
                            </w:rPr>
                          </w:pPr>
                          <w:r w:rsidRPr="008334E7">
                            <w:rPr>
                              <w:rFonts w:ascii="Aptos" w:eastAsia="Aptos" w:hAnsi="Aptos" w:cs="Aptos"/>
                              <w:noProof/>
                              <w:color w:val="000000"/>
                              <w:sz w:val="12"/>
                              <w:szCs w:val="12"/>
                            </w:rPr>
                            <w:t>DESE Research, Inc. -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D913AAE" id="_x0000_t202" coordsize="21600,21600" o:spt="202" path="m,l,21600r21600,l21600,xe">
              <v:stroke joinstyle="miter"/>
              <v:path gradientshapeok="t" o:connecttype="rect"/>
            </v:shapetype>
            <v:shape id="Text Box 2" o:spid="_x0000_s1026" type="#_x0000_t202" alt="DESE Research, Inc. - General" style="position:absolute;margin-left:0;margin-top:0;width:97.25pt;height:23.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" filled="f" stroked="f">
              <v:fill o:detectmouseclick="t"/>
              <v:textbox style="mso-fit-shape-to-text:t" inset="20pt,0,0,15pt">
                <w:txbxContent>
                  <w:p w14:paraId="29815CB5" w14:textId="62CE5DF3" w:rsidR="008334E7" w:rsidRPr="008334E7" w:rsidRDefault="008334E7" w:rsidP="008334E7">
                    <w:pPr>
                      <w:spacing w:after="0"/>
                      <w:rPr>
                        <w:rFonts w:ascii="Aptos" w:eastAsia="Aptos" w:hAnsi="Aptos" w:cs="Aptos"/>
                        <w:noProof/>
                        <w:color w:val="000000"/>
                        <w:sz w:val="12"/>
                        <w:szCs w:val="12"/>
                      </w:rPr>
                    </w:pPr>
                    <w:r w:rsidRPr="008334E7">
                      <w:rPr>
                        <w:rFonts w:ascii="Aptos" w:eastAsia="Aptos" w:hAnsi="Aptos" w:cs="Aptos"/>
                        <w:noProof/>
                        <w:color w:val="000000"/>
                        <w:sz w:val="12"/>
                        <w:szCs w:val="12"/>
                      </w:rPr>
                      <w:t>DESE Research, Inc. -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FA20A" w14:textId="3C6559A4" w:rsidR="008334E7" w:rsidRDefault="008334E7">
    <w:pPr>
      <w:pStyle w:val="Footer"/>
    </w:pPr>
    <w:r>
      <w:rPr>
        <w:noProof/>
      </w:rPr>
      <mc:AlternateContent>
        <mc:Choice Requires="wps">
          <w:drawing>
            <wp:anchor distT="0" distB="0" distL="0" distR="0" simplePos="0" relativeHeight="251660288" behindDoc="0" locked="0" layoutInCell="1" allowOverlap="1" wp14:anchorId="172CB768" wp14:editId="4B2F1E3A">
              <wp:simplePos x="914400" y="9420045"/>
              <wp:positionH relativeFrom="page">
                <wp:align>left</wp:align>
              </wp:positionH>
              <wp:positionV relativeFrom="page">
                <wp:align>bottom</wp:align>
              </wp:positionV>
              <wp:extent cx="1235075" cy="298450"/>
              <wp:effectExtent l="0" t="0" r="3175" b="0"/>
              <wp:wrapNone/>
              <wp:docPr id="1443124165" name="Text Box 3" descr="DESE Research, Inc. -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35075" cy="298450"/>
                      </a:xfrm>
                      <a:prstGeom prst="rect">
                        <a:avLst/>
                      </a:prstGeom>
                      <a:noFill/>
                      <a:ln>
                        <a:noFill/>
                      </a:ln>
                    </wps:spPr>
                    <wps:txbx>
                      <w:txbxContent>
                        <w:p w14:paraId="1F4F91E3" w14:textId="4A9C69D0" w:rsidR="008334E7" w:rsidRPr="008334E7" w:rsidRDefault="008334E7" w:rsidP="008334E7">
                          <w:pPr>
                            <w:spacing w:after="0"/>
                            <w:rPr>
                              <w:rFonts w:ascii="Aptos" w:eastAsia="Aptos" w:hAnsi="Aptos" w:cs="Aptos"/>
                              <w:noProof/>
                              <w:color w:val="000000"/>
                              <w:sz w:val="12"/>
                              <w:szCs w:val="12"/>
                            </w:rPr>
                          </w:pPr>
                          <w:r w:rsidRPr="008334E7">
                            <w:rPr>
                              <w:rFonts w:ascii="Aptos" w:eastAsia="Aptos" w:hAnsi="Aptos" w:cs="Aptos"/>
                              <w:noProof/>
                              <w:color w:val="000000"/>
                              <w:sz w:val="12"/>
                              <w:szCs w:val="12"/>
                            </w:rPr>
                            <w:t>DESE Research, Inc. -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2CB768" id="_x0000_t202" coordsize="21600,21600" o:spt="202" path="m,l,21600r21600,l21600,xe">
              <v:stroke joinstyle="miter"/>
              <v:path gradientshapeok="t" o:connecttype="rect"/>
            </v:shapetype>
            <v:shape id="Text Box 3" o:spid="_x0000_s1027" type="#_x0000_t202" alt="DESE Research, Inc. - General" style="position:absolute;margin-left:0;margin-top:0;width:97.25pt;height:23.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" filled="f" stroked="f">
              <v:fill o:detectmouseclick="t"/>
              <v:textbox style="mso-fit-shape-to-text:t" inset="20pt,0,0,15pt">
                <w:txbxContent>
                  <w:p w14:paraId="1F4F91E3" w14:textId="4A9C69D0" w:rsidR="008334E7" w:rsidRPr="008334E7" w:rsidRDefault="008334E7" w:rsidP="008334E7">
                    <w:pPr>
                      <w:spacing w:after="0"/>
                      <w:rPr>
                        <w:rFonts w:ascii="Aptos" w:eastAsia="Aptos" w:hAnsi="Aptos" w:cs="Aptos"/>
                        <w:noProof/>
                        <w:color w:val="000000"/>
                        <w:sz w:val="12"/>
                        <w:szCs w:val="12"/>
                      </w:rPr>
                    </w:pPr>
                    <w:r w:rsidRPr="008334E7">
                      <w:rPr>
                        <w:rFonts w:ascii="Aptos" w:eastAsia="Aptos" w:hAnsi="Aptos" w:cs="Aptos"/>
                        <w:noProof/>
                        <w:color w:val="000000"/>
                        <w:sz w:val="12"/>
                        <w:szCs w:val="12"/>
                      </w:rPr>
                      <w:t>DESE Research, Inc. -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A6754" w14:textId="25811C42" w:rsidR="008334E7" w:rsidRDefault="008334E7">
    <w:pPr>
      <w:pStyle w:val="Footer"/>
    </w:pPr>
    <w:r>
      <w:rPr>
        <w:noProof/>
      </w:rPr>
      <mc:AlternateContent>
        <mc:Choice Requires="wps">
          <w:drawing>
            <wp:anchor distT="0" distB="0" distL="0" distR="0" simplePos="0" relativeHeight="251658240" behindDoc="0" locked="0" layoutInCell="1" allowOverlap="1" wp14:anchorId="6525CDCA" wp14:editId="132D786A">
              <wp:simplePos x="635" y="635"/>
              <wp:positionH relativeFrom="page">
                <wp:align>left</wp:align>
              </wp:positionH>
              <wp:positionV relativeFrom="page">
                <wp:align>bottom</wp:align>
              </wp:positionV>
              <wp:extent cx="1235075" cy="298450"/>
              <wp:effectExtent l="0" t="0" r="3175" b="0"/>
              <wp:wrapNone/>
              <wp:docPr id="1573004562" name="Text Box 1" descr="DESE Research, Inc. -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35075" cy="298450"/>
                      </a:xfrm>
                      <a:prstGeom prst="rect">
                        <a:avLst/>
                      </a:prstGeom>
                      <a:noFill/>
                      <a:ln>
                        <a:noFill/>
                      </a:ln>
                    </wps:spPr>
                    <wps:txbx>
                      <w:txbxContent>
                        <w:p w14:paraId="205BE8ED" w14:textId="01038532" w:rsidR="008334E7" w:rsidRPr="008334E7" w:rsidRDefault="008334E7" w:rsidP="008334E7">
                          <w:pPr>
                            <w:spacing w:after="0"/>
                            <w:rPr>
                              <w:rFonts w:ascii="Aptos" w:eastAsia="Aptos" w:hAnsi="Aptos" w:cs="Aptos"/>
                              <w:noProof/>
                              <w:color w:val="000000"/>
                              <w:sz w:val="12"/>
                              <w:szCs w:val="12"/>
                            </w:rPr>
                          </w:pPr>
                          <w:r w:rsidRPr="008334E7">
                            <w:rPr>
                              <w:rFonts w:ascii="Aptos" w:eastAsia="Aptos" w:hAnsi="Aptos" w:cs="Aptos"/>
                              <w:noProof/>
                              <w:color w:val="000000"/>
                              <w:sz w:val="12"/>
                              <w:szCs w:val="12"/>
                            </w:rPr>
                            <w:t>DESE Research, Inc. -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25CDCA" id="_x0000_t202" coordsize="21600,21600" o:spt="202" path="m,l,21600r21600,l21600,xe">
              <v:stroke joinstyle="miter"/>
              <v:path gradientshapeok="t" o:connecttype="rect"/>
            </v:shapetype>
            <v:shape id="Text Box 1" o:spid="_x0000_s1028" type="#_x0000_t202" alt="DESE Research, Inc. - General" style="position:absolute;margin-left:0;margin-top:0;width:97.25pt;height:23.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" filled="f" stroked="f">
              <v:fill o:detectmouseclick="t"/>
              <v:textbox style="mso-fit-shape-to-text:t" inset="20pt,0,0,15pt">
                <w:txbxContent>
                  <w:p w14:paraId="205BE8ED" w14:textId="01038532" w:rsidR="008334E7" w:rsidRPr="008334E7" w:rsidRDefault="008334E7" w:rsidP="008334E7">
                    <w:pPr>
                      <w:spacing w:after="0"/>
                      <w:rPr>
                        <w:rFonts w:ascii="Aptos" w:eastAsia="Aptos" w:hAnsi="Aptos" w:cs="Aptos"/>
                        <w:noProof/>
                        <w:color w:val="000000"/>
                        <w:sz w:val="12"/>
                        <w:szCs w:val="12"/>
                      </w:rPr>
                    </w:pPr>
                    <w:r w:rsidRPr="008334E7">
                      <w:rPr>
                        <w:rFonts w:ascii="Aptos" w:eastAsia="Aptos" w:hAnsi="Aptos" w:cs="Aptos"/>
                        <w:noProof/>
                        <w:color w:val="000000"/>
                        <w:sz w:val="12"/>
                        <w:szCs w:val="12"/>
                      </w:rPr>
                      <w:t>DESE Research, Inc. -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89447" w14:textId="77777777" w:rsidR="00094AF3" w:rsidRDefault="00094AF3" w:rsidP="008334E7">
      <w:pPr>
        <w:spacing w:after="0" w:line="240" w:lineRule="auto"/>
      </w:pPr>
      <w:r>
        <w:separator/>
      </w:r>
    </w:p>
  </w:footnote>
  <w:footnote w:type="continuationSeparator" w:id="0">
    <w:p w14:paraId="649B4FD9" w14:textId="77777777" w:rsidR="00094AF3" w:rsidRDefault="00094AF3" w:rsidP="008334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4E7"/>
    <w:rsid w:val="00094AF3"/>
    <w:rsid w:val="003214F3"/>
    <w:rsid w:val="00346B70"/>
    <w:rsid w:val="003E2A5E"/>
    <w:rsid w:val="00462AB6"/>
    <w:rsid w:val="008334E7"/>
    <w:rsid w:val="00BA1FA5"/>
    <w:rsid w:val="00BE49F1"/>
    <w:rsid w:val="00D81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6CCF5"/>
  <w15:chartTrackingRefBased/>
  <w15:docId w15:val="{DDED645E-2429-463B-B9BE-0EAA00057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4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4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4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4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4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4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4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4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4E7"/>
    <w:rPr>
      <w:rFonts w:eastAsiaTheme="majorEastAsia" w:cstheme="majorBidi"/>
      <w:color w:val="272727" w:themeColor="text1" w:themeTint="D8"/>
    </w:rPr>
  </w:style>
  <w:style w:type="paragraph" w:styleId="Title">
    <w:name w:val="Title"/>
    <w:basedOn w:val="Normal"/>
    <w:next w:val="Normal"/>
    <w:link w:val="TitleChar"/>
    <w:uiPriority w:val="10"/>
    <w:qFormat/>
    <w:rsid w:val="00833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4E7"/>
    <w:pPr>
      <w:spacing w:before="160"/>
      <w:jc w:val="center"/>
    </w:pPr>
    <w:rPr>
      <w:i/>
      <w:iCs/>
      <w:color w:val="404040" w:themeColor="text1" w:themeTint="BF"/>
    </w:rPr>
  </w:style>
  <w:style w:type="character" w:customStyle="1" w:styleId="QuoteChar">
    <w:name w:val="Quote Char"/>
    <w:basedOn w:val="DefaultParagraphFont"/>
    <w:link w:val="Quote"/>
    <w:uiPriority w:val="29"/>
    <w:rsid w:val="008334E7"/>
    <w:rPr>
      <w:i/>
      <w:iCs/>
      <w:color w:val="404040" w:themeColor="text1" w:themeTint="BF"/>
    </w:rPr>
  </w:style>
  <w:style w:type="paragraph" w:styleId="ListParagraph">
    <w:name w:val="List Paragraph"/>
    <w:basedOn w:val="Normal"/>
    <w:uiPriority w:val="34"/>
    <w:qFormat/>
    <w:rsid w:val="008334E7"/>
    <w:pPr>
      <w:ind w:left="720"/>
      <w:contextualSpacing/>
    </w:pPr>
  </w:style>
  <w:style w:type="character" w:styleId="IntenseEmphasis">
    <w:name w:val="Intense Emphasis"/>
    <w:basedOn w:val="DefaultParagraphFont"/>
    <w:uiPriority w:val="21"/>
    <w:qFormat/>
    <w:rsid w:val="008334E7"/>
    <w:rPr>
      <w:i/>
      <w:iCs/>
      <w:color w:val="0F4761" w:themeColor="accent1" w:themeShade="BF"/>
    </w:rPr>
  </w:style>
  <w:style w:type="paragraph" w:styleId="IntenseQuote">
    <w:name w:val="Intense Quote"/>
    <w:basedOn w:val="Normal"/>
    <w:next w:val="Normal"/>
    <w:link w:val="IntenseQuoteChar"/>
    <w:uiPriority w:val="30"/>
    <w:qFormat/>
    <w:rsid w:val="00833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4E7"/>
    <w:rPr>
      <w:i/>
      <w:iCs/>
      <w:color w:val="0F4761" w:themeColor="accent1" w:themeShade="BF"/>
    </w:rPr>
  </w:style>
  <w:style w:type="character" w:styleId="IntenseReference">
    <w:name w:val="Intense Reference"/>
    <w:basedOn w:val="DefaultParagraphFont"/>
    <w:uiPriority w:val="32"/>
    <w:qFormat/>
    <w:rsid w:val="008334E7"/>
    <w:rPr>
      <w:b/>
      <w:bCs/>
      <w:smallCaps/>
      <w:color w:val="0F4761" w:themeColor="accent1" w:themeShade="BF"/>
      <w:spacing w:val="5"/>
    </w:rPr>
  </w:style>
  <w:style w:type="paragraph" w:styleId="Footer">
    <w:name w:val="footer"/>
    <w:basedOn w:val="Normal"/>
    <w:link w:val="FooterChar"/>
    <w:uiPriority w:val="99"/>
    <w:unhideWhenUsed/>
    <w:rsid w:val="008334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34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5ae83bf-5173-442f-899b-ca1b50b823cd}" enabled="1" method="Privileged" siteId="{81349428-f52e-4686-aac8-448974b80e31}"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2</Pages>
  <Words>997</Words>
  <Characters>4823</Characters>
  <Application>Microsoft Office Word</Application>
  <DocSecurity>0</DocSecurity>
  <Lines>70</Lines>
  <Paragraphs>8</Paragraphs>
  <ScaleCrop>false</ScaleCrop>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Leopard, Paul</dc:creator>
  <cp:keywords/>
  <dc:description/>
  <cp:lastModifiedBy>Leopard, Paul</cp:lastModifiedBy>
  <cp:revision>4</cp:revision>
  <dcterms:created xsi:type="dcterms:W3CDTF">2026-03-10T18:05:00Z</dcterms:created>
  <dcterms:modified xsi:type="dcterms:W3CDTF">2026-03-11T23:42:00Z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5dc22512,26bdefd1,560453c5</vt:lpwstr>
  </property>
  <property fmtid="{D5CDD505-2E9C-101B-9397-08002B2CF9AE}" pid="3" name="ClassificationContentMarkingFooterFontProps">
    <vt:lpwstr>#000000,6,Aptos</vt:lpwstr>
  </property>
  <property fmtid="{D5CDD505-2E9C-101B-9397-08002B2CF9AE}" pid="4" name="ClassificationContentMarkingFooterText">
    <vt:lpwstr>DESE Research, Inc. - General</vt:lpwstr>
  </property>
</Properties>
</file>