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64F3" w14:textId="77777777" w:rsidR="00B8435A" w:rsidRPr="00B8435A" w:rsidRDefault="00B8435A" w:rsidP="00B8435A">
      <w:pPr>
        <w:pStyle w:val="Heading1"/>
      </w:pPr>
      <w:r w:rsidRPr="00B8435A">
        <w:t>NRCS Conservation Programs Overview: CTA, EQIP, and CSP Explained</w:t>
      </w:r>
    </w:p>
    <w:p w14:paraId="4C9743B5" w14:textId="77777777" w:rsidR="00B8435A" w:rsidRDefault="00B8435A" w:rsidP="00BF2B34">
      <w:pPr>
        <w:rPr>
          <w:b/>
          <w:bCs/>
        </w:rPr>
      </w:pPr>
    </w:p>
    <w:p w14:paraId="6952DD26" w14:textId="578CB8B8" w:rsidR="00BF2B34" w:rsidRPr="00BF2B34" w:rsidRDefault="00BF2B34" w:rsidP="00B8435A">
      <w:pPr>
        <w:pStyle w:val="Heading2"/>
      </w:pPr>
      <w:r w:rsidRPr="00BF2B34">
        <w:t>NRCS (Natural Resources Conservation Service)</w:t>
      </w:r>
    </w:p>
    <w:p w14:paraId="2AFAF17E" w14:textId="77777777" w:rsidR="00BF2B34" w:rsidRPr="00BF2B34" w:rsidRDefault="00BF2B34" w:rsidP="00BF2B34">
      <w:r w:rsidRPr="00BF2B34">
        <w:t>NRCS is the U.S. Department of Agriculture’s conservation agency that works directly with land stewards (farmers, ranchers, forest landowners, and others) to conserve natural resources on working lands through voluntary, incentive-based programs and technical expertise. (</w:t>
      </w:r>
      <w:hyperlink r:id="rId7" w:tooltip="Missouri | Natural Resources Conservation Service" w:history="1">
        <w:r w:rsidRPr="00BF2B34">
          <w:rPr>
            <w:rStyle w:val="Hyperlink"/>
          </w:rPr>
          <w:t>Natural Resources Conservation Service</w:t>
        </w:r>
      </w:hyperlink>
      <w:r w:rsidRPr="00BF2B34">
        <w:t>)</w:t>
      </w:r>
    </w:p>
    <w:p w14:paraId="780F3DD2" w14:textId="77777777" w:rsidR="00BF2B34" w:rsidRPr="00B8435A" w:rsidRDefault="00BF2B34" w:rsidP="00B8435A">
      <w:pPr>
        <w:pStyle w:val="Heading2"/>
      </w:pPr>
      <w:r w:rsidRPr="00B8435A">
        <w:t>CTA (Conservation Technical Assistance)</w:t>
      </w:r>
    </w:p>
    <w:p w14:paraId="7BC39354" w14:textId="77777777" w:rsidR="00BF2B34" w:rsidRPr="00BF2B34" w:rsidRDefault="00BF2B34" w:rsidP="00BF2B34">
      <w:r w:rsidRPr="00BF2B34">
        <w:t>CTA is NRCS’s no-cost, one-on-one technical help that gives land users the knowledge, tools, and planning support to conserve, maintain, and restore natural resources on their land. NRCS can help develop a conservation plan, provide science-based recommendations, and connect that plan to optional financial assistance programs if the producer chooses to pursue funding. (</w:t>
      </w:r>
      <w:hyperlink r:id="rId8" w:tooltip="Conservation Technical Assistance | Natural Resources Conservation Service" w:history="1">
        <w:r w:rsidRPr="00BF2B34">
          <w:rPr>
            <w:rStyle w:val="Hyperlink"/>
          </w:rPr>
          <w:t>Natural Resources Conservation Service</w:t>
        </w:r>
      </w:hyperlink>
      <w:r w:rsidRPr="00BF2B34">
        <w:t>)</w:t>
      </w:r>
    </w:p>
    <w:p w14:paraId="18F7E90A" w14:textId="77777777" w:rsidR="00BF2B34" w:rsidRPr="00BF2B34" w:rsidRDefault="00BF2B34" w:rsidP="00BF2B34">
      <w:r w:rsidRPr="00BF2B34">
        <w:t>From the Montana CTA fact sheet: CTA supports private land management improvements (water quality/quantity, habitat, sustainable ag systems, and more) and is delivered not only to individual landowners but also to groups and partner organizations (for example conservation districts, tribes, and local governments).</w:t>
      </w:r>
    </w:p>
    <w:p w14:paraId="79B3F148" w14:textId="77777777" w:rsidR="00BF2B34" w:rsidRPr="00BF2B34" w:rsidRDefault="00BF2B34" w:rsidP="00B8435A">
      <w:pPr>
        <w:pStyle w:val="Heading2"/>
      </w:pPr>
      <w:r w:rsidRPr="00BF2B34">
        <w:t>EQIP (Environmental Quality Incentives Program)</w:t>
      </w:r>
    </w:p>
    <w:p w14:paraId="2FE4E246" w14:textId="77777777" w:rsidR="00BF2B34" w:rsidRPr="00BF2B34" w:rsidRDefault="00BF2B34" w:rsidP="00BF2B34">
      <w:r w:rsidRPr="00BF2B34">
        <w:t xml:space="preserve">EQIP is NRCS’s flagship program that provides </w:t>
      </w:r>
      <w:r w:rsidRPr="00BF2B34">
        <w:rPr>
          <w:b/>
          <w:bCs/>
        </w:rPr>
        <w:t>technical and financial assistance</w:t>
      </w:r>
      <w:r w:rsidRPr="00BF2B34">
        <w:t xml:space="preserve"> to help producers and eligible forest landowners address natural resource concerns on working lands. NRCS works with the producer to build a conservation plan, then provides cost-share type assistance to implement eligible conservation practices and activities (which vary by state). (</w:t>
      </w:r>
      <w:hyperlink r:id="rId9" w:tooltip="Environmental Quality Incentives Program (EQIP) | Natural Resources Conservation Service" w:history="1">
        <w:r w:rsidRPr="00BF2B34">
          <w:rPr>
            <w:rStyle w:val="Hyperlink"/>
          </w:rPr>
          <w:t>Natural Resources Conservation Service</w:t>
        </w:r>
      </w:hyperlink>
      <w:r w:rsidRPr="00BF2B34">
        <w:t>)</w:t>
      </w:r>
    </w:p>
    <w:p w14:paraId="7AC95804" w14:textId="77777777" w:rsidR="00BF2B34" w:rsidRPr="00BF2B34" w:rsidRDefault="00BF2B34" w:rsidP="00BF2B34">
      <w:r w:rsidRPr="00BF2B34">
        <w:t>EQIP’s goals commonly include improvements like water and air quality, soil health, reduced erosion and sedimentation, improved wildlife habitat, and mitigation against drought and weather volatility. (</w:t>
      </w:r>
      <w:hyperlink r:id="rId10" w:tooltip="Environmental Quality Incentives Program (EQIP) | Natural Resources Conservation Service" w:history="1">
        <w:r w:rsidRPr="00BF2B34">
          <w:rPr>
            <w:rStyle w:val="Hyperlink"/>
          </w:rPr>
          <w:t>Natural Resources Conservation Service</w:t>
        </w:r>
      </w:hyperlink>
      <w:r w:rsidRPr="00BF2B34">
        <w:t>)</w:t>
      </w:r>
    </w:p>
    <w:p w14:paraId="19428153" w14:textId="77777777" w:rsidR="00BF2B34" w:rsidRPr="00BF2B34" w:rsidRDefault="00BF2B34" w:rsidP="00B8435A">
      <w:pPr>
        <w:pStyle w:val="Heading2"/>
      </w:pPr>
      <w:r w:rsidRPr="00BF2B34">
        <w:t>EQIP Conservation Incentive Contracts (CIC)</w:t>
      </w:r>
    </w:p>
    <w:p w14:paraId="276807F9" w14:textId="77777777" w:rsidR="00BF2B34" w:rsidRPr="00BF2B34" w:rsidRDefault="00BF2B34" w:rsidP="00BF2B34">
      <w:r w:rsidRPr="00BF2B34">
        <w:t xml:space="preserve">NRCS also describes “Conservation Incentive Contracts” as an EQIP option that provides financial assistance to adopt </w:t>
      </w:r>
      <w:r w:rsidRPr="00BF2B34">
        <w:rPr>
          <w:b/>
          <w:bCs/>
        </w:rPr>
        <w:t>conservation management practices</w:t>
      </w:r>
      <w:r w:rsidRPr="00BF2B34">
        <w:t xml:space="preserve"> on working </w:t>
      </w:r>
      <w:r w:rsidRPr="00BF2B34">
        <w:lastRenderedPageBreak/>
        <w:t>landscapes, positioned as a “steppingstone” from fixing issues on specific land units toward whole-operation stewardship. (</w:t>
      </w:r>
      <w:hyperlink r:id="rId11" w:tooltip="EQIP Conservation Incentive Contracts | Natural Resources Conservation Service" w:history="1">
        <w:r w:rsidRPr="00BF2B34">
          <w:rPr>
            <w:rStyle w:val="Hyperlink"/>
          </w:rPr>
          <w:t>Natural Resources Conservation Service</w:t>
        </w:r>
      </w:hyperlink>
      <w:r w:rsidRPr="00BF2B34">
        <w:t>)</w:t>
      </w:r>
    </w:p>
    <w:p w14:paraId="5D06A57C" w14:textId="77777777" w:rsidR="00BF2B34" w:rsidRPr="00BF2B34" w:rsidRDefault="00BF2B34" w:rsidP="00B8435A">
      <w:pPr>
        <w:pStyle w:val="Heading2"/>
      </w:pPr>
      <w:r w:rsidRPr="00BF2B34">
        <w:t>CSP (Conservation Stewardship Program)</w:t>
      </w:r>
    </w:p>
    <w:p w14:paraId="63077191" w14:textId="77777777" w:rsidR="00BF2B34" w:rsidRPr="00BF2B34" w:rsidRDefault="00BF2B34" w:rsidP="00BF2B34">
      <w:r w:rsidRPr="00BF2B34">
        <w:t xml:space="preserve">CSP is designed to help producers </w:t>
      </w:r>
      <w:r w:rsidRPr="00BF2B34">
        <w:rPr>
          <w:b/>
          <w:bCs/>
        </w:rPr>
        <w:t>take existing conservation on their operation to the next level</w:t>
      </w:r>
      <w:r w:rsidRPr="00BF2B34">
        <w:t xml:space="preserve"> by maintaining what they already do and adding new conservation activities (often called practices, enhancements, or bundles). CSP generally emphasizes the whole operation and uses annual payments to support ongoing stewardship improvements. (</w:t>
      </w:r>
      <w:hyperlink r:id="rId12" w:tooltip="Conservation Stewardship Program (CSP)" w:history="1">
        <w:r w:rsidRPr="00BF2B34">
          <w:rPr>
            <w:rStyle w:val="Hyperlink"/>
          </w:rPr>
          <w:t>Natural Resources Conservation Service</w:t>
        </w:r>
      </w:hyperlink>
      <w:r w:rsidRPr="00BF2B34">
        <w:t>)</w:t>
      </w:r>
    </w:p>
    <w:p w14:paraId="2F9CBA9E" w14:textId="77777777" w:rsidR="00BF2B34" w:rsidRPr="00BF2B34" w:rsidRDefault="00BF2B34" w:rsidP="00BF2B34">
      <w:r w:rsidRPr="00BF2B34">
        <w:t>A commonly cited practical distinction (also reflected in the AgNet West explanation) is:</w:t>
      </w:r>
    </w:p>
    <w:p w14:paraId="2AB00B4D" w14:textId="77777777" w:rsidR="00BF2B34" w:rsidRPr="00BF2B34" w:rsidRDefault="00BF2B34" w:rsidP="00BF2B34">
      <w:pPr>
        <w:numPr>
          <w:ilvl w:val="0"/>
          <w:numId w:val="1"/>
        </w:numPr>
      </w:pPr>
      <w:r w:rsidRPr="00BF2B34">
        <w:rPr>
          <w:b/>
          <w:bCs/>
        </w:rPr>
        <w:t>EQIP</w:t>
      </w:r>
      <w:r w:rsidRPr="00BF2B34">
        <w:t xml:space="preserve"> tends to be shorter-term and more practice specific (solving a defined problem in a part of the property)</w:t>
      </w:r>
    </w:p>
    <w:p w14:paraId="3EAE62E3" w14:textId="77777777" w:rsidR="00BF2B34" w:rsidRPr="00BF2B34" w:rsidRDefault="00BF2B34" w:rsidP="00BF2B34">
      <w:pPr>
        <w:numPr>
          <w:ilvl w:val="0"/>
          <w:numId w:val="1"/>
        </w:numPr>
      </w:pPr>
      <w:r w:rsidRPr="00BF2B34">
        <w:rPr>
          <w:b/>
          <w:bCs/>
        </w:rPr>
        <w:t>CSP</w:t>
      </w:r>
      <w:r w:rsidRPr="00BF2B34">
        <w:t xml:space="preserve"> is typically a longer commitment that covers the entire operation and supports ongoing improvements with annual payments (</w:t>
      </w:r>
      <w:hyperlink r:id="rId13" w:tooltip="CSP Explained: Understanding the Differences Between EQIP and CSP" w:history="1">
        <w:r w:rsidRPr="00BF2B34">
          <w:rPr>
            <w:rStyle w:val="Hyperlink"/>
          </w:rPr>
          <w:t>AgNet West</w:t>
        </w:r>
      </w:hyperlink>
      <w:r w:rsidRPr="00BF2B34">
        <w:t>)</w:t>
      </w:r>
    </w:p>
    <w:p w14:paraId="672BFD64" w14:textId="77777777" w:rsidR="00D816F8" w:rsidRDefault="00D816F8"/>
    <w:p w14:paraId="6B5EA4EE" w14:textId="77777777" w:rsidR="005F1D31" w:rsidRDefault="00522B95" w:rsidP="00522B95">
      <w:r>
        <w:t>Contact Information</w:t>
      </w:r>
    </w:p>
    <w:p w14:paraId="2393EA8C" w14:textId="5D798FF3" w:rsidR="00522B95" w:rsidRPr="00522B95" w:rsidRDefault="00522B95" w:rsidP="00522B95">
      <w:pPr>
        <w:numPr>
          <w:ilvl w:val="0"/>
          <w:numId w:val="2"/>
        </w:numPr>
      </w:pPr>
      <w:r w:rsidRPr="00522B95">
        <w:t xml:space="preserve"> </w:t>
      </w:r>
      <w:r w:rsidRPr="00522B95">
        <w:rPr>
          <w:b/>
          <w:bCs/>
        </w:rPr>
        <w:t>Cedric Williams</w:t>
      </w:r>
      <w:r w:rsidR="005F1D31">
        <w:t xml:space="preserve">, </w:t>
      </w:r>
      <w:r w:rsidRPr="00522B95">
        <w:t>District Conservationist, USDA NRCS (serving Limestone and Madison Counties, Alabama). (</w:t>
      </w:r>
      <w:hyperlink r:id="rId14" w:tooltip="usda natural resources conservation service (nrcs) programs" w:history="1">
        <w:r w:rsidRPr="00522B95">
          <w:rPr>
            <w:rStyle w:val="Hyperlink"/>
          </w:rPr>
          <w:t>Results Verification System</w:t>
        </w:r>
      </w:hyperlink>
      <w:r w:rsidRPr="00522B95">
        <w:t>)</w:t>
      </w:r>
    </w:p>
    <w:p w14:paraId="7C99B6C7" w14:textId="77777777" w:rsidR="00522B95" w:rsidRPr="00522B95" w:rsidRDefault="00522B95" w:rsidP="00522B95">
      <w:pPr>
        <w:numPr>
          <w:ilvl w:val="0"/>
          <w:numId w:val="2"/>
        </w:numPr>
      </w:pPr>
      <w:r w:rsidRPr="00522B95">
        <w:rPr>
          <w:b/>
          <w:bCs/>
        </w:rPr>
        <w:t>Email:</w:t>
      </w:r>
      <w:r w:rsidRPr="00522B95">
        <w:t xml:space="preserve"> </w:t>
      </w:r>
      <w:hyperlink r:id="rId15" w:history="1">
        <w:r w:rsidRPr="00522B95">
          <w:rPr>
            <w:rStyle w:val="Hyperlink"/>
          </w:rPr>
          <w:t>cedric.williams@usda.gov</w:t>
        </w:r>
      </w:hyperlink>
      <w:r w:rsidRPr="00522B95">
        <w:t xml:space="preserve"> (</w:t>
      </w:r>
      <w:hyperlink r:id="rId16" w:tooltip="Directory - Lincoln Mill" w:history="1">
        <w:r w:rsidRPr="00522B95">
          <w:rPr>
            <w:rStyle w:val="Hyperlink"/>
          </w:rPr>
          <w:t>Lincoln Mill</w:t>
        </w:r>
      </w:hyperlink>
      <w:r w:rsidRPr="00522B95">
        <w:t>)</w:t>
      </w:r>
    </w:p>
    <w:p w14:paraId="3005D9CB" w14:textId="77777777" w:rsidR="00522B95" w:rsidRPr="00522B95" w:rsidRDefault="00522B95" w:rsidP="00522B95">
      <w:pPr>
        <w:numPr>
          <w:ilvl w:val="0"/>
          <w:numId w:val="2"/>
        </w:numPr>
      </w:pPr>
      <w:r w:rsidRPr="00522B95">
        <w:rPr>
          <w:b/>
          <w:bCs/>
        </w:rPr>
        <w:t>Phone:</w:t>
      </w:r>
      <w:r w:rsidRPr="00522B95">
        <w:t xml:space="preserve"> 256-532-1677 ext. 3 (</w:t>
      </w:r>
      <w:hyperlink r:id="rId17" w:tooltip="Directory - Lincoln Mill" w:history="1">
        <w:r w:rsidRPr="00522B95">
          <w:rPr>
            <w:rStyle w:val="Hyperlink"/>
          </w:rPr>
          <w:t>Lincoln Mill</w:t>
        </w:r>
      </w:hyperlink>
      <w:r w:rsidRPr="00522B95">
        <w:t>)</w:t>
      </w:r>
    </w:p>
    <w:p w14:paraId="6B8110FE" w14:textId="77777777" w:rsidR="00522B95" w:rsidRPr="00522B95" w:rsidRDefault="00522B95" w:rsidP="00522B95">
      <w:pPr>
        <w:numPr>
          <w:ilvl w:val="0"/>
          <w:numId w:val="2"/>
        </w:numPr>
      </w:pPr>
      <w:r w:rsidRPr="00522B95">
        <w:rPr>
          <w:b/>
          <w:bCs/>
        </w:rPr>
        <w:t>Office listing location (directory):</w:t>
      </w:r>
      <w:r w:rsidRPr="00522B95">
        <w:t xml:space="preserve"> “Madison County Natural Resources Conservation Service”, Suite 23D. (</w:t>
      </w:r>
      <w:hyperlink r:id="rId18" w:tooltip="Directory - Lincoln Mill" w:history="1">
        <w:r w:rsidRPr="00522B95">
          <w:rPr>
            <w:rStyle w:val="Hyperlink"/>
          </w:rPr>
          <w:t>Lincoln Mill</w:t>
        </w:r>
      </w:hyperlink>
      <w:r w:rsidRPr="00522B95">
        <w:t>)</w:t>
      </w:r>
    </w:p>
    <w:p w14:paraId="53D77A5A" w14:textId="77777777" w:rsidR="00522B95" w:rsidRDefault="00522B95"/>
    <w:sectPr w:rsidR="00522B95">
      <w:footerReference w:type="even" r:id="rId19"/>
      <w:footerReference w:type="defaul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901EA" w14:textId="77777777" w:rsidR="00201DB2" w:rsidRDefault="00201DB2" w:rsidP="00BF2B34">
      <w:pPr>
        <w:spacing w:after="0" w:line="240" w:lineRule="auto"/>
      </w:pPr>
      <w:r>
        <w:separator/>
      </w:r>
    </w:p>
  </w:endnote>
  <w:endnote w:type="continuationSeparator" w:id="0">
    <w:p w14:paraId="30B4FD4B" w14:textId="77777777" w:rsidR="00201DB2" w:rsidRDefault="00201DB2" w:rsidP="00BF2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E4B0" w14:textId="50A2849D" w:rsidR="00BF2B34" w:rsidRDefault="00BF2B34">
    <w:pPr>
      <w:pStyle w:val="Footer"/>
    </w:pPr>
    <w:r>
      <w:rPr>
        <w:noProof/>
      </w:rPr>
      <mc:AlternateContent>
        <mc:Choice Requires="wps">
          <w:drawing>
            <wp:anchor distT="0" distB="0" distL="0" distR="0" simplePos="0" relativeHeight="251658241" behindDoc="0" locked="0" layoutInCell="1" allowOverlap="1" wp14:anchorId="05C6686F" wp14:editId="74FB3977">
              <wp:simplePos x="635" y="635"/>
              <wp:positionH relativeFrom="page">
                <wp:align>left</wp:align>
              </wp:positionH>
              <wp:positionV relativeFrom="page">
                <wp:align>bottom</wp:align>
              </wp:positionV>
              <wp:extent cx="1235075" cy="298450"/>
              <wp:effectExtent l="0" t="0" r="3175" b="0"/>
              <wp:wrapNone/>
              <wp:docPr id="1324229357" name="Text Box 2"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5075" cy="298450"/>
                      </a:xfrm>
                      <a:prstGeom prst="rect">
                        <a:avLst/>
                      </a:prstGeom>
                      <a:noFill/>
                      <a:ln>
                        <a:noFill/>
                      </a:ln>
                    </wps:spPr>
                    <wps:txbx>
                      <w:txbxContent>
                        <w:p w14:paraId="36C9A8E6" w14:textId="71614CF4" w:rsidR="00BF2B34" w:rsidRPr="00BF2B34" w:rsidRDefault="00BF2B34" w:rsidP="00BF2B34">
                          <w:pPr>
                            <w:spacing w:after="0"/>
                            <w:rPr>
                              <w:rFonts w:ascii="Aptos" w:eastAsia="Aptos" w:hAnsi="Aptos" w:cs="Aptos"/>
                              <w:noProof/>
                              <w:color w:val="000000"/>
                              <w:sz w:val="12"/>
                              <w:szCs w:val="12"/>
                            </w:rPr>
                          </w:pPr>
                          <w:r w:rsidRPr="00BF2B34">
                            <w:rPr>
                              <w:rFonts w:ascii="Aptos" w:eastAsia="Aptos" w:hAnsi="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C6686F" id="_x0000_t202" coordsize="21600,21600" o:spt="202" path="m,l,21600r21600,l21600,xe">
              <v:stroke joinstyle="miter"/>
              <v:path gradientshapeok="t" o:connecttype="rect"/>
            </v:shapetype>
            <v:shape id="Text Box 2" o:spid="_x0000_s1026" type="#_x0000_t202" alt="DESE Research, Inc. - General" style="position:absolute;margin-left:0;margin-top:0;width:97.25pt;height:23.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" filled="f" stroked="f">
              <v:textbox style="mso-fit-shape-to-text:t" inset="20pt,0,0,15pt">
                <w:txbxContent>
                  <w:p w14:paraId="36C9A8E6" w14:textId="71614CF4" w:rsidR="00BF2B34" w:rsidRPr="00BF2B34" w:rsidRDefault="00BF2B34" w:rsidP="00BF2B34">
                    <w:pPr>
                      <w:spacing w:after="0"/>
                      <w:rPr>
                        <w:rFonts w:ascii="Aptos" w:eastAsia="Aptos" w:hAnsi="Aptos" w:cs="Aptos"/>
                        <w:noProof/>
                        <w:color w:val="000000"/>
                        <w:sz w:val="12"/>
                        <w:szCs w:val="12"/>
                      </w:rPr>
                    </w:pPr>
                    <w:r w:rsidRPr="00BF2B34">
                      <w:rPr>
                        <w:rFonts w:ascii="Aptos" w:eastAsia="Aptos" w:hAnsi="Aptos" w:cs="Aptos"/>
                        <w:noProof/>
                        <w:color w:val="000000"/>
                        <w:sz w:val="12"/>
                        <w:szCs w:val="12"/>
                      </w:rPr>
                      <w:t>DESE Research, Inc. -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1ED5" w14:textId="629132A7" w:rsidR="00BF2B34" w:rsidRDefault="00BF2B34">
    <w:pPr>
      <w:pStyle w:val="Footer"/>
    </w:pPr>
    <w:r>
      <w:rPr>
        <w:noProof/>
      </w:rPr>
      <mc:AlternateContent>
        <mc:Choice Requires="wps">
          <w:drawing>
            <wp:anchor distT="0" distB="0" distL="0" distR="0" simplePos="0" relativeHeight="251658242" behindDoc="0" locked="0" layoutInCell="1" allowOverlap="1" wp14:anchorId="77511BD0" wp14:editId="27CBE360">
              <wp:simplePos x="914400" y="9414662"/>
              <wp:positionH relativeFrom="page">
                <wp:align>left</wp:align>
              </wp:positionH>
              <wp:positionV relativeFrom="page">
                <wp:align>bottom</wp:align>
              </wp:positionV>
              <wp:extent cx="1235075" cy="298450"/>
              <wp:effectExtent l="0" t="0" r="3175" b="0"/>
              <wp:wrapNone/>
              <wp:docPr id="1462118213" name="Text Box 3"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5075" cy="298450"/>
                      </a:xfrm>
                      <a:prstGeom prst="rect">
                        <a:avLst/>
                      </a:prstGeom>
                      <a:noFill/>
                      <a:ln>
                        <a:noFill/>
                      </a:ln>
                    </wps:spPr>
                    <wps:txbx>
                      <w:txbxContent>
                        <w:p w14:paraId="35FD3EED" w14:textId="4F63D0D4" w:rsidR="00BF2B34" w:rsidRPr="00BF2B34" w:rsidRDefault="00BF2B34" w:rsidP="00BF2B34">
                          <w:pPr>
                            <w:spacing w:after="0"/>
                            <w:rPr>
                              <w:rFonts w:ascii="Aptos" w:eastAsia="Aptos" w:hAnsi="Aptos" w:cs="Aptos"/>
                              <w:noProof/>
                              <w:color w:val="000000"/>
                              <w:sz w:val="12"/>
                              <w:szCs w:val="12"/>
                            </w:rPr>
                          </w:pPr>
                          <w:r w:rsidRPr="00BF2B34">
                            <w:rPr>
                              <w:rFonts w:ascii="Aptos" w:eastAsia="Aptos" w:hAnsi="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511BD0" id="_x0000_t202" coordsize="21600,21600" o:spt="202" path="m,l,21600r21600,l21600,xe">
              <v:stroke joinstyle="miter"/>
              <v:path gradientshapeok="t" o:connecttype="rect"/>
            </v:shapetype>
            <v:shape id="Text Box 3" o:spid="_x0000_s1027" type="#_x0000_t202" alt="DESE Research, Inc. - General" style="position:absolute;margin-left:0;margin-top:0;width:97.25pt;height:23.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" filled="f" stroked="f">
              <v:textbox style="mso-fit-shape-to-text:t" inset="20pt,0,0,15pt">
                <w:txbxContent>
                  <w:p w14:paraId="35FD3EED" w14:textId="4F63D0D4" w:rsidR="00BF2B34" w:rsidRPr="00BF2B34" w:rsidRDefault="00BF2B34" w:rsidP="00BF2B34">
                    <w:pPr>
                      <w:spacing w:after="0"/>
                      <w:rPr>
                        <w:rFonts w:ascii="Aptos" w:eastAsia="Aptos" w:hAnsi="Aptos" w:cs="Aptos"/>
                        <w:noProof/>
                        <w:color w:val="000000"/>
                        <w:sz w:val="12"/>
                        <w:szCs w:val="12"/>
                      </w:rPr>
                    </w:pPr>
                    <w:r w:rsidRPr="00BF2B34">
                      <w:rPr>
                        <w:rFonts w:ascii="Aptos" w:eastAsia="Aptos" w:hAnsi="Aptos" w:cs="Aptos"/>
                        <w:noProof/>
                        <w:color w:val="000000"/>
                        <w:sz w:val="12"/>
                        <w:szCs w:val="12"/>
                      </w:rPr>
                      <w:t>DESE Research, Inc. -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A883" w14:textId="5E84A423" w:rsidR="00BF2B34" w:rsidRDefault="00BF2B34">
    <w:pPr>
      <w:pStyle w:val="Footer"/>
    </w:pPr>
    <w:r>
      <w:rPr>
        <w:noProof/>
      </w:rPr>
      <mc:AlternateContent>
        <mc:Choice Requires="wps">
          <w:drawing>
            <wp:anchor distT="0" distB="0" distL="0" distR="0" simplePos="0" relativeHeight="251658240" behindDoc="0" locked="0" layoutInCell="1" allowOverlap="1" wp14:anchorId="2199BF71" wp14:editId="21B43478">
              <wp:simplePos x="635" y="635"/>
              <wp:positionH relativeFrom="page">
                <wp:align>left</wp:align>
              </wp:positionH>
              <wp:positionV relativeFrom="page">
                <wp:align>bottom</wp:align>
              </wp:positionV>
              <wp:extent cx="1235075" cy="298450"/>
              <wp:effectExtent l="0" t="0" r="3175" b="0"/>
              <wp:wrapNone/>
              <wp:docPr id="1791065414" name="Text Box 1"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5075" cy="298450"/>
                      </a:xfrm>
                      <a:prstGeom prst="rect">
                        <a:avLst/>
                      </a:prstGeom>
                      <a:noFill/>
                      <a:ln>
                        <a:noFill/>
                      </a:ln>
                    </wps:spPr>
                    <wps:txbx>
                      <w:txbxContent>
                        <w:p w14:paraId="6B9679E7" w14:textId="06CF7FDE" w:rsidR="00BF2B34" w:rsidRPr="00BF2B34" w:rsidRDefault="00BF2B34" w:rsidP="00BF2B34">
                          <w:pPr>
                            <w:spacing w:after="0"/>
                            <w:rPr>
                              <w:rFonts w:ascii="Aptos" w:eastAsia="Aptos" w:hAnsi="Aptos" w:cs="Aptos"/>
                              <w:noProof/>
                              <w:color w:val="000000"/>
                              <w:sz w:val="12"/>
                              <w:szCs w:val="12"/>
                            </w:rPr>
                          </w:pPr>
                          <w:r w:rsidRPr="00BF2B34">
                            <w:rPr>
                              <w:rFonts w:ascii="Aptos" w:eastAsia="Aptos" w:hAnsi="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99BF71" id="_x0000_t202" coordsize="21600,21600" o:spt="202" path="m,l,21600r21600,l21600,xe">
              <v:stroke joinstyle="miter"/>
              <v:path gradientshapeok="t" o:connecttype="rect"/>
            </v:shapetype>
            <v:shape id="Text Box 1" o:spid="_x0000_s1028" type="#_x0000_t202" alt="DESE Research, Inc. - General" style="position:absolute;margin-left:0;margin-top:0;width:97.25pt;height:2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" filled="f" stroked="f">
              <v:textbox style="mso-fit-shape-to-text:t" inset="20pt,0,0,15pt">
                <w:txbxContent>
                  <w:p w14:paraId="6B9679E7" w14:textId="06CF7FDE" w:rsidR="00BF2B34" w:rsidRPr="00BF2B34" w:rsidRDefault="00BF2B34" w:rsidP="00BF2B34">
                    <w:pPr>
                      <w:spacing w:after="0"/>
                      <w:rPr>
                        <w:rFonts w:ascii="Aptos" w:eastAsia="Aptos" w:hAnsi="Aptos" w:cs="Aptos"/>
                        <w:noProof/>
                        <w:color w:val="000000"/>
                        <w:sz w:val="12"/>
                        <w:szCs w:val="12"/>
                      </w:rPr>
                    </w:pPr>
                    <w:r w:rsidRPr="00BF2B34">
                      <w:rPr>
                        <w:rFonts w:ascii="Aptos" w:eastAsia="Aptos" w:hAnsi="Aptos" w:cs="Aptos"/>
                        <w:noProof/>
                        <w:color w:val="000000"/>
                        <w:sz w:val="12"/>
                        <w:szCs w:val="12"/>
                      </w:rPr>
                      <w:t>DESE Research, Inc. -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AB61B" w14:textId="77777777" w:rsidR="00201DB2" w:rsidRDefault="00201DB2" w:rsidP="00BF2B34">
      <w:pPr>
        <w:spacing w:after="0" w:line="240" w:lineRule="auto"/>
      </w:pPr>
      <w:r>
        <w:separator/>
      </w:r>
    </w:p>
  </w:footnote>
  <w:footnote w:type="continuationSeparator" w:id="0">
    <w:p w14:paraId="2EEA5C2D" w14:textId="77777777" w:rsidR="00201DB2" w:rsidRDefault="00201DB2" w:rsidP="00BF2B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E2817"/>
    <w:multiLevelType w:val="multilevel"/>
    <w:tmpl w:val="571A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3104C"/>
    <w:multiLevelType w:val="multilevel"/>
    <w:tmpl w:val="B58E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357730">
    <w:abstractNumId w:val="0"/>
  </w:num>
  <w:num w:numId="2" w16cid:durableId="1705715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978"/>
    <w:rsid w:val="00201DB2"/>
    <w:rsid w:val="003C2C43"/>
    <w:rsid w:val="003E2A5E"/>
    <w:rsid w:val="00433455"/>
    <w:rsid w:val="00522B95"/>
    <w:rsid w:val="005F1D31"/>
    <w:rsid w:val="00630ED6"/>
    <w:rsid w:val="00A45978"/>
    <w:rsid w:val="00A9371C"/>
    <w:rsid w:val="00B6020B"/>
    <w:rsid w:val="00B8435A"/>
    <w:rsid w:val="00BF2B34"/>
    <w:rsid w:val="00C72178"/>
    <w:rsid w:val="00D81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31A7"/>
  <w15:chartTrackingRefBased/>
  <w15:docId w15:val="{DA950368-145F-40E0-B59D-32566A157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978"/>
    <w:rPr>
      <w:rFonts w:eastAsiaTheme="majorEastAsia" w:cstheme="majorBidi"/>
      <w:color w:val="272727" w:themeColor="text1" w:themeTint="D8"/>
    </w:rPr>
  </w:style>
  <w:style w:type="paragraph" w:styleId="Title">
    <w:name w:val="Title"/>
    <w:basedOn w:val="Normal"/>
    <w:next w:val="Normal"/>
    <w:link w:val="TitleChar"/>
    <w:uiPriority w:val="10"/>
    <w:qFormat/>
    <w:rsid w:val="00A45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978"/>
    <w:pPr>
      <w:spacing w:before="160"/>
      <w:jc w:val="center"/>
    </w:pPr>
    <w:rPr>
      <w:i/>
      <w:iCs/>
      <w:color w:val="404040" w:themeColor="text1" w:themeTint="BF"/>
    </w:rPr>
  </w:style>
  <w:style w:type="character" w:customStyle="1" w:styleId="QuoteChar">
    <w:name w:val="Quote Char"/>
    <w:basedOn w:val="DefaultParagraphFont"/>
    <w:link w:val="Quote"/>
    <w:uiPriority w:val="29"/>
    <w:rsid w:val="00A45978"/>
    <w:rPr>
      <w:i/>
      <w:iCs/>
      <w:color w:val="404040" w:themeColor="text1" w:themeTint="BF"/>
    </w:rPr>
  </w:style>
  <w:style w:type="paragraph" w:styleId="ListParagraph">
    <w:name w:val="List Paragraph"/>
    <w:basedOn w:val="Normal"/>
    <w:uiPriority w:val="34"/>
    <w:qFormat/>
    <w:rsid w:val="00A45978"/>
    <w:pPr>
      <w:ind w:left="720"/>
      <w:contextualSpacing/>
    </w:pPr>
  </w:style>
  <w:style w:type="character" w:styleId="IntenseEmphasis">
    <w:name w:val="Intense Emphasis"/>
    <w:basedOn w:val="DefaultParagraphFont"/>
    <w:uiPriority w:val="21"/>
    <w:qFormat/>
    <w:rsid w:val="00A45978"/>
    <w:rPr>
      <w:i/>
      <w:iCs/>
      <w:color w:val="0F4761" w:themeColor="accent1" w:themeShade="BF"/>
    </w:rPr>
  </w:style>
  <w:style w:type="paragraph" w:styleId="IntenseQuote">
    <w:name w:val="Intense Quote"/>
    <w:basedOn w:val="Normal"/>
    <w:next w:val="Normal"/>
    <w:link w:val="IntenseQuoteChar"/>
    <w:uiPriority w:val="30"/>
    <w:qFormat/>
    <w:rsid w:val="00A45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978"/>
    <w:rPr>
      <w:i/>
      <w:iCs/>
      <w:color w:val="0F4761" w:themeColor="accent1" w:themeShade="BF"/>
    </w:rPr>
  </w:style>
  <w:style w:type="character" w:styleId="IntenseReference">
    <w:name w:val="Intense Reference"/>
    <w:basedOn w:val="DefaultParagraphFont"/>
    <w:uiPriority w:val="32"/>
    <w:qFormat/>
    <w:rsid w:val="00A45978"/>
    <w:rPr>
      <w:b/>
      <w:bCs/>
      <w:smallCaps/>
      <w:color w:val="0F4761" w:themeColor="accent1" w:themeShade="BF"/>
      <w:spacing w:val="5"/>
    </w:rPr>
  </w:style>
  <w:style w:type="paragraph" w:styleId="Footer">
    <w:name w:val="footer"/>
    <w:basedOn w:val="Normal"/>
    <w:link w:val="FooterChar"/>
    <w:uiPriority w:val="99"/>
    <w:unhideWhenUsed/>
    <w:rsid w:val="00BF2B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B34"/>
  </w:style>
  <w:style w:type="character" w:styleId="Hyperlink">
    <w:name w:val="Hyperlink"/>
    <w:basedOn w:val="DefaultParagraphFont"/>
    <w:uiPriority w:val="99"/>
    <w:unhideWhenUsed/>
    <w:rsid w:val="00BF2B34"/>
    <w:rPr>
      <w:color w:val="467886" w:themeColor="hyperlink"/>
      <w:u w:val="single"/>
    </w:rPr>
  </w:style>
  <w:style w:type="character" w:styleId="UnresolvedMention">
    <w:name w:val="Unresolved Mention"/>
    <w:basedOn w:val="DefaultParagraphFont"/>
    <w:uiPriority w:val="99"/>
    <w:semiHidden/>
    <w:unhideWhenUsed/>
    <w:rsid w:val="00BF2B34"/>
    <w:rPr>
      <w:color w:val="605E5C"/>
      <w:shd w:val="clear" w:color="auto" w:fill="E1DFDD"/>
    </w:rPr>
  </w:style>
  <w:style w:type="paragraph" w:styleId="Header">
    <w:name w:val="header"/>
    <w:basedOn w:val="Normal"/>
    <w:link w:val="HeaderChar"/>
    <w:uiPriority w:val="99"/>
    <w:semiHidden/>
    <w:unhideWhenUsed/>
    <w:rsid w:val="004334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3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rcs.usda.gov/getting-assistance/conservation-technical-assistance" TargetMode="External"/><Relationship Id="rId13" Type="http://schemas.openxmlformats.org/officeDocument/2006/relationships/hyperlink" Target="https://agnetwest.com/csp-explained-understanding-the-differences-between-eqip-and-csp/" TargetMode="External"/><Relationship Id="rId18" Type="http://schemas.openxmlformats.org/officeDocument/2006/relationships/hyperlink" Target="https://lincolnmill.com/directory/"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nrcs.usda.gov/nrcs/missouri?utm_source=chatgpt.com" TargetMode="External"/><Relationship Id="rId12" Type="http://schemas.openxmlformats.org/officeDocument/2006/relationships/hyperlink" Target="https://www.nrcs.usda.gov/programs-initiatives/conservation-stewardship-program?utm_source=chatgpt.com" TargetMode="External"/><Relationship Id="rId17" Type="http://schemas.openxmlformats.org/officeDocument/2006/relationships/hyperlink" Target="https://lincolnmill.com/directory/" TargetMode="External"/><Relationship Id="rId2" Type="http://schemas.openxmlformats.org/officeDocument/2006/relationships/styles" Target="styles.xml"/><Relationship Id="rId16" Type="http://schemas.openxmlformats.org/officeDocument/2006/relationships/hyperlink" Target="https://lincolnmill.com/directory/"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rcs.usda.gov/programs-initiatives/csp-conservation-stewardship-program/eqip-conservation-incentive-contracts" TargetMode="External"/><Relationship Id="rId5" Type="http://schemas.openxmlformats.org/officeDocument/2006/relationships/footnotes" Target="footnotes.xml"/><Relationship Id="rId15" Type="http://schemas.openxmlformats.org/officeDocument/2006/relationships/hyperlink" Target="mailto:cedric.williams@usda.gov" TargetMode="External"/><Relationship Id="rId23" Type="http://schemas.openxmlformats.org/officeDocument/2006/relationships/theme" Target="theme/theme1.xml"/><Relationship Id="rId10" Type="http://schemas.openxmlformats.org/officeDocument/2006/relationships/hyperlink" Target="https://www.nrcs.usda.gov/programs-initiatives/environmental-quality-incentives-progra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nrcs.usda.gov/programs-initiatives/environmental-quality-incentives-program" TargetMode="External"/><Relationship Id="rId14" Type="http://schemas.openxmlformats.org/officeDocument/2006/relationships/hyperlink" Target="https://rvs.umn.edu/Uploads/PromotionalMaterials/21b4c35e-be54-4a8e-99d9-304bbf717cae.pdf?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5ae83bf-5173-442f-899b-ca1b50b823cd}" enabled="1" method="Privileged" siteId="{81349428-f52e-4686-aac8-448974b80e3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682</Words>
  <Characters>4439</Characters>
  <Application>Microsoft Office Word</Application>
  <DocSecurity>0</DocSecurity>
  <Lines>73</Lines>
  <Paragraphs>32</Paragraphs>
  <ScaleCrop>false</ScaleCrop>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Leopard, Paul</dc:creator>
  <cp:keywords/>
  <dc:description/>
  <cp:lastModifiedBy>Leopard, Paul</cp:lastModifiedBy>
  <cp:revision>6</cp:revision>
  <dcterms:created xsi:type="dcterms:W3CDTF">2026-02-26T18:31:00Z</dcterms:created>
  <dcterms:modified xsi:type="dcterms:W3CDTF">2026-02-26T18:35:00Z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6ac17d46,4eee22ed,57262745</vt:lpwstr>
  </property>
  <property fmtid="{D5CDD505-2E9C-101B-9397-08002B2CF9AE}" pid="3" name="ClassificationContentMarkingFooterFontProps">
    <vt:lpwstr>#000000,6,Aptos</vt:lpwstr>
  </property>
  <property fmtid="{D5CDD505-2E9C-101B-9397-08002B2CF9AE}" pid="4" name="ClassificationContentMarkingFooterText">
    <vt:lpwstr>DESE Research, Inc. - General</vt:lpwstr>
  </property>
</Properties>
</file>