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A Messenger’s Defense: The Pyrrhics of Euripides’ </w:t>
      </w:r>
      <w:r>
        <w:rPr>
          <w:i/>
        </w:rPr>
        <w:t>Andromache</w:t>
      </w:r>
    </w:p>
    <w:p>
      <w:pPr>
        <w:pStyle w:val="FirstParagraph"/>
        <w:rPr/>
      </w:pPr>
      <w:r>
        <w:rPr/>
        <w:t xml:space="preserve">The messenger speech in Euripides’ </w:t>
      </w:r>
      <w:r>
        <w:rPr>
          <w:i/>
        </w:rPr>
        <w:t>Andromache</w:t>
      </w:r>
      <w:r>
        <w:rPr/>
        <w:t xml:space="preserve"> represents the only time in extant tragedy that a murdered body — that of Neoptolemus — appears onstage without the presence of the murderer. As a set piece, it offers the Messenger</w:t>
      </w:r>
      <w:r>
        <w:rPr>
          <w:rStyle w:val="FootnoteAnchor"/>
        </w:rPr>
        <w:footnoteReference w:id="2"/>
      </w:r>
      <w:r>
        <w:rPr/>
        <w:t xml:space="preserve"> unusual latitude in shaping his story: only here and in Sophocles’ </w:t>
      </w:r>
      <w:r>
        <w:rPr>
          <w:i/>
        </w:rPr>
        <w:t>Electra</w:t>
      </w:r>
      <w:r>
        <w:rPr/>
        <w:t xml:space="preserve"> does the messenger tell a geographically remote story. Both stories take place in Delphi, both stories introduce the “body” (ashes in an urn in Sophocles), but, most importantly, the Paidagogos in Sophocles’ </w:t>
      </w:r>
      <w:r>
        <w:rPr>
          <w:i/>
        </w:rPr>
        <w:t>Electra</w:t>
      </w:r>
      <w:r>
        <w:rPr/>
        <w:t xml:space="preserve"> tells a completely fabricated story. This fabrication poses an uncomfortable question for messenger speech: What happens when a character, who is in large part defined by his allegiance to facts and events, tells a lie? </w:t>
      </w:r>
    </w:p>
    <w:p>
      <w:pPr>
        <w:pStyle w:val="Heading2"/>
        <w:rPr/>
      </w:pPr>
      <w:r>
        <w:rPr/>
        <w:t>What the messenger saw and what the messenger said</w:t>
      </w:r>
    </w:p>
    <w:p>
      <w:pPr>
        <w:pStyle w:val="FirstParagraph"/>
        <w:rPr/>
      </w:pPr>
      <w:r>
        <w:rPr/>
        <w:t xml:space="preserve">And if Sophocles can write an untruthful messenger speech, what should we make of the rest of the messenger speech corpus? In this section, I want to examine the similarities between these two speeches. In view of Sophocles’ false messenger, the narrative decisions made by the </w:t>
      </w:r>
      <w:r>
        <w:rPr>
          <w:i/>
        </w:rPr>
        <w:t>Andromache</w:t>
      </w:r>
      <w:r>
        <w:rPr/>
        <w:t xml:space="preserve">’s Messenger suggest that he fails to tell the whole truth. </w:t>
      </w:r>
    </w:p>
    <w:p>
      <w:pPr>
        <w:pStyle w:val="Compact"/>
        <w:numPr>
          <w:ilvl w:val="0"/>
          <w:numId w:val="1"/>
        </w:numPr>
        <w:rPr/>
      </w:pPr>
      <w:r>
        <w:rPr/>
        <w:t>extradiegetic: a character writing his memoirs</w:t>
      </w:r>
    </w:p>
    <w:p>
      <w:pPr>
        <w:pStyle w:val="Compact"/>
        <w:numPr>
          <w:ilvl w:val="0"/>
          <w:numId w:val="1"/>
        </w:numPr>
        <w:rPr/>
      </w:pPr>
      <w:r>
        <w:rPr/>
        <w:t>diegetic/intradiegetic: the events of those memoirs</w:t>
      </w:r>
    </w:p>
    <w:p>
      <w:pPr>
        <w:pStyle w:val="Compact"/>
        <w:numPr>
          <w:ilvl w:val="0"/>
          <w:numId w:val="1"/>
        </w:numPr>
        <w:rPr/>
      </w:pPr>
      <w:r>
        <w:rPr/>
        <w:t>metadiegetic: another character narrating within those memoirs</w:t>
      </w:r>
    </w:p>
    <w:p>
      <w:pPr>
        <w:pStyle w:val="FirstParagraph"/>
        <w:rPr/>
      </w:pPr>
      <w:r>
        <w:rPr/>
        <w:t xml:space="preserve">Far from an outsider, the Messenger’s bias connects him to the other characters of the play, and his limited perspective underscores the </w:t>
      </w:r>
      <w:r>
        <w:rPr>
          <w:i/>
        </w:rPr>
        <w:t>Andromache</w:t>
      </w:r>
      <w:r>
        <w:rPr/>
        <w:t xml:space="preserve">’s central difficulty of knowing just </w:t>
      </w:r>
      <w:r>
        <w:rPr>
          <w:i/>
        </w:rPr>
        <w:t>what</w:t>
      </w:r>
      <w:r>
        <w:rPr/>
        <w:t xml:space="preserve"> is going on.</w:t>
      </w:r>
    </w:p>
    <w:p>
      <w:pPr>
        <w:pStyle w:val="TextBody"/>
        <w:rPr/>
      </w:pPr>
      <w:r>
        <w:rPr/>
        <w:t>A second paragraph. Lorem ipsum dolor sit amet blah blah blah.</w:t>
      </w:r>
    </w:p>
    <w:p>
      <w:pPr>
        <w:pStyle w:val="BlockText"/>
        <w:rPr/>
      </w:pPr>
      <w:r>
        <w:rPr/>
        <w:t>δεινὰς δ’ ἂν εἶδες πυρρίχας φρουρουμένου</w:t>
        <w:br/>
        <w:t>βέλεμνα παιδός. ὡς δέ νιν περισταδὸν</w:t>
        <w:br/>
        <w:t>κύκλωι κατεῖχον οὐ διδόντες ἀμπνοάς,</w:t>
        <w:br/>
        <w:t>βωμοῦ κενώσας δεξίμηλον ἐσχάραν,</w:t>
        <w:br/>
        <w:t>τὸ Τρωϊκὸν πήδημα πηδήσας ποδοῖν</w:t>
        <w:br/>
        <w:t>χωρεῖ πρὸς αὐτούς· οἱ δ’ ὅπως πελειάδες</w:t>
        <w:br/>
        <w:t>ἱέρακ’ ἰδοῦσαι πρὸς φυγὴν ἐνώτισαν.</w:t>
        <w:br/>
        <w:t>πολλοὶ δ’ ἔπιπτον μιγάδες ἔκ τε τραυμάτων</w:t>
        <w:br/>
        <w:t xml:space="preserve">αὐτοί θ’ ὑφ’ αὑτῶν στενοπόρους κατ’ ἐξόδους. (Eur., </w:t>
      </w:r>
      <w:r>
        <w:rPr>
          <w:i/>
        </w:rPr>
        <w:t>Andr</w:t>
      </w:r>
      <w:r>
        <w:rPr/>
        <w:t>. 1135–43)</w:t>
      </w:r>
    </w:p>
    <w:p>
      <w:pPr>
        <w:pStyle w:val="BlockText"/>
        <w:rPr/>
      </w:pPr>
      <w:r>
        <w:rPr/>
        <w:t>And you would have seen the boy’s terrible pyrrhics as he warded off their missiles. And when they stood around him in a circle, held him at bay, and gave no room to breath, he left the offering-receiving hearth of the altar, leaping his Trojan leap with his feet as he advanced towards them. And they turned tail in flight like doves who have seen a hawk. Many of the attackers fell pell-mell from self-inflicted wounds, owing to the narrowness of the exits.</w:t>
      </w:r>
    </w:p>
    <w:p>
      <w:pPr>
        <w:pStyle w:val="Heading1"/>
        <w:rPr/>
      </w:pPr>
      <w:bookmarkStart w:id="0" w:name="references"/>
      <w:r>
        <w:rPr/>
        <w:t>References</w:t>
      </w:r>
      <w:bookmarkEnd w:id="0"/>
    </w:p>
    <w:p>
      <w:pPr>
        <w:pStyle w:val="Bibliography"/>
        <w:rPr/>
      </w:pPr>
      <w:r>
        <w:rPr/>
        <w:t xml:space="preserve">de Jong, Irene J.F. 1991. </w:t>
      </w:r>
      <w:r>
        <w:rPr>
          <w:i/>
        </w:rPr>
        <w:t>Narrative in Drama: The Art of the Euripidean Messenger Speech</w:t>
      </w:r>
      <w:r>
        <w:rPr/>
        <w:t>. Leiden: Brill.</w:t>
      </w:r>
    </w:p>
    <w:sectPr>
      <w:footerReference w:type="default" r:id="rId2"/>
      <w:footnotePr>
        <w:numFmt w:val="decimal"/>
      </w:footnotePr>
      <w:type w:val="nextPage"/>
      <w:pgSz w:w="12240" w:h="15840"/>
      <w:pgMar w:left="1440" w:right="1440" w:header="0" w:top="1440" w:footer="1440" w:bottom="20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88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I follow de Jong 1991 in using “Messenger” when referring to a specific character and “messenger” when referring to the stock figure.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6240" w:hanging="48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96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lineRule="auto" w:line="480" w:before="480" w:after="0"/>
      <w:outlineLvl w:val="0"/>
    </w:pPr>
    <w:rPr>
      <w:rFonts w:ascii="Calibri" w:hAnsi="Calibri" w:eastAsia="" w:cs="" w:cstheme="majorBidi" w:eastAsiaTheme="majorEastAsia"/>
      <w:b/>
      <w:bCs/>
      <w:color w:val="auto" w:themeShade="b5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lineRule="auto" w:line="480" w:before="202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111111"/>
      <w:sz w:val="24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111111"/>
      <w:sz w:val="24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0" w:after="0"/>
      <w:ind w:left="0" w:right="0" w:firstLine="7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480" w:before="0" w:after="0"/>
      <w:ind w:left="0" w:right="0" w:hanging="0"/>
    </w:pPr>
    <w:rPr/>
  </w:style>
  <w:style w:type="paragraph" w:styleId="Compact" w:customStyle="1">
    <w:name w:val="Compact"/>
    <w:basedOn w:val="TextBody"/>
    <w:qFormat/>
    <w:pPr>
      <w:tabs>
        <w:tab w:val="left" w:pos="720" w:leader="none"/>
      </w:tabs>
      <w:spacing w:lineRule="auto" w:line="276" w:before="72" w:after="288"/>
      <w:ind w:left="720" w:right="0" w:hanging="0"/>
      <w:contextualSpacing/>
    </w:pPr>
    <w:rPr>
      <w:sz w:val="21"/>
    </w:rPr>
  </w:style>
  <w:style w:type="paragraph" w:styleId="Title">
    <w:name w:val="Title"/>
    <w:basedOn w:val="Normal"/>
    <w:next w:val="TextBody"/>
    <w:qFormat/>
    <w:pPr>
      <w:keepNext w:val="true"/>
      <w:keepLines/>
      <w:spacing w:lineRule="auto" w:line="480" w:before="0" w:after="0"/>
      <w:jc w:val="center"/>
    </w:pPr>
    <w:rPr>
      <w:rFonts w:ascii="Cambria" w:hAnsi="Cambria" w:eastAsia="" w:cs="" w:cstheme="majorBidi" w:eastAsiaTheme="majorEastAsia"/>
      <w:b w:val="false"/>
      <w:bCs/>
      <w:color w:val="auto" w:themeShade="b5"/>
      <w:sz w:val="24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0" w:after="0"/>
      <w:jc w:val="center"/>
    </w:pPr>
    <w:rPr>
      <w:sz w:val="24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spacing w:lineRule="auto" w:line="480" w:before="0" w:after="0"/>
      <w:ind w:left="720" w:right="0" w:hanging="720"/>
    </w:pPr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0" w:after="288"/>
      <w:ind w:left="720" w:right="0" w:hanging="0"/>
    </w:pPr>
    <w:rPr>
      <w:rFonts w:ascii="Cambria" w:hAnsi="Cambria" w:eastAsia="" w:cs="" w:cstheme="majorBidi" w:eastAsiaTheme="majorEastAsia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>
      <w:spacing w:before="0" w:after="288"/>
    </w:pPr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680" w:leader="none"/>
        <w:tab w:val="right" w:pos="936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LibreOffice/6.3.3.2.0$Linux_X86_64 LibreOffice_project/30$Build-2</Application>
  <Pages>2</Pages>
  <Words>435</Words>
  <Characters>2279</Characters>
  <CharactersWithSpaces>2700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2019-10-10T02:56:26Z</dcterms:created>
  <dc:creator/>
  <dc:description/>
  <dc:language>en-US</dc:language>
  <cp:lastModifiedBy>Charles Pletcher</cp:lastModifiedBy>
  <dcterms:modified xsi:type="dcterms:W3CDTF">2019-12-04T14:00:05Z</dcterms:modified>
  <cp:revision>10</cp:revision>
  <dc:subject/>
  <dc:title>A Messenger’s Defense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ibliography">
    <vt:lpwstr>../references.bib</vt:lpwstr>
  </property>
  <property fmtid="{D5CDD505-2E9C-101B-9397-08002B2CF9AE}" pid="9" name="subtitle">
    <vt:lpwstr>The Pyrrhics of Euripides’ Andromache</vt:lpwstr>
  </property>
</Properties>
</file>