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37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38f783ec18bf98cf41723ab37ca198eb8786c45"/>
    <w:p>
      <w:pPr>
        <w:pStyle w:val="Heading2"/>
      </w:pPr>
      <w:r>
        <w:t xml:space="preserve">Narrative Suspects: Echoes of epic narrativity in Athenian Tragedy</w:t>
      </w:r>
    </w:p>
    <w:bookmarkEnd w:id="9"/>
    <w:bookmarkStart w:id="1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Despite a growing body of innovative approaches to the</w:t>
      </w:r>
      <w:r>
        <w:t xml:space="preserve"> </w:t>
      </w:r>
      <w:r>
        <w:t xml:space="preserve">“messenger function”</w:t>
      </w:r>
      <w:r>
        <w:t xml:space="preserve"> </w:t>
      </w:r>
      <w:r>
        <w:t xml:space="preserve">in Greek tragedy, scholars continue to wrestle with a clear definition of</w:t>
      </w:r>
      <w:r>
        <w:t xml:space="preserve"> </w:t>
      </w:r>
      <w:r>
        <w:t xml:space="preserve">what makes a</w:t>
      </w:r>
      <w:r>
        <w:t xml:space="preserve"> </w:t>
      </w:r>
      <w:r>
        <w:t xml:space="preserve">“messenger speech.”</w:t>
      </w:r>
      <w:r>
        <w:t xml:space="preserve"> </w:t>
      </w:r>
      <w:r>
        <w:t xml:space="preserve">This paper presents and uses a Bidirectional</w:t>
      </w:r>
      <w:r>
        <w:t xml:space="preserve"> </w:t>
      </w:r>
      <w:r>
        <w:t xml:space="preserve">Encoder Representations from Transformers (BERT) model to measure speakers’</w:t>
      </w:r>
      <w:r>
        <w:t xml:space="preserve"> </w:t>
      </w:r>
      <w:r>
        <w:t xml:space="preserve">“narrativity”</w:t>
      </w:r>
      <w:r>
        <w:t xml:space="preserve"> </w:t>
      </w:r>
      <w:r>
        <w:t xml:space="preserve">in tragedy. The model has been trained to classify speech and</w:t>
      </w:r>
      <w:r>
        <w:t xml:space="preserve"> </w:t>
      </w:r>
      <w:r>
        <w:t xml:space="preserve">narrative in the</w:t>
      </w:r>
      <w:r>
        <w:t xml:space="preserve"> </w:t>
      </w:r>
      <w:r>
        <w:rPr>
          <w:i/>
          <w:iCs/>
        </w:rPr>
        <w:t xml:space="preserve">Iliad</w:t>
      </w:r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Odyssey</w:t>
      </w:r>
      <w:r>
        <w:t xml:space="preserve">, and its classification when applied</w:t>
      </w:r>
      <w:r>
        <w:t xml:space="preserve"> </w:t>
      </w:r>
      <w:r>
        <w:t xml:space="preserve">to tragedy provides a useful proxy for how narrative a given passage is—that</w:t>
      </w:r>
      <w:r>
        <w:t xml:space="preserve"> </w:t>
      </w:r>
      <w:r>
        <w:t xml:space="preserve">is, how much it resembles Homeric narrative. By applying this model to the</w:t>
      </w:r>
      <w:r>
        <w:t xml:space="preserve"> </w:t>
      </w:r>
      <w:r>
        <w:t xml:space="preserve">extant tragic corpus, I show that the messenger function in tragedy is less</w:t>
      </w:r>
      <w:r>
        <w:t xml:space="preserve"> </w:t>
      </w:r>
      <w:r>
        <w:t xml:space="preserve">a question of</w:t>
      </w:r>
      <w:r>
        <w:t xml:space="preserve"> </w:t>
      </w:r>
      <w:r>
        <w:t xml:space="preserve">“who”</w:t>
      </w:r>
      <w:r>
        <w:t xml:space="preserve"> </w:t>
      </w:r>
      <w:r>
        <w:t xml:space="preserve">and more a question of</w:t>
      </w:r>
      <w:r>
        <w:t xml:space="preserve"> </w:t>
      </w:r>
      <w:r>
        <w:t xml:space="preserve">“when.”</w:t>
      </w:r>
      <w:r>
        <w:t xml:space="preserve"> </w:t>
      </w:r>
      <w:r>
        <w:t xml:space="preserve">That is, the results from</w:t>
      </w:r>
      <w:r>
        <w:t xml:space="preserve"> </w:t>
      </w:r>
      <w:r>
        <w:t xml:space="preserve">these experiments, alongside three close-reading case studies, suggest that</w:t>
      </w:r>
      <w:r>
        <w:t xml:space="preserve"> </w:t>
      </w:r>
      <w:r>
        <w:t xml:space="preserve">we can productively eschew classification of narrative characters in favor of</w:t>
      </w:r>
      <w:r>
        <w:t xml:space="preserve"> </w:t>
      </w:r>
      <w:r>
        <w:t xml:space="preserve">identifying narrative</w:t>
      </w:r>
      <w:r>
        <w:t xml:space="preserve"> </w:t>
      </w:r>
      <w:r>
        <w:rPr>
          <w:i/>
          <w:iCs/>
        </w:rPr>
        <w:t xml:space="preserve">moments</w:t>
      </w:r>
      <w:r>
        <w:t xml:space="preserve">.</w:t>
      </w:r>
    </w:p>
    <w:bookmarkEnd w:id="10"/>
    <w:bookmarkStart w:id="16" w:name="introduction"/>
    <w:p>
      <w:pPr>
        <w:pStyle w:val="Heading2"/>
      </w:pPr>
      <w:r>
        <w:t xml:space="preserve">Introduction</w:t>
      </w:r>
    </w:p>
    <w:bookmarkStart w:id="13" w:name="choruses-and-messengers"/>
    <w:p>
      <w:pPr>
        <w:pStyle w:val="Heading3"/>
      </w:pPr>
      <w:r>
        <w:t xml:space="preserve">Choruses and messengers</w:t>
      </w:r>
    </w:p>
    <w:p>
      <w:pPr>
        <w:pStyle w:val="FirstParagraph"/>
      </w:pPr>
      <w:r>
        <w:t xml:space="preserve">As Florence Yoon notes,</w:t>
      </w:r>
      <w:r>
        <w:t xml:space="preserve"> </w:t>
      </w:r>
      <w:r>
        <w:t xml:space="preserve">“Messenger”</w:t>
      </w:r>
      <w:r>
        <w:t xml:space="preserve"> </w:t>
      </w:r>
      <w:r>
        <w:t xml:space="preserve">is a</w:t>
      </w:r>
      <w:r>
        <w:t xml:space="preserve"> </w:t>
      </w:r>
      <w:r>
        <w:t xml:space="preserve">“problematic”</w:t>
      </w:r>
      <w:r>
        <w:t xml:space="preserve"> </w:t>
      </w:r>
      <w:r>
        <w:t xml:space="preserve">label for characters:</w:t>
      </w:r>
      <w:r>
        <w:t xml:space="preserve"> </w:t>
      </w:r>
      <w:r>
        <w:t xml:space="preserve">“The word more accurately describes a fluid extra-dramatic function that can be</w:t>
      </w:r>
      <w:r>
        <w:t xml:space="preserve"> </w:t>
      </w:r>
      <w:r>
        <w:t xml:space="preserve">performed by any character”</w:t>
      </w:r>
      <w:r>
        <w:t xml:space="preserve"> </w:t>
      </w:r>
      <w:r>
        <w:t xml:space="preserve">(</w:t>
      </w:r>
      <w:r>
        <w:t xml:space="preserve">@Yoon2022</w:t>
      </w:r>
      <w:r>
        <w:t xml:space="preserve"> </w:t>
      </w:r>
      <w:r>
        <w:t xml:space="preserve">364). While I generally agree with Yoon’s</w:t>
      </w:r>
      <w:r>
        <w:t xml:space="preserve"> </w:t>
      </w:r>
      <w:r>
        <w:t xml:space="preserve">definition and analyses, I have trouble with the notion that the messenger</w:t>
      </w:r>
      <w:r>
        <w:t xml:space="preserve"> </w:t>
      </w:r>
      <w:r>
        <w:t xml:space="preserve">function is</w:t>
      </w:r>
      <w:r>
        <w:t xml:space="preserve"> </w:t>
      </w:r>
      <w:r>
        <w:t xml:space="preserve">“extra-dramatic,”</w:t>
      </w:r>
      <w:r>
        <w:t xml:space="preserve"> </w:t>
      </w:r>
      <w:r>
        <w:t xml:space="preserve">“a concern for the producer rather than a part of</w:t>
      </w:r>
      <w:r>
        <w:t xml:space="preserve"> </w:t>
      </w:r>
      <w:r>
        <w:t xml:space="preserve">the world of the play”</w:t>
      </w:r>
      <w:r>
        <w:t xml:space="preserve"> </w:t>
      </w:r>
      <w:r>
        <w:t xml:space="preserve">(</w:t>
      </w:r>
      <w:r>
        <w:t xml:space="preserve">@Yoon2022</w:t>
      </w:r>
      <w:r>
        <w:t xml:space="preserve"> </w:t>
      </w:r>
      <w:r>
        <w:t xml:space="preserve">374). The issue is that when a character—and I</w:t>
      </w:r>
      <w:r>
        <w:t xml:space="preserve"> </w:t>
      </w:r>
      <w:r>
        <w:t xml:space="preserve">agree that any character can perform the messenger function—acts as a messenger,</w:t>
      </w:r>
      <w:r>
        <w:t xml:space="preserve"> </w:t>
      </w:r>
      <w:r>
        <w:t xml:space="preserve">they signal an epistemic stance not just for the audience or the producer but</w:t>
      </w:r>
      <w:r>
        <w:t xml:space="preserve"> </w:t>
      </w:r>
      <w:r>
        <w:t xml:space="preserve">for the other character’s in the play: they have witnessed an event that others</w:t>
      </w:r>
      <w:r>
        <w:t xml:space="preserve"> </w:t>
      </w:r>
      <w:r>
        <w:t xml:space="preserve">have not seen, and they stand onstage to describe and interpret that event for</w:t>
      </w:r>
      <w:r>
        <w:t xml:space="preserve"> </w:t>
      </w:r>
      <w:r>
        <w:t xml:space="preserve">their internal and external audiences at the same time.</w:t>
      </w:r>
    </w:p>
    <w:p>
      <w:pPr>
        <w:pStyle w:val="BodyText"/>
      </w:pPr>
      <w:r>
        <w:t xml:space="preserve">Like Yoon, I use the phrase</w:t>
      </w:r>
      <w:r>
        <w:t xml:space="preserve"> </w:t>
      </w:r>
      <w:r>
        <w:t xml:space="preserve">“messenger function”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“messenger</w:t>
      </w:r>
      <w:r>
        <w:t xml:space="preserve"> </w:t>
      </w:r>
      <w:r>
        <w:t xml:space="preserve">speech”</w:t>
      </w:r>
      <w:r>
        <w:t xml:space="preserve"> </w:t>
      </w:r>
      <w:r>
        <w:t xml:space="preserve">(or</w:t>
      </w:r>
      <w:r>
        <w:t xml:space="preserve"> </w:t>
      </w:r>
      <w:r>
        <w:t xml:space="preserve">“messenger’s speech”</w:t>
      </w:r>
      <w:r>
        <w:t xml:space="preserve">) because any character can perform this</w:t>
      </w:r>
      <w:r>
        <w:t xml:space="preserve"> </w:t>
      </w:r>
      <w:r>
        <w:t xml:space="preserve">function.</w:t>
      </w:r>
      <w:r>
        <w:rPr>
          <w:rStyle w:val="FootnoteReference"/>
        </w:rPr>
        <w:footnoteReference w:id="11"/>
      </w:r>
      <w:r>
        <w:t xml:space="preserve"> </w:t>
      </w:r>
      <w:r>
        <w:t xml:space="preserve">In Sophocles’</w:t>
      </w:r>
      <w:r>
        <w:t xml:space="preserve"> </w:t>
      </w:r>
      <w:r>
        <w:rPr>
          <w:i/>
          <w:iCs/>
        </w:rPr>
        <w:t xml:space="preserve">Trachiniae</w:t>
      </w:r>
      <w:r>
        <w:t xml:space="preserve">, for example, nearly every character delivers what</w:t>
      </w:r>
      <w:r>
        <w:t xml:space="preserve"> </w:t>
      </w:r>
      <w:r>
        <w:t xml:space="preserve">could be considered a</w:t>
      </w:r>
      <w:r>
        <w:t xml:space="preserve"> </w:t>
      </w:r>
      <w:r>
        <w:t xml:space="preserve">“messenger’s speech”</w:t>
      </w:r>
      <w:r>
        <w:t xml:space="preserve"> </w:t>
      </w:r>
      <w:r>
        <w:t xml:space="preserve">at some point, but there is only</w:t>
      </w:r>
      <w:r>
        <w:t xml:space="preserve"> </w:t>
      </w:r>
      <w:r>
        <w:t xml:space="preserve">one character traditionally designated Ἄγγελος, so it is more precise to say</w:t>
      </w:r>
      <w:r>
        <w:t xml:space="preserve"> </w:t>
      </w:r>
      <w:r>
        <w:t xml:space="preserve">that every character</w:t>
      </w:r>
      <w:r>
        <w:t xml:space="preserve"> </w:t>
      </w:r>
      <w:r>
        <w:rPr>
          <w:i/>
          <w:iCs/>
        </w:rPr>
        <w:t xml:space="preserve">performs the messenger function</w:t>
      </w:r>
      <w:r>
        <w:t xml:space="preserve">.</w:t>
      </w:r>
      <w:r>
        <w:rPr>
          <w:rStyle w:val="FootnoteReference"/>
        </w:rPr>
        <w:footnoteReference w:id="12"/>
      </w:r>
      <w:r>
        <w:t xml:space="preserve"> </w:t>
      </w:r>
      <w:r>
        <w:t xml:space="preserve">In addition to Yoon’s article (and its bibliography)</w:t>
      </w:r>
      <w:r>
        <w:t xml:space="preserve"> </w:t>
      </w:r>
      <w:r>
        <w:t xml:space="preserve">and her work on anonymous characters (</w:t>
      </w:r>
      <w:r>
        <w:t xml:space="preserve">@Yoon2012</w:t>
      </w:r>
      <w:r>
        <w:t xml:space="preserve">), work by Felix Budelmann and</w:t>
      </w:r>
      <w:r>
        <w:t xml:space="preserve"> </w:t>
      </w:r>
      <w:r>
        <w:t xml:space="preserve">Evert van Emde Boas on a cognitive approach to the messenger function; work</w:t>
      </w:r>
      <w:r>
        <w:t xml:space="preserve"> </w:t>
      </w:r>
      <w:r>
        <w:t xml:space="preserve">by Eleanor Dickin on how messenger roles developed from bit parts to star</w:t>
      </w:r>
      <w:r>
        <w:t xml:space="preserve"> </w:t>
      </w:r>
      <w:r>
        <w:t xml:space="preserve">platforms; and seminal monographs by James Barrett and Irene J. F. de Jong</w:t>
      </w:r>
      <w:r>
        <w:t xml:space="preserve"> </w:t>
      </w:r>
      <w:r>
        <w:t xml:space="preserve">speak to the scholarly interest in tragic messengers over the past few decades</w:t>
      </w:r>
      <w:r>
        <w:t xml:space="preserve"> </w:t>
      </w:r>
      <w:r>
        <w:t xml:space="preserve">(</w:t>
      </w:r>
      <w:r>
        <w:t xml:space="preserve">@Budelmann.vanEmdeBoas2020</w:t>
      </w:r>
      <w:r>
        <w:t xml:space="preserve">; Dickin2009; Barrett2002; deJong1991). Simon Perris</w:t>
      </w:r>
      <w:r>
        <w:t xml:space="preserve"> </w:t>
      </w:r>
      <w:r>
        <w:t xml:space="preserve">and C. W. Marshall have also made valuable contributions to efforts to define</w:t>
      </w:r>
      <w:r>
        <w:t xml:space="preserve"> </w:t>
      </w:r>
      <w:r>
        <w:t xml:space="preserve">this surprisingly elusive tragic figure/function (</w:t>
      </w:r>
      <w:r>
        <w:t xml:space="preserve">@Perris2011</w:t>
      </w:r>
      <w:r>
        <w:t xml:space="preserve">,</w:t>
      </w:r>
      <w:r>
        <w:t xml:space="preserve"> </w:t>
      </w:r>
      <w:r>
        <w:t xml:space="preserve">@Perris2011a</w:t>
      </w:r>
      <w:r>
        <w:t xml:space="preserve">,</w:t>
      </w:r>
      <w:r>
        <w:t xml:space="preserve"> </w:t>
      </w:r>
      <w:r>
        <w:t xml:space="preserve">@Marshall2006</w:t>
      </w:r>
      <w:r>
        <w:t xml:space="preserve">). Perris prefers</w:t>
      </w:r>
      <w:r>
        <w:t xml:space="preserve"> </w:t>
      </w:r>
      <w:r>
        <w:t xml:space="preserve">“report-narrative”</w:t>
      </w:r>
      <w:r>
        <w:t xml:space="preserve"> </w:t>
      </w:r>
      <w:r>
        <w:t xml:space="preserve">to describe the type speeches</w:t>
      </w:r>
      <w:r>
        <w:t xml:space="preserve"> </w:t>
      </w:r>
      <w:r>
        <w:t xml:space="preserve">under investigation, and he usefully sums up the long-supposed epic associations</w:t>
      </w:r>
      <w:r>
        <w:t xml:space="preserve"> </w:t>
      </w:r>
      <w:r>
        <w:t xml:space="preserve">with these speeches:</w:t>
      </w:r>
      <w:r>
        <w:t xml:space="preserve"> </w:t>
      </w:r>
      <w:r>
        <w:t xml:space="preserve">“… tragic report-narratives have long been considered an</w:t>
      </w:r>
      <w:r>
        <w:t xml:space="preserve"> </w:t>
      </w:r>
      <w:r>
        <w:t xml:space="preserve">‘epic’</w:t>
      </w:r>
      <w:r>
        <w:t xml:space="preserve"> </w:t>
      </w:r>
      <w:r>
        <w:t xml:space="preserve">feature, principally due to the supposedly languid narrative style, the</w:t>
      </w:r>
      <w:r>
        <w:t xml:space="preserve"> </w:t>
      </w:r>
      <w:r>
        <w:t xml:space="preserve">apparently objective stance, the frequency of direct speech, and the occurence</w:t>
      </w:r>
      <w:r>
        <w:t xml:space="preserve"> </w:t>
      </w:r>
      <w:r>
        <w:t xml:space="preserve">of</w:t>
      </w:r>
      <w:r>
        <w:t xml:space="preserve"> </w:t>
      </w:r>
      <w:r>
        <w:t xml:space="preserve">‘Homeric’</w:t>
      </w:r>
      <w:r>
        <w:t xml:space="preserve"> </w:t>
      </w:r>
      <w:r>
        <w:t xml:space="preserve">linguistic features (epithets and unaugmented historic verbs) in</w:t>
      </w:r>
      <w:r>
        <w:t xml:space="preserve"> </w:t>
      </w:r>
      <w:r>
        <w:t xml:space="preserve">some speeches”</w:t>
      </w:r>
      <w:r>
        <w:t xml:space="preserve"> </w:t>
      </w:r>
      <w:r>
        <w:t xml:space="preserve">(</w:t>
      </w:r>
      <w:r>
        <w:t xml:space="preserve">@Perris2011</w:t>
      </w:r>
      <w:r>
        <w:t xml:space="preserve"> </w:t>
      </w:r>
      <w:r>
        <w:t xml:space="preserve">8). Where Perris is</w:t>
      </w:r>
      <w:r>
        <w:t xml:space="preserve"> </w:t>
      </w:r>
      <w:r>
        <w:t xml:space="preserve">“loathe to universalise the epic</w:t>
      </w:r>
      <w:r>
        <w:t xml:space="preserve"> </w:t>
      </w:r>
      <w:r>
        <w:t xml:space="preserve">quality”</w:t>
      </w:r>
      <w:r>
        <w:t xml:space="preserve"> </w:t>
      </w:r>
      <w:r>
        <w:t xml:space="preserve">of the messenger function, Barrett, on the other hand, and Yoon more</w:t>
      </w:r>
      <w:r>
        <w:t xml:space="preserve"> </w:t>
      </w:r>
      <w:r>
        <w:t xml:space="preserve">recently seem to take the messenger function’s epic heritage as more or less a</w:t>
      </w:r>
      <w:r>
        <w:t xml:space="preserve"> </w:t>
      </w:r>
      <w:r>
        <w:t xml:space="preserve">given (</w:t>
      </w:r>
      <w:r>
        <w:t xml:space="preserve">@Perris2011</w:t>
      </w:r>
      <w:r>
        <w:t xml:space="preserve"> </w:t>
      </w:r>
      <w:r>
        <w:t xml:space="preserve">8;</w:t>
      </w:r>
      <w:r>
        <w:t xml:space="preserve"> </w:t>
      </w:r>
      <w:r>
        <w:t xml:space="preserve">@Barrett1995</w:t>
      </w:r>
      <w:r>
        <w:t xml:space="preserve">;</w:t>
      </w:r>
      <w:r>
        <w:t xml:space="preserve"> </w:t>
      </w:r>
      <w:r>
        <w:t xml:space="preserve">@Barrett2002</w:t>
      </w:r>
      <w:r>
        <w:t xml:space="preserve"> </w:t>
      </w:r>
      <w:r>
        <w:t xml:space="preserve">72 and</w:t>
      </w:r>
      <w:r>
        <w:t xml:space="preserve"> </w:t>
      </w:r>
      <w:r>
        <w:rPr>
          <w:i/>
          <w:iCs/>
        </w:rPr>
        <w:t xml:space="preserve">passim</w:t>
      </w:r>
      <w:r>
        <w:t xml:space="preserve">;</w:t>
      </w:r>
      <w:r>
        <w:t xml:space="preserve"> </w:t>
      </w:r>
      <w:r>
        <w:t xml:space="preserve">@Yoon2022</w:t>
      </w:r>
      <w:r>
        <w:t xml:space="preserve"> </w:t>
      </w:r>
      <w:r>
        <w:t xml:space="preserve">382</w:t>
      </w:r>
      <w:r>
        <w:t xml:space="preserve"> </w:t>
      </w:r>
      <w:r>
        <w:t xml:space="preserve">n. 62).</w:t>
      </w:r>
    </w:p>
    <w:p>
      <w:pPr>
        <w:pStyle w:val="BodyText"/>
      </w:pPr>
      <w:r>
        <w:t xml:space="preserve">If the messenger function’s authority derives from its close association</w:t>
      </w:r>
      <w:r>
        <w:t xml:space="preserve"> </w:t>
      </w:r>
      <w:r>
        <w:t xml:space="preserve">with the epic narrator, we should be able to quantify that influence using</w:t>
      </w:r>
      <w:r>
        <w:t xml:space="preserve"> </w:t>
      </w:r>
      <w:r>
        <w:t xml:space="preserve">bidirectional encoder representations from transformers (BERT) trained to</w:t>
      </w:r>
      <w:r>
        <w:t xml:space="preserve"> </w:t>
      </w:r>
      <w:r>
        <w:t xml:space="preserve">classify epic direct speech as opposed to narrative (</w:t>
      </w:r>
      <w:r>
        <w:t xml:space="preserve">@Vaswani.etal2023</w:t>
      </w:r>
      <w:r>
        <w:t xml:space="preserve">). BERT</w:t>
      </w:r>
      <w:r>
        <w:t xml:space="preserve"> </w:t>
      </w:r>
      <w:r>
        <w:t xml:space="preserve">models learn to represent textual content as many-dimensional lists of numbers.</w:t>
      </w:r>
      <w:r>
        <w:t xml:space="preserve"> </w:t>
      </w:r>
      <w:r>
        <w:t xml:space="preserve">By</w:t>
      </w:r>
      <w:r>
        <w:t xml:space="preserve"> </w:t>
      </w:r>
      <w:r>
        <w:t xml:space="preserve">“fine-tuning”</w:t>
      </w:r>
      <w:r>
        <w:t xml:space="preserve"> </w:t>
      </w:r>
      <w:r>
        <w:t xml:space="preserve">a BERT to classify these vectors according to pre-assigned</w:t>
      </w:r>
      <w:r>
        <w:t xml:space="preserve"> </w:t>
      </w:r>
      <w:r>
        <w:t xml:space="preserve">labels, we can use these abstract representations of textual content to compare</w:t>
      </w:r>
      <w:r>
        <w:t xml:space="preserve"> </w:t>
      </w:r>
      <w:r>
        <w:t xml:space="preserve">both text and its context. Classifying by epic speech versus epic narrative,</w:t>
      </w:r>
      <w:r>
        <w:t xml:space="preserve"> </w:t>
      </w:r>
      <w:r>
        <w:t xml:space="preserve">as opposed to classifying according to an epic-tragic axis with the hypothesis</w:t>
      </w:r>
      <w:r>
        <w:t xml:space="preserve"> </w:t>
      </w:r>
      <w:r>
        <w:t xml:space="preserve">that messengers will be more</w:t>
      </w:r>
      <w:r>
        <w:t xml:space="preserve"> </w:t>
      </w:r>
      <w:r>
        <w:t xml:space="preserve">“epic”</w:t>
      </w:r>
      <w:r>
        <w:t xml:space="preserve"> </w:t>
      </w:r>
      <w:r>
        <w:t xml:space="preserve">overall, avoids the meter conundrum by</w:t>
      </w:r>
      <w:r>
        <w:t xml:space="preserve"> </w:t>
      </w:r>
      <w:r>
        <w:t xml:space="preserve">restricting the model to one meter (dactylic hexameter) and applying it to</w:t>
      </w:r>
      <w:r>
        <w:t xml:space="preserve"> </w:t>
      </w:r>
      <w:r>
        <w:t xml:space="preserve">tragic meters (predominantly iambic trimeter, but the experiments apply the</w:t>
      </w:r>
      <w:r>
        <w:t xml:space="preserve"> </w:t>
      </w:r>
      <w:r>
        <w:t xml:space="preserve">model to trochaic tetrameters, anapests, and lyric meters as well).</w:t>
      </w:r>
    </w:p>
    <w:p>
      <w:pPr>
        <w:pStyle w:val="BodyText"/>
      </w:pPr>
      <w:r>
        <w:t xml:space="preserve">One might wonder whether the messenger function’s epic flavor comes from a</w:t>
      </w:r>
      <w:r>
        <w:t xml:space="preserve"> </w:t>
      </w:r>
      <w:r>
        <w:t xml:space="preserve">preference for metrical resolution compared to other speaker classes. A full</w:t>
      </w:r>
      <w:r>
        <w:t xml:space="preserve"> </w:t>
      </w:r>
      <w:r>
        <w:t xml:space="preserve">report is outside the scope of this paper, but I have conducted a computational</w:t>
      </w:r>
      <w:r>
        <w:t xml:space="preserve"> </w:t>
      </w:r>
      <w:r>
        <w:t xml:space="preserve">metrical analysis of the iambic trimeters in tragedy and found that no character</w:t>
      </w:r>
      <w:r>
        <w:t xml:space="preserve"> </w:t>
      </w:r>
      <w:r>
        <w:t xml:space="preserve">class shows a sufficient preference for or against resolution to distinguish it</w:t>
      </w:r>
      <w:r>
        <w:t xml:space="preserve"> </w:t>
      </w:r>
      <w:r>
        <w:t xml:space="preserve">from other character classes.</w:t>
      </w:r>
    </w:p>
    <w:p>
      <w:pPr>
        <w:pStyle w:val="BodyText"/>
      </w:pPr>
      <w:r>
        <w:t xml:space="preserve">![FIGURE SHOWING RESOLUTIONS]</w:t>
      </w:r>
    </w:p>
    <w:p>
      <w:pPr>
        <w:pStyle w:val="BodyText"/>
      </w:pPr>
      <w:r>
        <w:t xml:space="preserve">Thus, we use a fine-tuned BERT to measure similarities between the learned</w:t>
      </w:r>
      <w:r>
        <w:t xml:space="preserve"> </w:t>
      </w:r>
      <w:r>
        <w:t xml:space="preserve">vectors representing epic speech and narrative and the vectors representing</w:t>
      </w:r>
      <w:r>
        <w:t xml:space="preserve"> </w:t>
      </w:r>
      <w:r>
        <w:t xml:space="preserve">sentences in tragedy.</w:t>
      </w:r>
    </w:p>
    <w:bookmarkEnd w:id="13"/>
    <w:bookmarkStart w:id="15" w:name="calculating-influence"/>
    <w:p>
      <w:pPr>
        <w:pStyle w:val="Heading3"/>
      </w:pPr>
      <w:r>
        <w:t xml:space="preserve">Calculating influence</w:t>
      </w:r>
    </w:p>
    <w:p>
      <w:pPr>
        <w:pStyle w:val="FirstParagraph"/>
      </w:pPr>
      <w:r>
        <w:t xml:space="preserve">The computational methods for this work draw on a rich history of quantitative</w:t>
      </w:r>
      <w:r>
        <w:t xml:space="preserve"> </w:t>
      </w:r>
      <w:r>
        <w:t xml:space="preserve">research on Homeric epic.</w:t>
      </w:r>
      <w:r>
        <w:rPr>
          <w:rStyle w:val="FootnoteReference"/>
        </w:rPr>
        <w:footnoteReference w:id="14"/>
      </w:r>
      <w:r>
        <w:t xml:space="preserve"> </w:t>
      </w:r>
      <w:r>
        <w:t xml:space="preserve">In recent years, teams of scholars have taken various approaches to character</w:t>
      </w:r>
      <w:r>
        <w:t xml:space="preserve"> </w:t>
      </w:r>
      <w:r>
        <w:t xml:space="preserve">type in drama, such as network analysis to capture the influence of</w:t>
      </w:r>
      <w:r>
        <w:t xml:space="preserve"> </w:t>
      </w:r>
      <w:r>
        <w:rPr>
          <w:i/>
          <w:iCs/>
        </w:rPr>
        <w:t xml:space="preserve">servi</w:t>
      </w:r>
      <w:r>
        <w:rPr>
          <w:i/>
          <w:iCs/>
        </w:rPr>
        <w:t xml:space="preserve"> </w:t>
      </w:r>
      <w:r>
        <w:rPr>
          <w:i/>
          <w:iCs/>
        </w:rPr>
        <w:t xml:space="preserve">callidi</w:t>
      </w:r>
      <w:r>
        <w:t xml:space="preserve"> </w:t>
      </w:r>
      <w:r>
        <w:t xml:space="preserve">figures in Roman comedy (</w:t>
      </w:r>
      <w:r>
        <w:t xml:space="preserve">@Beine.etal2025</w:t>
      </w:r>
      <w:r>
        <w:t xml:space="preserve">); sentence embeddings using</w:t>
      </w:r>
      <w:r>
        <w:t xml:space="preserve"> </w:t>
      </w:r>
      <w:r>
        <w:t xml:space="preserve">SBERT to calculate semantic similarity and capture repetition among speakers</w:t>
      </w:r>
      <w:r>
        <w:t xml:space="preserve"> </w:t>
      </w:r>
      <w:r>
        <w:t xml:space="preserve">(</w:t>
      </w:r>
      <w:r>
        <w:t xml:space="preserve">@Szemes.Nagy2024</w:t>
      </w:r>
      <w:r>
        <w:t xml:space="preserve">); and training a classification model to track character</w:t>
      </w:r>
      <w:r>
        <w:t xml:space="preserve"> </w:t>
      </w:r>
      <w:r>
        <w:t xml:space="preserve">archetypes (Keith.etal2026) or sentiment analysis in the New Testament</w:t>
      </w:r>
      <w:r>
        <w:t xml:space="preserve"> </w:t>
      </w:r>
      <w:r>
        <w:t xml:space="preserve">(</w:t>
      </w:r>
      <w:r>
        <w:t xml:space="preserve">@Kang2025</w:t>
      </w:r>
      <w:r>
        <w:t xml:space="preserve">). Little work, however, has been done on quantifying the narrativity</w:t>
      </w:r>
      <w:r>
        <w:t xml:space="preserve"> </w:t>
      </w:r>
      <w:r>
        <w:t xml:space="preserve">of the messenger function in Athenian tragedy. As described above, this paper</w:t>
      </w:r>
      <w:r>
        <w:t xml:space="preserve"> </w:t>
      </w:r>
      <w:r>
        <w:t xml:space="preserve">uses a binary classifier trained on speech and narrative in the Homeric epics</w:t>
      </w:r>
      <w:r>
        <w:t xml:space="preserve"> </w:t>
      </w:r>
      <w:r>
        <w:t xml:space="preserve">as one way of quantifying what sets messenger narratives in tragedy apart from</w:t>
      </w:r>
      <w:r>
        <w:t xml:space="preserve"> </w:t>
      </w:r>
      <w:r>
        <w:t xml:space="preserve">other types of tragic speeches.</w:t>
      </w:r>
    </w:p>
    <w:bookmarkEnd w:id="15"/>
    <w:bookmarkEnd w:id="16"/>
    <w:bookmarkStart w:id="21" w:name="methodology"/>
    <w:p>
      <w:pPr>
        <w:pStyle w:val="Heading2"/>
      </w:pPr>
      <w:r>
        <w:t xml:space="preserve">Methodology</w:t>
      </w:r>
    </w:p>
    <w:bookmarkStart w:id="19" w:name="computational-methods"/>
    <w:p>
      <w:pPr>
        <w:pStyle w:val="Heading3"/>
      </w:pPr>
      <w:r>
        <w:t xml:space="preserve">Computational methods</w:t>
      </w:r>
    </w:p>
    <w:p>
      <w:pPr>
        <w:pStyle w:val="FirstParagraph"/>
      </w:pPr>
      <w:r>
        <w:t xml:space="preserve">In a recent paper on character archetypes in Calderón de la Barca, Allison</w:t>
      </w:r>
      <w:r>
        <w:t xml:space="preserve"> </w:t>
      </w:r>
      <w:r>
        <w:t xml:space="preserve">Keith et al. use the performance of a pretrained automatic classification</w:t>
      </w:r>
      <w:r>
        <w:t xml:space="preserve"> </w:t>
      </w:r>
      <w:r>
        <w:t xml:space="preserve">model to determine</w:t>
      </w:r>
      <w:r>
        <w:t xml:space="preserve"> </w:t>
      </w:r>
      <w:r>
        <w:t xml:space="preserve">“how differentiable the speech of one archetype is from that</w:t>
      </w:r>
      <w:r>
        <w:t xml:space="preserve"> </w:t>
      </w:r>
      <w:r>
        <w:t xml:space="preserve">of another”</w:t>
      </w:r>
      <w:r>
        <w:t xml:space="preserve"> </w:t>
      </w:r>
      <w:r>
        <w:t xml:space="preserve">(</w:t>
      </w:r>
      <w:r>
        <w:t xml:space="preserve">@Keith.etal2026</w:t>
      </w:r>
      <w:r>
        <w:t xml:space="preserve"> </w:t>
      </w:r>
      <w:r>
        <w:t xml:space="preserve">2). In a similar vein, this paper does not use</w:t>
      </w:r>
      <w:r>
        <w:t xml:space="preserve"> </w:t>
      </w:r>
      <w:r>
        <w:t xml:space="preserve">its model to classify speech and narrative</w:t>
      </w:r>
      <w:r>
        <w:t xml:space="preserve"> </w:t>
      </w:r>
      <w:r>
        <w:rPr>
          <w:i/>
          <w:iCs/>
        </w:rPr>
        <w:t xml:space="preserve">per se</w:t>
      </w:r>
      <w:r>
        <w:t xml:space="preserve">, but rather to measure a</w:t>
      </w:r>
      <w:r>
        <w:t xml:space="preserve"> </w:t>
      </w:r>
      <w:r>
        <w:t xml:space="preserve">passage’s affinity for Homeric narrative style.</w:t>
      </w:r>
    </w:p>
    <w:p>
      <w:pPr>
        <w:pStyle w:val="BodyText"/>
      </w:pPr>
      <w:r>
        <w:t xml:space="preserve">To train the model, speeches in the Homeric epics were obtained from the Digital</w:t>
      </w:r>
      <w:r>
        <w:t xml:space="preserve"> </w:t>
      </w:r>
      <w:r>
        <w:t xml:space="preserve">Initiative for Classics: Epic Speeches (DICES) database (</w:t>
      </w:r>
      <w:r>
        <w:t xml:space="preserve">@Forstall.etal2022</w:t>
      </w:r>
      <w:r>
        <w:t xml:space="preserve">).</w:t>
      </w:r>
      <w:r>
        <w:t xml:space="preserve"> </w:t>
      </w:r>
      <w:r>
        <w:t xml:space="preserve">The texts of the epics were obtained from the Perseus Digital Library</w:t>
      </w:r>
      <w:r>
        <w:t xml:space="preserve"> </w:t>
      </w:r>
      <w:r>
        <w:t xml:space="preserve">treebanks</w:t>
      </w:r>
      <w:r>
        <w:rPr>
          <w:rStyle w:val="FootnoteReference"/>
        </w:rPr>
        <w:footnoteReference w:id="17"/>
      </w:r>
      <w:r>
        <w:t xml:space="preserve">, and a script assigned</w:t>
      </w:r>
      <w:r>
        <w:t xml:space="preserve"> </w:t>
      </w:r>
      <w:r>
        <w:t xml:space="preserve">each sentence—not line—a label of</w:t>
      </w:r>
      <w:r>
        <w:t xml:space="preserve"> </w:t>
      </w:r>
      <w:r>
        <w:t xml:space="preserve">“speech”</w:t>
      </w:r>
      <w:r>
        <w:t xml:space="preserve"> </w:t>
      </w:r>
      <w:r>
        <w:t xml:space="preserve">or</w:t>
      </w:r>
      <w:r>
        <w:t xml:space="preserve"> </w:t>
      </w:r>
      <w:r>
        <w:t xml:space="preserve">“narrative”</w:t>
      </w:r>
      <w:r>
        <w:t xml:space="preserve"> </w:t>
      </w:r>
      <w:r>
        <w:t xml:space="preserve">based on the speech</w:t>
      </w:r>
      <w:r>
        <w:t xml:space="preserve"> </w:t>
      </w:r>
      <w:r>
        <w:t xml:space="preserve">ranges obtained from DICES. The result was 8633 lines labeled</w:t>
      </w:r>
      <w:r>
        <w:t xml:space="preserve"> </w:t>
      </w:r>
      <w:r>
        <w:t xml:space="preserve">“narrative”</w:t>
      </w:r>
      <w:r>
        <w:t xml:space="preserve"> </w:t>
      </w:r>
      <w:r>
        <w:t xml:space="preserve">and</w:t>
      </w:r>
      <w:r>
        <w:t xml:space="preserve"> </w:t>
      </w:r>
      <w:r>
        <w:t xml:space="preserve">7125 lines labeled</w:t>
      </w:r>
      <w:r>
        <w:t xml:space="preserve"> </w:t>
      </w:r>
      <w:r>
        <w:t xml:space="preserve">“speech”</w:t>
      </w:r>
      <w:r>
        <w:t xml:space="preserve"> </w:t>
      </w:r>
      <w:r>
        <w:t xml:space="preserve">for the</w:t>
      </w:r>
      <w:r>
        <w:t xml:space="preserve"> </w:t>
      </w:r>
      <w:r>
        <w:rPr>
          <w:i/>
          <w:iCs/>
        </w:rPr>
        <w:t xml:space="preserve">Iliad</w:t>
      </w:r>
      <w:r>
        <w:t xml:space="preserve"> </w:t>
      </w:r>
      <w:r>
        <w:t xml:space="preserve">(15,758 lines total); 3878 lines</w:t>
      </w:r>
      <w:r>
        <w:t xml:space="preserve"> </w:t>
      </w:r>
      <w:r>
        <w:t xml:space="preserve">labeled</w:t>
      </w:r>
      <w:r>
        <w:t xml:space="preserve"> </w:t>
      </w:r>
      <w:r>
        <w:t xml:space="preserve">“narrative”</w:t>
      </w:r>
      <w:r>
        <w:t xml:space="preserve"> </w:t>
      </w:r>
      <w:r>
        <w:t xml:space="preserve">and 8404 lines labeled</w:t>
      </w:r>
      <w:r>
        <w:t xml:space="preserve"> </w:t>
      </w:r>
      <w:r>
        <w:t xml:space="preserve">“speech”</w:t>
      </w:r>
      <w:r>
        <w:t xml:space="preserve"> </w:t>
      </w:r>
      <w:r>
        <w:t xml:space="preserve">for the</w:t>
      </w:r>
      <w:r>
        <w:t xml:space="preserve"> </w:t>
      </w:r>
      <w:r>
        <w:rPr>
          <w:i/>
          <w:iCs/>
        </w:rPr>
        <w:t xml:space="preserve">Odyssey</w:t>
      </w:r>
      <w:r>
        <w:t xml:space="preserve"> </w:t>
      </w:r>
      <w:r>
        <w:t xml:space="preserve">(12,282</w:t>
      </w:r>
      <w:r>
        <w:t xml:space="preserve"> </w:t>
      </w:r>
      <w:r>
        <w:t xml:space="preserve">lines total).</w:t>
      </w:r>
    </w:p>
    <w:p>
      <w:pPr>
        <w:pStyle w:val="BodyText"/>
      </w:pPr>
      <w:r>
        <w:t xml:space="preserve">![TABLE OF LINES AND LABELS]</w:t>
      </w:r>
    </w:p>
    <w:p>
      <w:pPr>
        <w:pStyle w:val="BodyText"/>
      </w:pPr>
      <w:r>
        <w:t xml:space="preserve">The labeled sentences were then used as inputs to fine-tune a language model</w:t>
      </w:r>
      <w:r>
        <w:t xml:space="preserve"> </w:t>
      </w:r>
      <w:r>
        <w:t xml:space="preserve">to classify a span of text as</w:t>
      </w:r>
      <w:r>
        <w:t xml:space="preserve"> </w:t>
      </w:r>
      <w:r>
        <w:t xml:space="preserve">“speech”</w:t>
      </w:r>
      <w:r>
        <w:t xml:space="preserve"> </w:t>
      </w:r>
      <w:r>
        <w:t xml:space="preserve">or</w:t>
      </w:r>
      <w:r>
        <w:t xml:space="preserve"> </w:t>
      </w:r>
      <w:r>
        <w:t xml:space="preserve">“narrative.”</w:t>
      </w:r>
      <w:r>
        <w:t xml:space="preserve"> </w:t>
      </w:r>
      <w:r>
        <w:t xml:space="preserve">The base model is</w:t>
      </w:r>
      <w:r>
        <w:t xml:space="preserve"> </w:t>
      </w:r>
      <w:r>
        <w:t xml:space="preserve">pnadel/greek-bert, which in turn is a fine-tuned Ancient Greek version of</w:t>
      </w:r>
      <w:r>
        <w:t xml:space="preserve"> </w:t>
      </w:r>
      <w:r>
        <w:t xml:space="preserve">answerdotai/ModernBERT-base.</w:t>
      </w:r>
      <w:r>
        <w:rPr>
          <w:rStyle w:val="FootnoteReference"/>
        </w:rPr>
        <w:footnoteReference w:id="18"/>
      </w:r>
      <w:r>
        <w:t xml:space="preserve"> </w:t>
      </w:r>
      <w:r>
        <w:t xml:space="preserve">Fine-tuning is</w:t>
      </w:r>
      <w:r>
        <w:t xml:space="preserve"> </w:t>
      </w:r>
      <w:r>
        <w:t xml:space="preserve">a process whereby a large language model trained on general tasks is further</w:t>
      </w:r>
      <w:r>
        <w:t xml:space="preserve"> </w:t>
      </w:r>
      <w:r>
        <w:t xml:space="preserve">trained to perform specific tasks with higher accuracy. Fine-tuning thus</w:t>
      </w:r>
      <w:r>
        <w:t xml:space="preserve"> </w:t>
      </w:r>
      <w:r>
        <w:t xml:space="preserve">significantly reduces energy demands by not requiring the whole model to be</w:t>
      </w:r>
      <w:r>
        <w:t xml:space="preserve"> </w:t>
      </w:r>
      <w:r>
        <w:t xml:space="preserve">trained again and by enabling training even on relatively small datasets: the</w:t>
      </w:r>
      <w:r>
        <w:t xml:space="preserve"> </w:t>
      </w:r>
      <w:r>
        <w:t xml:space="preserve">15,148 sentences in this training set are a rounding error compared to the</w:t>
      </w:r>
      <w:r>
        <w:t xml:space="preserve"> </w:t>
      </w:r>
      <w:r>
        <w:t xml:space="preserve">trillions of tokens on which most large language models have been trained.</w:t>
      </w:r>
    </w:p>
    <w:p>
      <w:pPr>
        <w:pStyle w:val="BodyText"/>
      </w:pPr>
      <w:r>
        <w:t xml:space="preserve">In the interest of replicability, the model was trained for 5 epochs on</w:t>
      </w:r>
      <w:r>
        <w:t xml:space="preserve"> </w:t>
      </w:r>
      <w:r>
        <w:t xml:space="preserve">consumer-grade hardware (a 2021 M1 MacBook Pro), achieving an accuracy of</w:t>
      </w:r>
      <w:r>
        <w:t xml:space="preserve"> </w:t>
      </w:r>
      <w:r>
        <w:t xml:space="preserve">92.7% and an F1 score (a combined measure of precision and recall) of 0.9268.</w:t>
      </w:r>
      <w:r>
        <w:t xml:space="preserve"> </w:t>
      </w:r>
      <w:r>
        <w:t xml:space="preserve">As a preliminary experiment, the model was then run against two held-out</w:t>
      </w:r>
      <w:r>
        <w:t xml:space="preserve"> </w:t>
      </w:r>
      <w:r>
        <w:t xml:space="preserve">datasets: Nestor’s long speech at</w:t>
      </w:r>
      <w:r>
        <w:t xml:space="preserve"> </w:t>
      </w:r>
      <w:r>
        <w:rPr>
          <w:i/>
          <w:iCs/>
        </w:rPr>
        <w:t xml:space="preserve">Iliad</w:t>
      </w:r>
      <w:r>
        <w:t xml:space="preserve"> </w:t>
      </w:r>
      <w:r>
        <w:t xml:space="preserve">11.656–803, and Odysseus’</w:t>
      </w:r>
      <w:r>
        <w:t xml:space="preserve"> </w:t>
      </w:r>
      <w:r>
        <w:rPr>
          <w:i/>
          <w:iCs/>
        </w:rPr>
        <w:t xml:space="preserve">apologoi</w:t>
      </w:r>
      <w:r>
        <w:t xml:space="preserve"> </w:t>
      </w:r>
      <w:r>
        <w:t xml:space="preserve">(9.2–12.453). Both of these speeches contain extended passages of narration,</w:t>
      </w:r>
      <w:r>
        <w:t xml:space="preserve"> </w:t>
      </w:r>
      <w:r>
        <w:t xml:space="preserve">presenting particular challenges for the model’s accuracy.</w:t>
      </w:r>
    </w:p>
    <w:p>
      <w:pPr>
        <w:pStyle w:val="BodyText"/>
      </w:pPr>
      <w:r>
        <w:t xml:space="preserve">On these held-out passages, the model performed notably worse than on its</w:t>
      </w:r>
      <w:r>
        <w:t xml:space="preserve"> </w:t>
      </w:r>
      <w:r>
        <w:t xml:space="preserve">training data. It classified 25 sentences (68.75%) of Nestor’s speech as</w:t>
      </w:r>
      <w:r>
        <w:t xml:space="preserve"> </w:t>
      </w:r>
      <w:r>
        <w:t xml:space="preserve">narrative, and 360 sentences (69.6%) of Odysseus’</w:t>
      </w:r>
      <w:r>
        <w:t xml:space="preserve"> </w:t>
      </w:r>
      <w:r>
        <w:rPr>
          <w:i/>
          <w:iCs/>
        </w:rPr>
        <w:t xml:space="preserve">apologoi</w:t>
      </w:r>
      <w:r>
        <w:t xml:space="preserve">. These results</w:t>
      </w:r>
      <w:r>
        <w:t xml:space="preserve"> </w:t>
      </w:r>
      <w:r>
        <w:t xml:space="preserve">suggest that the divide between speech and narrative is less a binary and more</w:t>
      </w:r>
      <w:r>
        <w:t xml:space="preserve"> </w:t>
      </w:r>
      <w:r>
        <w:t xml:space="preserve">a spectrum, and that we can understand a speech’s</w:t>
      </w:r>
      <w:r>
        <w:t xml:space="preserve"> </w:t>
      </w:r>
      <w:r>
        <w:t xml:space="preserve">“narrativity”</w:t>
      </w:r>
      <w:r>
        <w:t xml:space="preserve"> </w:t>
      </w:r>
      <w:r>
        <w:t xml:space="preserve">as the extent</w:t>
      </w:r>
      <w:r>
        <w:t xml:space="preserve"> </w:t>
      </w:r>
      <w:r>
        <w:t xml:space="preserve">to which its sentences are classified as narrative—in other words, the extent to</w:t>
      </w:r>
      <w:r>
        <w:t xml:space="preserve"> </w:t>
      </w:r>
      <w:r>
        <w:t xml:space="preserve">which a speech confuses the classification model.</w:t>
      </w:r>
    </w:p>
    <w:p>
      <w:pPr>
        <w:pStyle w:val="BodyText"/>
      </w:pPr>
      <w:r>
        <w:t xml:space="preserve">![CONFUSION MATRIX FOR NESTOR’S SPEECH]</w:t>
      </w:r>
    </w:p>
    <w:p>
      <w:pPr>
        <w:pStyle w:val="BodyText"/>
      </w:pPr>
      <w:r>
        <w:t xml:space="preserve">![CONFUSION MATRIX FOR APOLOGOI]</w:t>
      </w:r>
    </w:p>
    <w:p>
      <w:pPr>
        <w:pStyle w:val="BodyText"/>
      </w:pPr>
      <w:r>
        <w:t xml:space="preserve">These results also suggest that the model can be usefully applied to tragedy:</w:t>
      </w:r>
      <w:r>
        <w:t xml:space="preserve"> </w:t>
      </w:r>
      <w:r>
        <w:t xml:space="preserve">it will not simply label every sentence as</w:t>
      </w:r>
      <w:r>
        <w:t xml:space="preserve"> </w:t>
      </w:r>
      <w:r>
        <w:t xml:space="preserve">“speech”</w:t>
      </w:r>
      <w:r>
        <w:t xml:space="preserve"> </w:t>
      </w:r>
      <w:r>
        <w:t xml:space="preserve">but will instead provide an</w:t>
      </w:r>
      <w:r>
        <w:t xml:space="preserve"> </w:t>
      </w:r>
      <w:r>
        <w:t xml:space="preserve">approximate measure of each sentence’s narrativity, which can then be aggregated</w:t>
      </w:r>
      <w:r>
        <w:t xml:space="preserve"> </w:t>
      </w:r>
      <w:r>
        <w:t xml:space="preserve">according to speaker class and plotted for the play as a whole.</w:t>
      </w:r>
    </w:p>
    <w:p>
      <w:pPr>
        <w:pStyle w:val="BodyText"/>
      </w:pPr>
      <w:r>
        <w:t xml:space="preserve">The tragic corpus uses a hand-curated list of line ranges that cover speeches</w:t>
      </w:r>
      <w:r>
        <w:t xml:space="preserve"> </w:t>
      </w:r>
      <w:r>
        <w:t xml:space="preserve">typically classified as performing the messenger function. We use these as a</w:t>
      </w:r>
      <w:r>
        <w:t xml:space="preserve"> </w:t>
      </w:r>
      <w:r>
        <w:t xml:space="preserve">baseline to compare against the rest of tragedy. The full list can be found &gt;&gt;</w:t>
      </w:r>
      <w:r>
        <w:t xml:space="preserve"> </w:t>
      </w:r>
      <w:r>
        <w:t xml:space="preserve">LINK REMOVED FOR ANONYMITY &lt;&lt;. The only controversial inclusions are several</w:t>
      </w:r>
      <w:r>
        <w:t xml:space="preserve"> </w:t>
      </w:r>
      <w:r>
        <w:t xml:space="preserve">main-character speeches in</w:t>
      </w:r>
      <w:r>
        <w:t xml:space="preserve"> </w:t>
      </w:r>
      <w:r>
        <w:rPr>
          <w:i/>
          <w:iCs/>
        </w:rPr>
        <w:t xml:space="preserve">Trachiniae</w:t>
      </w:r>
      <w:r>
        <w:t xml:space="preserve"> </w:t>
      </w:r>
      <w:r>
        <w:t xml:space="preserve">—Jebb provides supporting evidence for</w:t>
      </w:r>
      <w:r>
        <w:t xml:space="preserve"> </w:t>
      </w:r>
      <w:r>
        <w:t xml:space="preserve">classifying them as messenger-type—and the Merchant in Sophocles’</w:t>
      </w:r>
      <w:r>
        <w:t xml:space="preserve"> </w:t>
      </w:r>
      <w:r>
        <w:rPr>
          <w:i/>
          <w:iCs/>
        </w:rPr>
        <w:t xml:space="preserve">Philoctetes</w:t>
      </w:r>
      <w:r>
        <w:t xml:space="preserve">.</w:t>
      </w:r>
    </w:p>
    <w:bookmarkEnd w:id="19"/>
    <w:bookmarkStart w:id="20" w:name="literary-and-performance-studies-methods"/>
    <w:p>
      <w:pPr>
        <w:pStyle w:val="Heading3"/>
      </w:pPr>
      <w:r>
        <w:t xml:space="preserve">Literary and performance studies methods</w:t>
      </w:r>
    </w:p>
    <w:p>
      <w:pPr>
        <w:pStyle w:val="FirstParagraph"/>
      </w:pPr>
      <w:r>
        <w:t xml:space="preserve">Before presenting the quantitative evidence for challenging current definitions</w:t>
      </w:r>
      <w:r>
        <w:t xml:space="preserve"> </w:t>
      </w:r>
      <w:r>
        <w:t xml:space="preserve">of messenger speech, it will be useful to lay out a methodology drawn from</w:t>
      </w:r>
      <w:r>
        <w:t xml:space="preserve"> </w:t>
      </w:r>
      <w:r>
        <w:t xml:space="preserve">literary and performance studies as a complement to the computational methods</w:t>
      </w:r>
      <w:r>
        <w:t xml:space="preserve"> </w:t>
      </w:r>
      <w:r>
        <w:t xml:space="preserve">discussed above.</w:t>
      </w:r>
    </w:p>
    <w:p>
      <w:pPr>
        <w:pStyle w:val="BodyText"/>
      </w:pPr>
      <w:r>
        <w:t xml:space="preserve">To understand the messenger’s epistemic and hermeneutic roles, I draw on the</w:t>
      </w:r>
      <w:r>
        <w:t xml:space="preserve"> </w:t>
      </w:r>
      <w:r>
        <w:t xml:space="preserve">Jacques Rancière’s ideas on</w:t>
      </w:r>
      <w:r>
        <w:t xml:space="preserve"> </w:t>
      </w:r>
      <w:r>
        <w:t xml:space="preserve">“the distribution of the sensible,”</w:t>
      </w:r>
      <w:r>
        <w:t xml:space="preserve"> </w:t>
      </w:r>
      <w:r>
        <w:t xml:space="preserve">which he defines</w:t>
      </w:r>
      <w:r>
        <w:t xml:space="preserve"> </w:t>
      </w:r>
      <w:r>
        <w:t xml:space="preserve">as</w:t>
      </w:r>
      <w:r>
        <w:t xml:space="preserve"> </w:t>
      </w:r>
      <w:r>
        <w:t xml:space="preserve">“a delimitation of spaces and times, of the visible and the invisible,</w:t>
      </w:r>
      <w:r>
        <w:t xml:space="preserve"> </w:t>
      </w:r>
      <w:r>
        <w:t xml:space="preserve">of speech and noise, that simultaneously determines the place and stakes of</w:t>
      </w:r>
      <w:r>
        <w:t xml:space="preserve"> </w:t>
      </w:r>
      <w:r>
        <w:t xml:space="preserve">politics as a form of experience”</w:t>
      </w:r>
      <w:r>
        <w:t xml:space="preserve"> </w:t>
      </w:r>
      <w:r>
        <w:t xml:space="preserve">(</w:t>
      </w:r>
      <w:r>
        <w:t xml:space="preserve">@Ranciere2004</w:t>
      </w:r>
      <w:r>
        <w:t xml:space="preserve"> </w:t>
      </w:r>
      <w:r>
        <w:t xml:space="preserve">13). He continues,</w:t>
      </w:r>
      <w:r>
        <w:t xml:space="preserve"> </w:t>
      </w:r>
      <w:r>
        <w:t xml:space="preserve">“Politics</w:t>
      </w:r>
      <w:r>
        <w:t xml:space="preserve"> </w:t>
      </w:r>
      <w:r>
        <w:t xml:space="preserve">revolves around what is seen and what can be said about it, around who has the</w:t>
      </w:r>
      <w:r>
        <w:t xml:space="preserve"> </w:t>
      </w:r>
      <w:r>
        <w:t xml:space="preserve">ability to see and the talent to speak, around the properties of spaces and the</w:t>
      </w:r>
      <w:r>
        <w:t xml:space="preserve"> </w:t>
      </w:r>
      <w:r>
        <w:t xml:space="preserve">possibilities of time”</w:t>
      </w:r>
      <w:r>
        <w:t xml:space="preserve"> </w:t>
      </w:r>
      <w:r>
        <w:t xml:space="preserve">(</w:t>
      </w:r>
      <w:r>
        <w:t xml:space="preserve">@Ranciere2004</w:t>
      </w:r>
      <w:r>
        <w:t xml:space="preserve"> </w:t>
      </w:r>
      <w:r>
        <w:t xml:space="preserve">13). Rancière’s definition in terms of</w:t>
      </w:r>
      <w:r>
        <w:t xml:space="preserve"> </w:t>
      </w:r>
      <w:r>
        <w:t xml:space="preserve">politics grounds my investigation of the messenger function in the democratic</w:t>
      </w:r>
      <w:r>
        <w:t xml:space="preserve"> </w:t>
      </w:r>
      <w:r>
        <w:t xml:space="preserve">art of tragedy. It also orients the stakes of our discussion about messenger</w:t>
      </w:r>
      <w:r>
        <w:t xml:space="preserve"> </w:t>
      </w:r>
      <w:r>
        <w:t xml:space="preserve">speeches and who can deliver them, as the distribution of the sensible entails</w:t>
      </w:r>
      <w:r>
        <w:t xml:space="preserve"> </w:t>
      </w:r>
      <w:r>
        <w:t xml:space="preserve">the organization of a community, in which the messenger function is one way</w:t>
      </w:r>
      <w:r>
        <w:t xml:space="preserve"> </w:t>
      </w:r>
      <w:r>
        <w:t xml:space="preserve">of participating.</w:t>
      </w:r>
    </w:p>
    <w:p>
      <w:pPr>
        <w:pStyle w:val="BodyText"/>
      </w:pPr>
      <w:r>
        <w:t xml:space="preserve">In</w:t>
      </w:r>
      <w:r>
        <w:t xml:space="preserve"> </w:t>
      </w:r>
      <w:r>
        <w:t xml:space="preserve">“The Aesthetic Dimension,”</w:t>
      </w:r>
      <w:r>
        <w:t xml:space="preserve"> </w:t>
      </w:r>
      <w:r>
        <w:t xml:space="preserve">Ranciere clarifies the power imbalance at the</w:t>
      </w:r>
      <w:r>
        <w:t xml:space="preserve"> </w:t>
      </w:r>
      <w:r>
        <w:t xml:space="preserve">heart of the distribution of the sensible and its connections to the formation</w:t>
      </w:r>
      <w:r>
        <w:t xml:space="preserve"> </w:t>
      </w:r>
      <w:r>
        <w:t xml:space="preserve">of knowledge:</w:t>
      </w:r>
    </w:p>
    <w:p>
      <w:pPr>
        <w:pStyle w:val="BlockText"/>
      </w:pPr>
      <w:r>
        <w:t xml:space="preserve">A belief is not an illusion in opposition to knowledge. It is the articulation</w:t>
      </w:r>
      <w:r>
        <w:t xml:space="preserve"> </w:t>
      </w:r>
      <w:r>
        <w:t xml:space="preserve">between two knowledges, the form of balance between those forms of knowledge</w:t>
      </w:r>
      <w:r>
        <w:t xml:space="preserve"> </w:t>
      </w:r>
      <w:r>
        <w:t xml:space="preserve">and the forms of ignorance they are coupled with. As Plato claimed, articulation</w:t>
      </w:r>
      <w:r>
        <w:t xml:space="preserve"> </w:t>
      </w:r>
      <w:r>
        <w:t xml:space="preserve">or balance has to be believed. The economy of knowledge has to be predicated on</w:t>
      </w:r>
      <w:r>
        <w:t xml:space="preserve"> </w:t>
      </w:r>
      <w:r>
        <w:t xml:space="preserve">a story. (</w:t>
      </w:r>
      <w:r>
        <w:t xml:space="preserve">@Ranciere2009</w:t>
      </w:r>
      <w:r>
        <w:t xml:space="preserve"> </w:t>
      </w:r>
      <w:r>
        <w:t xml:space="preserve">16)</w:t>
      </w:r>
    </w:p>
    <w:p>
      <w:pPr>
        <w:pStyle w:val="FirstParagraph"/>
      </w:pPr>
      <w:r>
        <w:t xml:space="preserve">The messenger function participates in the economy of knowledge by delivering</w:t>
      </w:r>
      <w:r>
        <w:t xml:space="preserve"> </w:t>
      </w:r>
      <w:r>
        <w:t xml:space="preserve">news and exercising the power granted by unshared eyewitness experience.</w:t>
      </w:r>
      <w:r>
        <w:t xml:space="preserve"> </w:t>
      </w:r>
      <w:r>
        <w:t xml:space="preserve">Other speech registers in tragedy—agonistic, emotive, etc.—share knowledge</w:t>
      </w:r>
      <w:r>
        <w:t xml:space="preserve"> </w:t>
      </w:r>
      <w:r>
        <w:t xml:space="preserve">incidentally; the messenger function shares knowledge as its primary, though not</w:t>
      </w:r>
      <w:r>
        <w:t xml:space="preserve"> </w:t>
      </w:r>
      <w:r>
        <w:t xml:space="preserve">only, purpose.</w:t>
      </w:r>
    </w:p>
    <w:bookmarkEnd w:id="20"/>
    <w:bookmarkEnd w:id="21"/>
    <w:bookmarkStart w:id="41" w:name="results"/>
    <w:p>
      <w:pPr>
        <w:pStyle w:val="Heading2"/>
      </w:pPr>
      <w:r>
        <w:t xml:space="preserve">Results</w:t>
      </w:r>
    </w:p>
    <w:p>
      <w:pPr>
        <w:pStyle w:val="FirstParagraph"/>
      </w:pPr>
      <w:r>
        <w:t xml:space="preserve">These experiments confirm that the characters we typically call messengers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have more in common with epic narration than other tragic characters. At the</w:t>
      </w:r>
      <w:r>
        <w:t xml:space="preserve"> </w:t>
      </w:r>
      <w:r>
        <w:t xml:space="preserve">same time, however, these experiments cast some doubt on that classification by</w:t>
      </w:r>
      <w:r>
        <w:t xml:space="preserve"> </w:t>
      </w:r>
      <w:r>
        <w:t xml:space="preserve">showing that an affinity for epic narrative occurs across speaker classes and</w:t>
      </w:r>
      <w:r>
        <w:t xml:space="preserve"> </w:t>
      </w:r>
      <w:r>
        <w:t xml:space="preserve">even in many choruses.</w:t>
      </w:r>
    </w:p>
    <w:p>
      <w:pPr>
        <w:pStyle w:val="CaptionedFigure"/>
      </w:pPr>
      <w:r>
        <w:drawing>
          <wp:inline>
            <wp:extent cx="5160156" cy="4241161"/>
            <wp:effectExtent b="0" l="0" r="0" t="0"/>
            <wp:docPr descr="Violin plot showing messengers (right) versus other speakers (left) in tragedy." title="" id="23" name="Picture"/>
            <a:graphic>
              <a:graphicData uri="http://schemas.openxmlformats.org/drawingml/2006/picture">
                <pic:pic>
                  <pic:nvPicPr>
                    <pic:cNvPr descr="../figures/ALL_DRAMA_distribution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156" cy="4241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Violin plot showing messengers (right) versus other speakers (left) in</w:t>
      </w:r>
      <w:r>
        <w:t xml:space="preserve"> </w:t>
      </w:r>
      <w:r>
        <w:t xml:space="preserve">tragedy.</w:t>
      </w:r>
    </w:p>
    <w:p>
      <w:pPr>
        <w:pStyle w:val="BodyText"/>
      </w:pPr>
      <w:r>
        <w:t xml:space="preserve">The model reports the probability that a sentence is epic narrative; a</w:t>
      </w:r>
      <w:r>
        <w:t xml:space="preserve"> </w:t>
      </w:r>
      <w:r>
        <w:t xml:space="preserve">probability of 1 means that the model thinks the line is definitely epic</w:t>
      </w:r>
      <w:r>
        <w:t xml:space="preserve"> </w:t>
      </w:r>
      <w:r>
        <w:t xml:space="preserve">narrative, and a probability of 0 means that the model thinks the line is</w:t>
      </w:r>
      <w:r>
        <w:t xml:space="preserve"> </w:t>
      </w:r>
      <w:r>
        <w:t xml:space="preserve">definitely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epic narrative. We can use these probabilities as a proxy for</w:t>
      </w:r>
      <w:r>
        <w:t xml:space="preserve"> </w:t>
      </w:r>
      <w:r>
        <w:t xml:space="preserve">how narrative-like a sentence is—that is, to use this paper’s shorthand, as a</w:t>
      </w:r>
      <w:r>
        <w:t xml:space="preserve"> </w:t>
      </w:r>
      <w:r>
        <w:t xml:space="preserve">proxy for its narrativity.</w:t>
      </w:r>
    </w:p>
    <w:p>
      <w:pPr>
        <w:pStyle w:val="BodyText"/>
      </w:pPr>
      <w:r>
        <w:t xml:space="preserve">As can be seen in the above violin plot, sentences that appear in speeches</w:t>
      </w:r>
      <w:r>
        <w:t xml:space="preserve"> </w:t>
      </w:r>
      <w:r>
        <w:t xml:space="preserve">typically labelled</w:t>
      </w:r>
      <w:r>
        <w:t xml:space="preserve"> </w:t>
      </w:r>
      <w:r>
        <w:t xml:space="preserve">“messenger”</w:t>
      </w:r>
      <w:r>
        <w:t xml:space="preserve"> </w:t>
      </w:r>
      <w:r>
        <w:t xml:space="preserve">(using the hand-curated list described above)</w:t>
      </w:r>
      <w:r>
        <w:t xml:space="preserve"> </w:t>
      </w:r>
      <w:r>
        <w:t xml:space="preserve">show significantly higher narrativity than sentences in other characters’</w:t>
      </w:r>
      <w:r>
        <w:t xml:space="preserve"> </w:t>
      </w:r>
      <w:r>
        <w:t xml:space="preserve">speech, with a mean of 0.353, which is nearly six times the mean narrativity</w:t>
      </w:r>
      <w:r>
        <w:t xml:space="preserve"> </w:t>
      </w:r>
      <w:r>
        <w:t xml:space="preserve">of other speakers at 0.061. The plot also shows that many messenger-labeled</w:t>
      </w:r>
      <w:r>
        <w:t xml:space="preserve"> </w:t>
      </w:r>
      <w:r>
        <w:t xml:space="preserve">sentences have very high or very low narrativity scores, but we should keep in</w:t>
      </w:r>
      <w:r>
        <w:t xml:space="preserve"> </w:t>
      </w:r>
      <w:r>
        <w:t xml:space="preserve">mind that the relatively thin middle is expected: the individual sentences that</w:t>
      </w:r>
      <w:r>
        <w:t xml:space="preserve"> </w:t>
      </w:r>
      <w:r>
        <w:t xml:space="preserve">make up this plot are not the speeches themselves. We are looking for trends in</w:t>
      </w:r>
      <w:r>
        <w:t xml:space="preserve"> </w:t>
      </w:r>
      <w:r>
        <w:t xml:space="preserve">groups of sentences, for which the averages are a much better measure.</w:t>
      </w:r>
    </w:p>
    <w:p>
      <w:pPr>
        <w:pStyle w:val="BodyText"/>
      </w:pPr>
      <w:r>
        <w:t xml:space="preserve">For a similar reason, the trendlines on the plots of messenger narrative for</w:t>
      </w:r>
      <w:r>
        <w:t xml:space="preserve"> </w:t>
      </w:r>
      <w:r>
        <w:t xml:space="preserve">individual tragedies below show a rolling seven-sentence average narrativity,</w:t>
      </w:r>
      <w:r>
        <w:t xml:space="preserve"> </w:t>
      </w:r>
      <w:r>
        <w:t xml:space="preserve">rather than the per-sentence narrativity scores, as the rolling average makes</w:t>
      </w:r>
      <w:r>
        <w:t xml:space="preserve"> </w:t>
      </w:r>
      <w:r>
        <w:t xml:space="preserve">the data more interpretable. (The seven-sentence average is somewhat arbitrary,</w:t>
      </w:r>
      <w:r>
        <w:t xml:space="preserve"> </w:t>
      </w:r>
      <w:r>
        <w:t xml:space="preserve">but I felt that seven was a small enough window to show variation while still</w:t>
      </w:r>
      <w:r>
        <w:t xml:space="preserve"> </w:t>
      </w:r>
      <w:r>
        <w:t xml:space="preserve">large enough to capture trends for longer speeches.)</w:t>
      </w:r>
    </w:p>
    <w:p>
      <w:pPr>
        <w:pStyle w:val="BodyText"/>
      </w:pPr>
      <w:r>
        <w:t xml:space="preserve">In every play in which a character performs the messenger function—so excluding</w:t>
      </w:r>
      <w:r>
        <w:t xml:space="preserve"> </w:t>
      </w:r>
      <w:r>
        <w:rPr>
          <w:i/>
          <w:iCs/>
        </w:rPr>
        <w:t xml:space="preserve">Prometheus Bound</w:t>
      </w:r>
      <w:r>
        <w:t xml:space="preserve">,</w:t>
      </w:r>
      <w:r>
        <w:t xml:space="preserve"> </w:t>
      </w:r>
      <w:r>
        <w:rPr>
          <w:i/>
          <w:iCs/>
        </w:rPr>
        <w:t xml:space="preserve">Choephoroi</w:t>
      </w:r>
      <w:r>
        <w:t xml:space="preserve">, and</w:t>
      </w:r>
      <w:r>
        <w:t xml:space="preserve"> </w:t>
      </w:r>
      <w:r>
        <w:rPr>
          <w:i/>
          <w:iCs/>
        </w:rPr>
        <w:t xml:space="preserve">Eumenides</w:t>
      </w:r>
      <w:r>
        <w:t xml:space="preserve"> </w:t>
      </w:r>
      <w:r>
        <w:t xml:space="preserve">—the average narrativity of</w:t>
      </w:r>
      <w:r>
        <w:t xml:space="preserve"> </w:t>
      </w:r>
      <w:r>
        <w:t xml:space="preserve">messenger labeled sentences exceeds that of other sentences, with the most</w:t>
      </w:r>
      <w:r>
        <w:t xml:space="preserve"> </w:t>
      </w:r>
      <w:r>
        <w:t xml:space="preserve">striking differences appearing in Euripides’</w:t>
      </w:r>
      <w:r>
        <w:t xml:space="preserve"> </w:t>
      </w:r>
      <w:r>
        <w:rPr>
          <w:i/>
          <w:iCs/>
        </w:rPr>
        <w:t xml:space="preserve">Bacchae</w:t>
      </w:r>
      <w:r>
        <w:t xml:space="preserve">, Euripides’</w:t>
      </w:r>
      <w:r>
        <w:t xml:space="preserve"> </w:t>
      </w:r>
      <w:r>
        <w:rPr>
          <w:i/>
          <w:iCs/>
        </w:rPr>
        <w:t xml:space="preserve">Suppliants</w:t>
      </w:r>
      <w:r>
        <w:t xml:space="preserve">,</w:t>
      </w:r>
      <w:r>
        <w:t xml:space="preserve"> </w:t>
      </w:r>
      <w:r>
        <w:t xml:space="preserve">and Sophocles’</w:t>
      </w:r>
      <w:r>
        <w:t xml:space="preserve"> </w:t>
      </w:r>
      <w:r>
        <w:rPr>
          <w:i/>
          <w:iCs/>
        </w:rPr>
        <w:t xml:space="preserve">Electra</w:t>
      </w:r>
      <w:r>
        <w:t xml:space="preserve">. Many plays, including</w:t>
      </w:r>
      <w:r>
        <w:t xml:space="preserve"> </w:t>
      </w:r>
      <w:r>
        <w:rPr>
          <w:i/>
          <w:iCs/>
        </w:rPr>
        <w:t xml:space="preserve">Bacchae</w:t>
      </w:r>
      <w:r>
        <w:t xml:space="preserve">, have passages showing</w:t>
      </w:r>
      <w:r>
        <w:t xml:space="preserve"> </w:t>
      </w:r>
      <w:r>
        <w:t xml:space="preserve">high narrativity outside of the traditional messenger function, providing</w:t>
      </w:r>
      <w:r>
        <w:t xml:space="preserve"> </w:t>
      </w:r>
      <w:r>
        <w:t xml:space="preserve">evidence that we should consider expanding the definition of</w:t>
      </w:r>
      <w:r>
        <w:t xml:space="preserve"> </w:t>
      </w:r>
      <w:r>
        <w:t xml:space="preserve">“messenger</w:t>
      </w:r>
      <w:r>
        <w:t xml:space="preserve"> </w:t>
      </w:r>
      <w:r>
        <w:t xml:space="preserve">function”</w:t>
      </w:r>
      <w:r>
        <w:t xml:space="preserve"> </w:t>
      </w:r>
      <w:r>
        <w:t xml:space="preserve">to include these other passages.</w:t>
      </w:r>
    </w:p>
    <w:bookmarkStart w:id="31" w:name="euripides-bacchae"/>
    <w:p>
      <w:pPr>
        <w:pStyle w:val="Heading3"/>
      </w:pPr>
      <w:r>
        <w:t xml:space="preserve">Euripides</w:t>
      </w:r>
      <w:r>
        <w:t xml:space="preserve"> </w:t>
      </w:r>
      <w:r>
        <w:rPr>
          <w:i/>
          <w:iCs/>
        </w:rPr>
        <w:t xml:space="preserve">Bacchae</w:t>
      </w:r>
    </w:p>
    <w:p>
      <w:pPr>
        <w:pStyle w:val="CaptionedFigure"/>
      </w:pPr>
      <w:r>
        <w:drawing>
          <wp:inline>
            <wp:extent cx="5334000" cy="1933538"/>
            <wp:effectExtent b="0" l="0" r="0" t="0"/>
            <wp:docPr descr="Chart showing per-sentence and rolling 7-sentence average narrativity for Euripides’ Bacchae" title="" id="26" name="Picture"/>
            <a:graphic>
              <a:graphicData uri="http://schemas.openxmlformats.org/drawingml/2006/picture">
                <pic:pic>
                  <pic:nvPicPr>
                    <pic:cNvPr descr="../figures/ALL_DRAMA_line_position_tlg0006.tlg017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3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Chart showing per-sentence and rolling 7-sentence average narrativity for</w:t>
      </w:r>
      <w:r>
        <w:t xml:space="preserve"> </w:t>
      </w:r>
      <w:r>
        <w:t xml:space="preserve">Euripides’</w:t>
      </w:r>
      <w:r>
        <w:t xml:space="preserve"> </w:t>
      </w:r>
      <w:r>
        <w:rPr>
          <w:i/>
          <w:iCs/>
        </w:rPr>
        <w:t xml:space="preserve">Bacchae</w:t>
      </w:r>
    </w:p>
    <w:p>
      <w:pPr>
        <w:pStyle w:val="BodyText"/>
      </w:pPr>
      <w:r>
        <w:t xml:space="preserve">In addition to the Messengers’ undeniably narrative speeches in</w:t>
      </w:r>
      <w:r>
        <w:t xml:space="preserve"> </w:t>
      </w:r>
      <w:r>
        <w:rPr>
          <w:i/>
          <w:iCs/>
        </w:rPr>
        <w:t xml:space="preserve">Bacchae</w:t>
      </w:r>
      <w:r>
        <w:t xml:space="preserve">, the</w:t>
      </w:r>
      <w:r>
        <w:t xml:space="preserve"> </w:t>
      </w:r>
      <w:r>
        <w:t xml:space="preserve">parodos also contains marked narrative moments. The ode starts to grow narrative</w:t>
      </w:r>
      <w:r>
        <w:t xml:space="preserve"> </w:t>
      </w:r>
      <w:r>
        <w:t xml:space="preserve">around the description of Dionysus’ birth in the first antistrophe at 88–104:</w:t>
      </w:r>
    </w:p>
    <w:p>
      <w:pPr>
        <w:pStyle w:val="BodyText"/>
      </w:pPr>
      <w:r>
        <w:t xml:space="preserve">ὅν</w:t>
      </w:r>
      <w:r>
        <w:br/>
      </w:r>
      <w:r>
        <w:t xml:space="preserve">ποτ’ ἔχουσ’ ἐν ὠδίνων</w:t>
      </w:r>
      <w:r>
        <w:br/>
      </w:r>
      <w:r>
        <w:t xml:space="preserve">λοχίαις ἀνάγκαισι</w:t>
      </w:r>
      <w:r>
        <w:br/>
      </w:r>
      <w:r>
        <w:t xml:space="preserve">πταμένας Διὸς βροντᾶς νη-</w:t>
      </w:r>
      <w:r>
        <w:br/>
      </w:r>
      <w:r>
        <w:t xml:space="preserve">δύος ἔκβολον μάτηρ</w:t>
      </w:r>
      <w:r>
        <w:br/>
      </w:r>
      <w:r>
        <w:t xml:space="preserve">ἔτεκεν, λιποῦσ’ αἰῶ-</w:t>
      </w:r>
      <w:r>
        <w:br/>
      </w:r>
      <w:r>
        <w:t xml:space="preserve">να κερανίῳ πληγᾷ·</w:t>
      </w:r>
      <w:r>
        <w:br/>
      </w:r>
      <w:r>
        <w:t xml:space="preserve">λοχίοις δ’ αὐτίκα νιν δέ-</w:t>
      </w:r>
      <w:r>
        <w:br/>
      </w:r>
      <w:r>
        <w:t xml:space="preserve">ξατο θαλάμαις Κρονίδας Ζεύς,</w:t>
      </w:r>
      <w:r>
        <w:br/>
      </w:r>
      <w:r>
        <w:t xml:space="preserve">κατὰ μηρῷ δ`καλύψας</w:t>
      </w:r>
      <w:r>
        <w:br/>
      </w:r>
      <w:r>
        <w:t xml:space="preserve">χρυσέαισιν συνερέιδει</w:t>
      </w:r>
      <w:r>
        <w:br/>
      </w:r>
      <w:r>
        <w:t xml:space="preserve">περόναις κρυπτὸν ἀφ’ Ἥρας.</w:t>
      </w:r>
      <w:r>
        <w:br/>
      </w:r>
      <w:r>
        <w:t xml:space="preserve">ἔτεκεν δ’, ἁνίκα Μοῖραι</w:t>
      </w:r>
      <w:r>
        <w:br/>
      </w:r>
      <w:r>
        <w:t xml:space="preserve">τέλεσαν, ταυρόκερων θεὸν</w:t>
      </w:r>
      <w:r>
        <w:br/>
      </w:r>
      <w:r>
        <w:t xml:space="preserve">στεφάνωσέν τε δρακόντων</w:t>
      </w:r>
      <w:r>
        <w:br/>
      </w:r>
      <w:r>
        <w:t xml:space="preserve">στεφάνοις, ἔνθεν ἄγραν θη-</w:t>
      </w:r>
      <w:r>
        <w:br/>
      </w:r>
      <w:r>
        <w:t xml:space="preserve">ροτρόφον μαινάδες ἀμφι-</w:t>
      </w:r>
      <w:r>
        <w:br/>
      </w:r>
      <w:r>
        <w:t xml:space="preserve">βάλλονται πλοκάμοις.</w:t>
      </w:r>
    </w:p>
    <w:p>
      <w:pPr>
        <w:pStyle w:val="BodyText"/>
      </w:pPr>
      <w:r>
        <w:t xml:space="preserve">Bromius, whose</w:t>
      </w:r>
      <w:r>
        <w:br/>
      </w:r>
      <w:r>
        <w:t xml:space="preserve">mother bore him cast-out</w:t>
      </w:r>
      <w:r>
        <w:br/>
      </w:r>
      <w:r>
        <w:t xml:space="preserve">in the compulsions of labor pains</w:t>
      </w:r>
      <w:r>
        <w:br/>
      </w:r>
      <w:r>
        <w:t xml:space="preserve">from her belly,</w:t>
      </w:r>
      <w:r>
        <w:br/>
      </w:r>
      <w:r>
        <w:t xml:space="preserve">when the thunder</w:t>
      </w:r>
      <w:r>
        <w:br/>
      </w:r>
      <w:r>
        <w:t xml:space="preserve">of Zeus struck: she died</w:t>
      </w:r>
      <w:r>
        <w:br/>
      </w:r>
      <w:r>
        <w:t xml:space="preserve">with the lightning strike.</w:t>
      </w:r>
      <w:r>
        <w:br/>
      </w:r>
      <w:r>
        <w:t xml:space="preserve">But just then Zeus son of Kronos</w:t>
      </w:r>
      <w:r>
        <w:br/>
      </w:r>
      <w:r>
        <w:t xml:space="preserve">received him in a chamber for childbirth,</w:t>
      </w:r>
      <w:r>
        <w:br/>
      </w:r>
      <w:r>
        <w:t xml:space="preserve">and he covered him in his thigh</w:t>
      </w:r>
      <w:r>
        <w:br/>
      </w:r>
      <w:r>
        <w:t xml:space="preserve">and sewed him up with golden clasps,</w:t>
      </w:r>
      <w:r>
        <w:br/>
      </w:r>
      <w:r>
        <w:t xml:space="preserve">hidden from Hera.</w:t>
      </w:r>
      <w:r>
        <w:br/>
      </w:r>
      <w:r>
        <w:t xml:space="preserve">And when the Fates</w:t>
      </w:r>
      <w:r>
        <w:br/>
      </w:r>
      <w:r>
        <w:t xml:space="preserve">brought it to fulfillment,</w:t>
      </w:r>
      <w:r>
        <w:br/>
      </w:r>
      <w:r>
        <w:t xml:space="preserve">Zeus gave birth to the bull-horned god</w:t>
      </w:r>
      <w:r>
        <w:br/>
      </w:r>
      <w:r>
        <w:t xml:space="preserve">and he crowned him with crowns</w:t>
      </w:r>
      <w:r>
        <w:br/>
      </w:r>
      <w:r>
        <w:t xml:space="preserve">of snakes, which is why the maenads</w:t>
      </w:r>
      <w:r>
        <w:br/>
      </w:r>
      <w:r>
        <w:t xml:space="preserve">throw the wild beast-eater</w:t>
      </w:r>
      <w:r>
        <w:br/>
      </w:r>
      <w:r>
        <w:t xml:space="preserve">about their hair.</w:t>
      </w:r>
      <w:r>
        <w:rPr>
          <w:rStyle w:val="FootnoteReference"/>
        </w:rPr>
        <w:footnoteReference w:id="28"/>
      </w:r>
    </w:p>
    <w:p>
      <w:pPr>
        <w:pStyle w:val="BodyText"/>
      </w:pPr>
      <w:r>
        <w:t xml:space="preserve">Despite the metrical differences between this lyric verse and epic</w:t>
      </w:r>
      <w:r>
        <w:t xml:space="preserve"> </w:t>
      </w:r>
      <w:r>
        <w:t xml:space="preserve">hexameter, the model correctly identifies the narrative passage of Dionysus’</w:t>
      </w:r>
      <w:r>
        <w:t xml:space="preserve"> </w:t>
      </w:r>
      <w:r>
        <w:t xml:space="preserve">birth. This passage’s narrative flavor comes partly from the concentration of</w:t>
      </w:r>
      <w:r>
        <w:t xml:space="preserve"> </w:t>
      </w:r>
      <w:r>
        <w:t xml:space="preserve">third-person main verbs: ἔτεκεν twice, δέξατο, στεφάνωσέν, and ἀμφιβάλλονται.</w:t>
      </w:r>
      <w:r>
        <w:t xml:space="preserve"> </w:t>
      </w:r>
      <w:r>
        <w:t xml:space="preserve">But if third-person verbs sufficed to identify narrative, then every</w:t>
      </w:r>
      <w:r>
        <w:t xml:space="preserve"> </w:t>
      </w:r>
      <w:r>
        <w:t xml:space="preserve">third-person passage would be marked by the model—clearly the vector-space</w:t>
      </w:r>
      <w:r>
        <w:t xml:space="preserve"> </w:t>
      </w:r>
      <w:r>
        <w:t xml:space="preserve">embeddings have identified other markers of epic narrative as well. For</w:t>
      </w:r>
      <w:r>
        <w:t xml:space="preserve"> </w:t>
      </w:r>
      <w:r>
        <w:t xml:space="preserve">instance, we can also see that the passage’s vocabulary and tenses seem to</w:t>
      </w:r>
      <w:r>
        <w:t xml:space="preserve"> </w:t>
      </w:r>
      <w:r>
        <w:t xml:space="preserve">indicate the remoteness in time and place, rather than events taking place in</w:t>
      </w:r>
      <w:r>
        <w:t xml:space="preserve"> </w:t>
      </w:r>
      <w:r>
        <w:t xml:space="preserve">the moment.</w:t>
      </w:r>
    </w:p>
    <w:p>
      <w:pPr>
        <w:pStyle w:val="BodyText"/>
      </w:pPr>
      <w:r>
        <w:t xml:space="preserve">This high-narrative moment has striking echoes in the first traditional</w:t>
      </w:r>
      <w:r>
        <w:t xml:space="preserve"> </w:t>
      </w:r>
      <w:r>
        <w:t xml:space="preserve">messenger-type speech, when the Messenger (</w:t>
      </w:r>
      <w:r>
        <w:t xml:space="preserve">@Buxton1991</w:t>
      </w:r>
      <w:r>
        <w:t xml:space="preserve"> </w:t>
      </w:r>
      <w:r>
        <w:t xml:space="preserve">calls this Messenger the</w:t>
      </w:r>
      <w:r>
        <w:t xml:space="preserve"> </w:t>
      </w:r>
      <w:r>
        <w:t xml:space="preserve">“Cowherd”</w:t>
      </w:r>
      <w:r>
        <w:t xml:space="preserve">) describes Agave and the maenads’ ritual preparations. The maenads</w:t>
      </w:r>
      <w:r>
        <w:t xml:space="preserve"> </w:t>
      </w:r>
      <w:r>
        <w:t xml:space="preserve">rearrange their fawnskins after the fastenings come loose (696–697),</w:t>
      </w:r>
      <w:r>
        <w:t xml:space="preserve"> </w:t>
      </w:r>
      <w:r>
        <w:t xml:space="preserve">“and they</w:t>
      </w:r>
      <w:r>
        <w:t xml:space="preserve"> </w:t>
      </w:r>
      <w:r>
        <w:t xml:space="preserve">fasten the spotted hides with snakes that lick their cheeks”</w:t>
      </w:r>
      <w:r>
        <w:t xml:space="preserve"> </w:t>
      </w:r>
      <w:r>
        <w:t xml:space="preserve">(697–698: καὶ</w:t>
      </w:r>
      <w:r>
        <w:t xml:space="preserve"> </w:t>
      </w:r>
      <w:r>
        <w:t xml:space="preserve">καταστίκτους δορὰς | ὄφεσι κατεζώσαντο λιχμῶσιν γένυν). The chorus narratively</w:t>
      </w:r>
      <w:r>
        <w:t xml:space="preserve"> </w:t>
      </w:r>
      <w:r>
        <w:t xml:space="preserve">and thematically paved the way for this description already in the parodos.</w:t>
      </w:r>
      <w:r>
        <w:t xml:space="preserve"> </w:t>
      </w:r>
      <w:r>
        <w:t xml:space="preserve">The Messenger’s function here cannot simply depend on his telling his audiences</w:t>
      </w:r>
      <w:r>
        <w:t xml:space="preserve"> </w:t>
      </w:r>
      <w:r>
        <w:t xml:space="preserve">what he saw, but rather requires retelling what the external audience, at least,</w:t>
      </w:r>
      <w:r>
        <w:t xml:space="preserve"> </w:t>
      </w:r>
      <w:r>
        <w:t xml:space="preserve">already knows from the chorus. The chorus’ etiological account becomes the</w:t>
      </w:r>
      <w:r>
        <w:t xml:space="preserve"> </w:t>
      </w:r>
      <w:r>
        <w:t xml:space="preserve">Messenger’s revelation.</w:t>
      </w:r>
    </w:p>
    <w:p>
      <w:pPr>
        <w:pStyle w:val="BodyText"/>
      </w:pPr>
      <w:r>
        <w:t xml:space="preserve">Nancy Worman links the play’s focus on attire and appearance to</w:t>
      </w:r>
      <w:r>
        <w:t xml:space="preserve"> </w:t>
      </w:r>
      <w:r>
        <w:t xml:space="preserve">“a growing sense</w:t>
      </w:r>
      <w:r>
        <w:t xml:space="preserve"> </w:t>
      </w:r>
      <w:r>
        <w:t xml:space="preserve">of coercion and menace”</w:t>
      </w:r>
      <w:r>
        <w:t xml:space="preserve"> </w:t>
      </w:r>
      <w:r>
        <w:t xml:space="preserve">that</w:t>
      </w:r>
      <w:r>
        <w:t xml:space="preserve"> </w:t>
      </w:r>
      <w:r>
        <w:t xml:space="preserve">“attaches to the various costumes”</w:t>
      </w:r>
      <w:r>
        <w:t xml:space="preserve"> </w:t>
      </w:r>
      <w:r>
        <w:t xml:space="preserve">(</w:t>
      </w:r>
      <w:r>
        <w:t xml:space="preserve">@Worman2021</w:t>
      </w:r>
      <w:r>
        <w:t xml:space="preserve"> </w:t>
      </w:r>
      <w:r>
        <w:t xml:space="preserve">100). The narrative punctuations allow this menace to grow not just through what</w:t>
      </w:r>
      <w:r>
        <w:t xml:space="preserve"> </w:t>
      </w:r>
      <w:r>
        <w:t xml:space="preserve">the characters say to each other but also through what they describe that the</w:t>
      </w:r>
      <w:r>
        <w:t xml:space="preserve"> </w:t>
      </w:r>
      <w:r>
        <w:t xml:space="preserve">audience cannot see. The first Messenger’s</w:t>
      </w:r>
      <w:r>
        <w:t xml:space="preserve"> </w:t>
      </w:r>
      <w:r>
        <w:t xml:space="preserve">“pointed counterfactual assertions</w:t>
      </w:r>
      <w:r>
        <w:t xml:space="preserve"> </w:t>
      </w:r>
      <w:r>
        <w:t xml:space="preserve">about what Pentheus</w:t>
      </w:r>
      <w:r>
        <w:t xml:space="preserve"> </w:t>
      </w:r>
      <w:r>
        <w:rPr>
          <w:i/>
          <w:iCs/>
        </w:rPr>
        <w:t xml:space="preserve">would</w:t>
      </w:r>
      <w:r>
        <w:t xml:space="preserve"> </w:t>
      </w:r>
      <w:r>
        <w:t xml:space="preserve">have seen”</w:t>
      </w:r>
      <w:r>
        <w:t xml:space="preserve"> </w:t>
      </w:r>
      <w:r>
        <w:t xml:space="preserve">are also counterfactuals for the</w:t>
      </w:r>
      <w:r>
        <w:t xml:space="preserve"> </w:t>
      </w:r>
      <w:r>
        <w:t xml:space="preserve">audience (</w:t>
      </w:r>
      <w:r>
        <w:t xml:space="preserve">@Perris2011a</w:t>
      </w:r>
      <w:r>
        <w:t xml:space="preserve"> </w:t>
      </w:r>
      <w:r>
        <w:t xml:space="preserve">40). Apprehension builds towards the climax of the second</w:t>
      </w:r>
      <w:r>
        <w:t xml:space="preserve"> </w:t>
      </w:r>
      <w:r>
        <w:t xml:space="preserve">Messenger’s speech through these moments of narration that allow the strange</w:t>
      </w:r>
      <w:r>
        <w:t xml:space="preserve"> </w:t>
      </w:r>
      <w:r>
        <w:t xml:space="preserve">sights to grow stranger in each audience member’s mind precisely because the</w:t>
      </w:r>
      <w:r>
        <w:t xml:space="preserve"> </w:t>
      </w:r>
      <w:r>
        <w:t xml:space="preserve">audience cannot view these sights collectively—cannot view them at all.</w:t>
      </w:r>
    </w:p>
    <w:p>
      <w:pPr>
        <w:pStyle w:val="BodyText"/>
      </w:pPr>
      <w:r>
        <w:t xml:space="preserve">But where the audience is not initiated into the rituals that each time end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sparagmos</w:t>
      </w:r>
      <w:r>
        <w:t xml:space="preserve">—first of cattle, second of Pentheus—they witness Pentheus’ own</w:t>
      </w:r>
      <w:r>
        <w:t xml:space="preserve"> </w:t>
      </w:r>
      <w:r>
        <w:t xml:space="preserve">transformation at the hands of Dionysus. This transformation dramatizes the</w:t>
      </w:r>
      <w:r>
        <w:t xml:space="preserve"> </w:t>
      </w:r>
      <w:r>
        <w:t xml:space="preserve">chorus’ and the Cowherd’s descriptions of the maenads, turning unseen narrative</w:t>
      </w:r>
      <w:r>
        <w:t xml:space="preserve"> </w:t>
      </w:r>
      <w:r>
        <w:t xml:space="preserve">into enacted ritual preparation. The dialogue, like the earlier chorus and</w:t>
      </w:r>
      <w:r>
        <w:t xml:space="preserve"> </w:t>
      </w:r>
      <w:r>
        <w:t xml:space="preserve">monologue, pays particular attention to his hair and fawnskin mantle:</w:t>
      </w:r>
      <w:r>
        <w:t xml:space="preserve"> </w:t>
      </w:r>
      <w:r>
        <w:t xml:space="preserve">“I will</w:t>
      </w:r>
      <w:r>
        <w:t xml:space="preserve"> </w:t>
      </w:r>
      <w:r>
        <w:t xml:space="preserve">spread your hair out at length upon your head,”</w:t>
      </w:r>
      <w:r>
        <w:t xml:space="preserve"> </w:t>
      </w:r>
      <w:r>
        <w:t xml:space="preserve">Dionysus says; and when asked</w:t>
      </w:r>
      <w:r>
        <w:t xml:space="preserve"> </w:t>
      </w:r>
      <w:r>
        <w:t xml:space="preserve">“What else?”</w:t>
      </w:r>
      <w:r>
        <w:t xml:space="preserve"> </w:t>
      </w:r>
      <w:r>
        <w:t xml:space="preserve">by Pentheus, the god replies,</w:t>
      </w:r>
      <w:r>
        <w:t xml:space="preserve"> </w:t>
      </w:r>
      <w:r>
        <w:t xml:space="preserve">“A thyrsus in your hand and a dappled</w:t>
      </w:r>
      <w:r>
        <w:t xml:space="preserve"> </w:t>
      </w:r>
      <w:r>
        <w:t xml:space="preserve">fawnskin”</w:t>
      </w:r>
      <w:r>
        <w:t xml:space="preserve"> </w:t>
      </w:r>
      <w:r>
        <w:t xml:space="preserve">(831, 835; cf. 24–25). In a similar way, the chorus later prepares the</w:t>
      </w:r>
      <w:r>
        <w:t xml:space="preserve"> </w:t>
      </w:r>
      <w:r>
        <w:t xml:space="preserve">audience for the second Messenger’s grisly report with their prophetic account</w:t>
      </w:r>
      <w:r>
        <w:t xml:space="preserve"> </w:t>
      </w:r>
      <w:r>
        <w:t xml:space="preserve">of</w:t>
      </w:r>
      <w:r>
        <w:t xml:space="preserve"> </w:t>
      </w:r>
      <w:r>
        <w:t xml:space="preserve">“justice made manifest”</w:t>
      </w:r>
      <w:r>
        <w:t xml:space="preserve"> </w:t>
      </w:r>
      <w:r>
        <w:t xml:space="preserve">(992=1011: ἴτω δίκα φανερός). As Foley puts it,</w:t>
      </w:r>
      <w:r>
        <w:t xml:space="preserve"> </w:t>
      </w:r>
      <w:r>
        <w:t xml:space="preserve">“In the fourth stasimon (977–1023) the chorus prophetically imagines Pentheus’</w:t>
      </w:r>
      <w:r>
        <w:t xml:space="preserve"> </w:t>
      </w:r>
      <w:r>
        <w:t xml:space="preserve">destruction on the mountain soon to be reported by the messenger; the messenger</w:t>
      </w:r>
      <w:r>
        <w:t xml:space="preserve"> </w:t>
      </w:r>
      <w:r>
        <w:t xml:space="preserve">speech is immediately followed by a choral celebration of the god’s victory</w:t>
      </w:r>
      <w:r>
        <w:t xml:space="preserve"> </w:t>
      </w:r>
      <w:r>
        <w:t xml:space="preserve">over Pentheus (1153–64)”</w:t>
      </w:r>
      <w:r>
        <w:t xml:space="preserve"> </w:t>
      </w:r>
      <w:r>
        <w:t xml:space="preserve">(</w:t>
      </w:r>
      <w:r>
        <w:t xml:space="preserve">@Foley1985</w:t>
      </w:r>
      <w:r>
        <w:t xml:space="preserve"> </w:t>
      </w:r>
      <w:r>
        <w:t xml:space="preserve">221). Although the fourth stasimon does</w:t>
      </w:r>
      <w:r>
        <w:t xml:space="preserve"> </w:t>
      </w:r>
      <w:r>
        <w:t xml:space="preserve">not register high on the narrativity skill, the previous narrative doubling by</w:t>
      </w:r>
      <w:r>
        <w:t xml:space="preserve"> </w:t>
      </w:r>
      <w:r>
        <w:t xml:space="preserve">proleptic chorus and the analeptic Messengers joins the chorus and Messengers</w:t>
      </w:r>
      <w:r>
        <w:t xml:space="preserve"> </w:t>
      </w:r>
      <w:r>
        <w:t xml:space="preserve">as two modes of sustaining the miraculous and profane sights that remain beyond</w:t>
      </w:r>
      <w:r>
        <w:t xml:space="preserve"> </w:t>
      </w:r>
      <w:r>
        <w:t xml:space="preserve">the external audience’s point of view.</w:t>
      </w:r>
      <w:r>
        <w:rPr>
          <w:rStyle w:val="FootnoteReference"/>
        </w:rPr>
        <w:footnoteReference w:id="29"/>
      </w:r>
    </w:p>
    <w:p>
      <w:pPr>
        <w:pStyle w:val="BodyText"/>
      </w:pPr>
      <w:r>
        <w:t xml:space="preserve">Perris also notes the echoes of the fourth stasimon in the second Messenger’s</w:t>
      </w:r>
      <w:r>
        <w:t xml:space="preserve"> </w:t>
      </w:r>
      <w:r>
        <w:t xml:space="preserve">speech, but he does not connect these echoes to the further doubling that</w:t>
      </w:r>
      <w:r>
        <w:t xml:space="preserve"> </w:t>
      </w:r>
      <w:r>
        <w:t xml:space="preserve">has occurred throughout the plays narrative and dramatic action (</w:t>
      </w:r>
      <w:r>
        <w:t xml:space="preserve">@Perris2011a</w:t>
      </w:r>
      <w:r>
        <w:t xml:space="preserve"> </w:t>
      </w:r>
      <w:r>
        <w:t xml:space="preserve">43). Richard Buxton, on the other hand, connects the Messengers’ narratives</w:t>
      </w:r>
      <w:r>
        <w:t xml:space="preserve"> </w:t>
      </w:r>
      <w:r>
        <w:t xml:space="preserve">with the prologue, Pentheus’ opening speech, and the speech by the Servant</w:t>
      </w:r>
      <w:r>
        <w:t xml:space="preserve"> </w:t>
      </w:r>
      <w:r>
        <w:t xml:space="preserve">who delivers Dionysus (as the Lydian Stranger) to Pentheus—together with the</w:t>
      </w:r>
      <w:r>
        <w:t xml:space="preserve"> </w:t>
      </w:r>
      <w:r>
        <w:t xml:space="preserve">two Messengers’ reports, Buxton writes,</w:t>
      </w:r>
      <w:r>
        <w:t xml:space="preserve"> </w:t>
      </w:r>
      <w:r>
        <w:t xml:space="preserve">“these five narratives may be seen</w:t>
      </w:r>
      <w:r>
        <w:t xml:space="preserve"> </w:t>
      </w:r>
      <w:r>
        <w:t xml:space="preserve">as constituting a series, the later modifying the earlier; in no two cases</w:t>
      </w:r>
      <w:r>
        <w:t xml:space="preserve"> </w:t>
      </w:r>
      <w:r>
        <w:t xml:space="preserve">is the relationship between content and narrator identical”</w:t>
      </w:r>
      <w:r>
        <w:t xml:space="preserve"> </w:t>
      </w:r>
      <w:r>
        <w:t xml:space="preserve">(</w:t>
      </w:r>
      <w:r>
        <w:t xml:space="preserve">@Buxton1991</w:t>
      </w:r>
      <w:r>
        <w:t xml:space="preserve"> </w:t>
      </w:r>
      <w:r>
        <w:t xml:space="preserve">40).</w:t>
      </w:r>
      <w:r>
        <w:t xml:space="preserve"> </w:t>
      </w:r>
      <w:r>
        <w:t xml:space="preserve">While the web of interrelated passages that emerges through the performance</w:t>
      </w:r>
      <w:r>
        <w:t xml:space="preserve"> </w:t>
      </w:r>
      <w:r>
        <w:t xml:space="preserve">of this play is undeniable, Buxton’s throughline does not depend on narrative</w:t>
      </w:r>
      <w:r>
        <w:t xml:space="preserve"> </w:t>
      </w:r>
      <w:r>
        <w:t xml:space="preserve">per se but rather on a sense of place established by the five passages that he</w:t>
      </w:r>
      <w:r>
        <w:t xml:space="preserve"> </w:t>
      </w:r>
      <w:r>
        <w:t xml:space="preserve">isolates. By instead isolating moments of high narrativity, I mean to highlight</w:t>
      </w:r>
      <w:r>
        <w:t xml:space="preserve"> </w:t>
      </w:r>
      <w:r>
        <w:t xml:space="preserve">the tenuous relationship between performance and description and the ways that</w:t>
      </w:r>
      <w:r>
        <w:t xml:space="preserve"> </w:t>
      </w:r>
      <w:r>
        <w:t xml:space="preserve">the two are not easily separated. As Foley has observed, this difficulty gains</w:t>
      </w:r>
      <w:r>
        <w:t xml:space="preserve"> </w:t>
      </w:r>
      <w:r>
        <w:t xml:space="preserve">special purchase within this play:</w:t>
      </w:r>
      <w:r>
        <w:t xml:space="preserve"> </w:t>
      </w:r>
      <w:r>
        <w:t xml:space="preserve">“In the</w:t>
      </w:r>
      <w:r>
        <w:t xml:space="preserve"> </w:t>
      </w:r>
      <w:r>
        <w:rPr>
          <w:i/>
          <w:iCs/>
        </w:rPr>
        <w:t xml:space="preserve">Bacchae</w:t>
      </w:r>
      <w:r>
        <w:t xml:space="preserve"> </w:t>
      </w:r>
      <w:r>
        <w:t xml:space="preserve">myth and action, odes and</w:t>
      </w:r>
      <w:r>
        <w:t xml:space="preserve"> </w:t>
      </w:r>
      <w:r>
        <w:t xml:space="preserve">iambic scenes, are intertwined from the start, as is appropriate in a plot that</w:t>
      </w:r>
      <w:r>
        <w:t xml:space="preserve"> </w:t>
      </w:r>
      <w:r>
        <w:t xml:space="preserve">represents a penetration of the secular world by a divine power”</w:t>
      </w:r>
      <w:r>
        <w:t xml:space="preserve"> </w:t>
      </w:r>
      <w:r>
        <w:t xml:space="preserve">(</w:t>
      </w:r>
      <w:r>
        <w:t xml:space="preserve">@Foley1985</w:t>
      </w:r>
      <w:r>
        <w:t xml:space="preserve"> </w:t>
      </w:r>
      <w:r>
        <w:t xml:space="preserve">207–208). The play’s moments of narrative action ensure that, like Pentheus at</w:t>
      </w:r>
      <w:r>
        <w:t xml:space="preserve"> </w:t>
      </w:r>
      <w:r>
        <w:t xml:space="preserve">918–922, the audience experiences double vision by seeing the narrative reports</w:t>
      </w:r>
      <w:r>
        <w:t xml:space="preserve"> </w:t>
      </w:r>
      <w:r>
        <w:t xml:space="preserve">onstage and by witnessing the action in their minds.</w:t>
      </w:r>
      <w:r>
        <w:rPr>
          <w:rStyle w:val="FootnoteReference"/>
        </w:rPr>
        <w:footnoteReference w:id="30"/>
      </w:r>
    </w:p>
    <w:p>
      <w:pPr>
        <w:pStyle w:val="BodyText"/>
      </w:pPr>
      <w:r>
        <w:t xml:space="preserve">“The action of the play gradually becomes, until the final scenes, fully</w:t>
      </w:r>
      <w:r>
        <w:t xml:space="preserve"> </w:t>
      </w:r>
      <w:r>
        <w:t xml:space="preserve">ritualized and mythical, and Dionysiac poetry transforms reality as the chorus</w:t>
      </w:r>
      <w:r>
        <w:t xml:space="preserve"> </w:t>
      </w:r>
      <w:r>
        <w:t xml:space="preserve">becomes one with and even predicts the action”</w:t>
      </w:r>
      <w:r>
        <w:t xml:space="preserve"> </w:t>
      </w:r>
      <w:r>
        <w:t xml:space="preserve">(</w:t>
      </w:r>
      <w:r>
        <w:t xml:space="preserve">@Foley1985</w:t>
      </w:r>
      <w:r>
        <w:t xml:space="preserve"> </w:t>
      </w:r>
      <w:r>
        <w:t xml:space="preserve">208).</w:t>
      </w:r>
    </w:p>
    <w:p>
      <w:pPr>
        <w:pStyle w:val="BodyText"/>
      </w:pPr>
      <w:r>
        <w:t xml:space="preserve">“Whatever we conclude occurs in the palace scene [576–603], whether nothing</w:t>
      </w:r>
      <w:r>
        <w:t xml:space="preserve"> </w:t>
      </w:r>
      <w:r>
        <w:t xml:space="preserve">at all or a major or minor change in the stage building, no stage business at</w:t>
      </w:r>
      <w:r>
        <w:t xml:space="preserve"> </w:t>
      </w:r>
      <w:r>
        <w:t xml:space="preserve">this point could adequately imitate the apocalyptic destruction of the palace,</w:t>
      </w:r>
      <w:r>
        <w:t xml:space="preserve"> </w:t>
      </w:r>
      <w:r>
        <w:t xml:space="preserve">including lightning and earthquake, which the chorus sees while Pentheus does</w:t>
      </w:r>
      <w:r>
        <w:t xml:space="preserve"> </w:t>
      </w:r>
      <w:r>
        <w:t xml:space="preserve">not. The miracle must become for the audience more symbolic and prophetic than</w:t>
      </w:r>
      <w:r>
        <w:t xml:space="preserve"> </w:t>
      </w:r>
      <w:r>
        <w:t xml:space="preserve">realistic. The audience sees not a miracle, but a chorus enacting the experience</w:t>
      </w:r>
      <w:r>
        <w:t xml:space="preserve"> </w:t>
      </w:r>
      <w:r>
        <w:t xml:space="preserve">of a miracle, or presenting a theatrical illusion.”</w:t>
      </w:r>
      <w:r>
        <w:t xml:space="preserve"> </w:t>
      </w:r>
      <w:r>
        <w:t xml:space="preserve">(</w:t>
      </w:r>
      <w:r>
        <w:t xml:space="preserve">@Foley1985</w:t>
      </w:r>
      <w:r>
        <w:t xml:space="preserve"> </w:t>
      </w:r>
      <w:r>
        <w:t xml:space="preserve">221)</w:t>
      </w:r>
    </w:p>
    <w:p>
      <w:pPr>
        <w:pStyle w:val="BodyText"/>
      </w:pPr>
      <w:r>
        <w:t xml:space="preserve">“It is not hard to see that any system of classification that could comprehend</w:t>
      </w:r>
      <w:r>
        <w:t xml:space="preserve"> </w:t>
      </w:r>
      <w:r>
        <w:t xml:space="preserve">all of these figures in a single category would tell us little. But the</w:t>
      </w:r>
      <w:r>
        <w:t xml:space="preserve"> </w:t>
      </w:r>
      <w:r>
        <w:t xml:space="preserve">challenge need not be that of deciding who is and who is not a messenger.</w:t>
      </w:r>
      <w:r>
        <w:t xml:space="preserve"> </w:t>
      </w:r>
      <w:r>
        <w:t xml:space="preserve">Such a project, I submit ,would amount to a matter of definition. A more</w:t>
      </w:r>
      <w:r>
        <w:t xml:space="preserve"> </w:t>
      </w:r>
      <w:r>
        <w:t xml:space="preserve">productive approach, I suggest, is to recognize that all tragic messengers, near</w:t>
      </w:r>
      <w:r>
        <w:t xml:space="preserve"> </w:t>
      </w:r>
      <w:r>
        <w:t xml:space="preserve">messengers, and pseudomessengers have been produced more or less in accordance</w:t>
      </w:r>
      <w:r>
        <w:t xml:space="preserve"> </w:t>
      </w:r>
      <w:r>
        <w:t xml:space="preserve">with, or at variance with, a conventional,</w:t>
      </w:r>
      <w:r>
        <w:t xml:space="preserve"> </w:t>
      </w:r>
      <w:r>
        <w:t xml:space="preserve">‘ideal’</w:t>
      </w:r>
      <w:r>
        <w:t xml:space="preserve"> </w:t>
      </w:r>
      <w:r>
        <w:t xml:space="preserve">type. As such, these</w:t>
      </w:r>
      <w:r>
        <w:t xml:space="preserve"> </w:t>
      </w:r>
      <w:r>
        <w:t xml:space="preserve">‘real’</w:t>
      </w:r>
      <w:r>
        <w:t xml:space="preserve"> </w:t>
      </w:r>
      <w:r>
        <w:t xml:space="preserve">tragic figures represent the texts’ ongoing engagement with an idealized</w:t>
      </w:r>
      <w:r>
        <w:t xml:space="preserve"> </w:t>
      </w:r>
      <w:r>
        <w:t xml:space="preserve">conventional form.”</w:t>
      </w:r>
      <w:r>
        <w:t xml:space="preserve"> </w:t>
      </w:r>
      <w:r>
        <w:t xml:space="preserve">(</w:t>
      </w:r>
      <w:r>
        <w:t xml:space="preserve">@Barrett2002</w:t>
      </w:r>
      <w:r>
        <w:t xml:space="preserve"> </w:t>
      </w:r>
      <w:r>
        <w:t xml:space="preserve">97)</w:t>
      </w:r>
    </w:p>
    <w:p>
      <w:pPr>
        <w:pStyle w:val="Compact"/>
        <w:numPr>
          <w:ilvl w:val="0"/>
          <w:numId w:val="1001"/>
        </w:numPr>
      </w:pPr>
      <w:r>
        <w:t xml:space="preserve">Right, so this gets close but doesn’t seem to be quite right. It’s rather that</w:t>
      </w:r>
      <w:r>
        <w:t xml:space="preserve"> </w:t>
      </w:r>
      <w:r>
        <w:t xml:space="preserve">all speakers in tragedy — including choruses! — are more or less narrative.</w:t>
      </w:r>
      <w:r>
        <w:t xml:space="preserve"> </w:t>
      </w:r>
      <w:r>
        <w:t xml:space="preserve">(But is</w:t>
      </w:r>
      <w:r>
        <w:t xml:space="preserve"> </w:t>
      </w:r>
      <w:r>
        <w:t xml:space="preserve">“narrative”</w:t>
      </w:r>
      <w:r>
        <w:t xml:space="preserve"> </w:t>
      </w:r>
      <w:r>
        <w:t xml:space="preserve">opposed to</w:t>
      </w:r>
      <w:r>
        <w:t xml:space="preserve"> </w:t>
      </w:r>
      <w:r>
        <w:t xml:space="preserve">“dramatic”</w:t>
      </w:r>
      <w:r>
        <w:t xml:space="preserve"> </w:t>
      </w:r>
      <w:r>
        <w:t xml:space="preserve">here?)</w:t>
      </w:r>
    </w:p>
    <w:p>
      <w:pPr>
        <w:pStyle w:val="FirstParagraph"/>
      </w:pPr>
      <w:r>
        <w:t xml:space="preserve">“I will argue that Buxton’s formulation, although laudable for the attention</w:t>
      </w:r>
      <w:r>
        <w:t xml:space="preserve"> </w:t>
      </w:r>
      <w:r>
        <w:t xml:space="preserve">it pays to rhetorical variation in the narratives it studies, simplifies the</w:t>
      </w:r>
      <w:r>
        <w:t xml:space="preserve"> </w:t>
      </w:r>
      <w:r>
        <w:t xml:space="preserve">status of the messengers in Euripides’ play [</w:t>
      </w:r>
      <w:r>
        <w:rPr>
          <w:i/>
          <w:iCs/>
        </w:rPr>
        <w:t xml:space="preserve">Bacchae</w:t>
      </w:r>
      <w:r>
        <w:t xml:space="preserve">]. Rather than being</w:t>
      </w:r>
      <w:r>
        <w:t xml:space="preserve"> </w:t>
      </w:r>
      <w:r>
        <w:t xml:space="preserve">‘firmly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the drama,’</w:t>
      </w:r>
      <w:r>
        <w:t xml:space="preserve"> </w:t>
      </w:r>
      <w:r>
        <w:t xml:space="preserve">the messengers occupy a place on the stage</w:t>
      </w:r>
      <w:r>
        <w:t xml:space="preserve"> </w:t>
      </w:r>
      <w:r>
        <w:t xml:space="preserve">very different from that of the other</w:t>
      </w:r>
      <w:r>
        <w:t xml:space="preserve"> </w:t>
      </w:r>
      <w:r>
        <w:rPr>
          <w:i/>
          <w:iCs/>
        </w:rPr>
        <w:t xml:space="preserve">dramatis personae</w:t>
      </w:r>
      <w:r>
        <w:t xml:space="preserve">. A reading founded</w:t>
      </w:r>
      <w:r>
        <w:t xml:space="preserve"> </w:t>
      </w:r>
      <w:r>
        <w:t xml:space="preserve">on metatheatrical studies of the play will show that an important part of</w:t>
      </w:r>
      <w:r>
        <w:t xml:space="preserve"> </w:t>
      </w:r>
      <w:r>
        <w:rPr>
          <w:i/>
          <w:iCs/>
        </w:rPr>
        <w:t xml:space="preserve">Bacchae</w:t>
      </w:r>
      <w:r>
        <w:t xml:space="preserve">’s self-conscious interest is directed at the status of the messengers,</w:t>
      </w:r>
      <w:r>
        <w:t xml:space="preserve"> </w:t>
      </w:r>
      <w:r>
        <w:t xml:space="preserve">particularly with respect to how they define and are defined by Pentheus.”</w:t>
      </w:r>
      <w:r>
        <w:t xml:space="preserve"> </w:t>
      </w:r>
      <w:r>
        <w:t xml:space="preserve">(</w:t>
      </w:r>
      <w:r>
        <w:t xml:space="preserve">@Barrett2002</w:t>
      </w:r>
      <w:r>
        <w:t xml:space="preserve"> </w:t>
      </w:r>
      <w:r>
        <w:t xml:space="preserve">103)</w:t>
      </w:r>
    </w:p>
    <w:bookmarkEnd w:id="31"/>
    <w:bookmarkStart w:id="35" w:name="aeschylus-agamemnon"/>
    <w:p>
      <w:pPr>
        <w:pStyle w:val="Heading3"/>
      </w:pPr>
      <w:r>
        <w:t xml:space="preserve">Aeschylus’</w:t>
      </w:r>
      <w:r>
        <w:t xml:space="preserve"> </w:t>
      </w:r>
      <w:r>
        <w:rPr>
          <w:i/>
          <w:iCs/>
        </w:rPr>
        <w:t xml:space="preserve">Agamemnon</w:t>
      </w:r>
    </w:p>
    <w:p>
      <w:pPr>
        <w:pStyle w:val="FirstParagraph"/>
      </w:pPr>
      <w:r>
        <w:t xml:space="preserve">Having looked at the play with the highest difference in narrativity between traditionally labeled messengers and other speakers, I turn now to the play where that difference is smallest: Aeschylus’</w:t>
      </w:r>
      <w:r>
        <w:t xml:space="preserve"> </w:t>
      </w:r>
      <w:r>
        <w:rPr>
          <w:i/>
          <w:iCs/>
        </w:rPr>
        <w:t xml:space="preserve">Agamemnon</w:t>
      </w:r>
      <w:r>
        <w:t xml:space="preserve">.</w:t>
      </w:r>
    </w:p>
    <w:p>
      <w:pPr>
        <w:pStyle w:val="CaptionedFigure"/>
      </w:pPr>
      <w:r>
        <w:drawing>
          <wp:inline>
            <wp:extent cx="5334000" cy="1933538"/>
            <wp:effectExtent b="0" l="0" r="0" t="0"/>
            <wp:docPr descr="Chart showing per-sentence and rolling 7-sentence average narrativity for Aeschylus’ Agamemnon" title="" id="33" name="Picture"/>
            <a:graphic>
              <a:graphicData uri="http://schemas.openxmlformats.org/drawingml/2006/picture">
                <pic:pic>
                  <pic:nvPicPr>
                    <pic:cNvPr descr="../figures/ALL_DRAMA_line_position_tlg0085.tlg00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3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Chart showing per-sentence and rolling 7-sentence average narrativity for</w:t>
      </w:r>
      <w:r>
        <w:t xml:space="preserve"> </w:t>
      </w:r>
      <w:r>
        <w:t xml:space="preserve">Aeschylus’</w:t>
      </w:r>
      <w:r>
        <w:t xml:space="preserve"> </w:t>
      </w:r>
      <w:r>
        <w:rPr>
          <w:i/>
          <w:iCs/>
        </w:rPr>
        <w:t xml:space="preserve">Agamemnon</w:t>
      </w:r>
    </w:p>
    <w:p>
      <w:pPr>
        <w:pStyle w:val="BodyText"/>
      </w:pPr>
      <w:r>
        <w:t xml:space="preserve">While the speech Herald who announces the Achaeans’ return from Troy (503–582,</w:t>
      </w:r>
      <w:r>
        <w:t xml:space="preserve"> </w:t>
      </w:r>
      <w:r>
        <w:t xml:space="preserve">620–680) shows several peaks on the narrativity scale, these peaks pale in</w:t>
      </w:r>
      <w:r>
        <w:t xml:space="preserve"> </w:t>
      </w:r>
      <w:r>
        <w:t xml:space="preserve">comparison to those of the parodos (40–257) and Clytaemestra’s</w:t>
      </w:r>
      <w:r>
        <w:t xml:space="preserve"> </w:t>
      </w:r>
      <w:r>
        <w:t xml:space="preserve">“Beacon Speech”</w:t>
      </w:r>
      <w:r>
        <w:t xml:space="preserve"> </w:t>
      </w:r>
      <w:r>
        <w:t xml:space="preserve">(281–316). This array of narrative speeches and speakers casts doubt on the</w:t>
      </w:r>
      <w:r>
        <w:t xml:space="preserve"> </w:t>
      </w:r>
      <w:r>
        <w:t xml:space="preserve">traditional labeling of messenger versus not—or even on messenger function</w:t>
      </w:r>
      <w:r>
        <w:t xml:space="preserve"> </w:t>
      </w:r>
      <w:r>
        <w:t xml:space="preserve">versus not—suggesting that we should think in terms of narrative moments rather</w:t>
      </w:r>
      <w:r>
        <w:t xml:space="preserve"> </w:t>
      </w:r>
      <w:r>
        <w:t xml:space="preserve">than narrative characters.</w:t>
      </w:r>
    </w:p>
    <w:p>
      <w:pPr>
        <w:pStyle w:val="BodyText"/>
      </w:pPr>
      <w:r>
        <w:t xml:space="preserve">The parodos opens with a long narrative sentence (40–54):</w:t>
      </w:r>
    </w:p>
    <w:p>
      <w:pPr>
        <w:pStyle w:val="BodyText"/>
      </w:pPr>
      <w:r>
        <w:t xml:space="preserve">δέκατον μὲν ἔτος τόδʼ ἐπεὶ Πριάμου</w:t>
      </w:r>
      <w:r>
        <w:br/>
      </w:r>
      <w:r>
        <w:t xml:space="preserve">μέγας ἀντίδικος</w:t>
      </w:r>
      <w:r>
        <w:br/>
      </w:r>
      <w:r>
        <w:t xml:space="preserve">Μενέλαος ἄναξ ἠδʼ Ἀγαμέμνων,</w:t>
      </w:r>
      <w:r>
        <w:br/>
      </w:r>
      <w:r>
        <w:t xml:space="preserve">διθρόνου Διόθεν καὶ δισκήπτρου</w:t>
      </w:r>
      <w:r>
        <w:br/>
      </w:r>
      <w:r>
        <w:t xml:space="preserve">τιμῆς ὀχυρὸν ζεῦγος Ἀτρειδᾶν,</w:t>
      </w:r>
      <w:r>
        <w:br/>
      </w:r>
      <w:r>
        <w:t xml:space="preserve">στόλον Ἀργείων χιλιοναύτην</w:t>
      </w:r>
      <w:r>
        <w:br/>
      </w:r>
      <w:r>
        <w:t xml:space="preserve">τῆσδʼ ἀπὸ χώρας</w:t>
      </w:r>
      <w:r>
        <w:br/>
      </w:r>
      <w:r>
        <w:t xml:space="preserve">ἦραν, στρατιῶτιν ἀρωγήν,</w:t>
      </w:r>
      <w:r>
        <w:br/>
      </w:r>
      <w:r>
        <w:t xml:space="preserve">μεγάλ’ ἐκ θυμοῦ κλάζοντες Ἄρη,</w:t>
      </w:r>
      <w:r>
        <w:br/>
      </w:r>
      <w:r>
        <w:t xml:space="preserve">τρόπον αἰγυπιῶν οἵτʼ ἐκπατίοις</w:t>
      </w:r>
      <w:r>
        <w:br/>
      </w:r>
      <w:r>
        <w:t xml:space="preserve">ἄλγεσι παίδων ὕπατοι λεχέων</w:t>
      </w:r>
      <w:r>
        <w:br/>
      </w:r>
      <w:r>
        <w:t xml:space="preserve">στροφοδινοῦνται</w:t>
      </w:r>
      <w:r>
        <w:br/>
      </w:r>
      <w:r>
        <w:t xml:space="preserve">πτερύγων ἐρετμοῖσιν ἐρεσσόμενοι,</w:t>
      </w:r>
      <w:r>
        <w:br/>
      </w:r>
      <w:r>
        <w:t xml:space="preserve">δεμνιοτήρη</w:t>
      </w:r>
      <w:r>
        <w:br/>
      </w:r>
      <w:r>
        <w:t xml:space="preserve">πόνον ὀρταλίχων ὀλέσαντες·</w:t>
      </w:r>
    </w:p>
    <w:p>
      <w:pPr>
        <w:pStyle w:val="BodyText"/>
      </w:pPr>
      <w:r>
        <w:t xml:space="preserve">This is the tenth year since</w:t>
      </w:r>
      <w:r>
        <w:br/>
      </w:r>
      <w:r>
        <w:t xml:space="preserve">the great plaintiff against Priam,</w:t>
      </w:r>
      <w:r>
        <w:br/>
      </w:r>
      <w:r>
        <w:t xml:space="preserve">Lord Menelaus–and with him Agamemnon–</w:t>
      </w:r>
      <w:r>
        <w:br/>
      </w:r>
      <w:r>
        <w:t xml:space="preserve">the strong yoked Atreids, consisting of</w:t>
      </w:r>
      <w:r>
        <w:br/>
      </w:r>
      <w:r>
        <w:t xml:space="preserve">two-throned and two-sceptred honor from Zeus,</w:t>
      </w:r>
      <w:r>
        <w:br/>
      </w:r>
      <w:r>
        <w:t xml:space="preserve">set sail from this land the thousand-shipped</w:t>
      </w:r>
      <w:r>
        <w:br/>
      </w:r>
      <w:r>
        <w:t xml:space="preserve">fleet of Argives, their martial aid,</w:t>
      </w:r>
      <w:r>
        <w:br/>
      </w:r>
      <w:r>
        <w:t xml:space="preserve">crying out</w:t>
      </w:r>
      <w:r>
        <w:t xml:space="preserve"> </w:t>
      </w:r>
      <w:r>
        <w:t xml:space="preserve">“Ares”</w:t>
      </w:r>
      <w:r>
        <w:t xml:space="preserve"> </w:t>
      </w:r>
      <w:r>
        <w:t xml:space="preserve">loudly from their spirit,</w:t>
      </w:r>
      <w:r>
        <w:br/>
      </w:r>
      <w:r>
        <w:t xml:space="preserve">like vultures who, in lonely pains</w:t>
      </w:r>
      <w:r>
        <w:br/>
      </w:r>
      <w:r>
        <w:t xml:space="preserve">for their children,</w:t>
      </w:r>
      <w:r>
        <w:br/>
      </w:r>
      <w:r>
        <w:t xml:space="preserve">eddy around high above their nest,</w:t>
      </w:r>
      <w:r>
        <w:br/>
      </w:r>
      <w:r>
        <w:t xml:space="preserve">rowing with the oars of their wings,</w:t>
      </w:r>
      <w:r>
        <w:br/>
      </w:r>
      <w:r>
        <w:t xml:space="preserve">because they lost the bed-watching</w:t>
      </w:r>
      <w:r>
        <w:br/>
      </w:r>
      <w:r>
        <w:t xml:space="preserve">toil of their chicks.</w:t>
      </w:r>
    </w:p>
    <w:p>
      <w:pPr>
        <w:pStyle w:val="BodyText"/>
      </w:pPr>
      <w:r>
        <w:t xml:space="preserve">The chorus quickly assumes a narrative stance in these opening anapests,</w:t>
      </w:r>
      <w:r>
        <w:t xml:space="preserve"> </w:t>
      </w:r>
      <w:r>
        <w:t xml:space="preserve">including a near-simile about the vultures and their nest. As with the parodos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Bacchae</w:t>
      </w:r>
      <w:r>
        <w:t xml:space="preserve">, part of the narrative tilt here comes from extensive use of a</w:t>
      </w:r>
      <w:r>
        <w:t xml:space="preserve"> </w:t>
      </w:r>
      <w:r>
        <w:t xml:space="preserve">third-person perspective, but third-person verbs do not suffice on their own for</w:t>
      </w:r>
      <w:r>
        <w:t xml:space="preserve"> </w:t>
      </w:r>
      <w:r>
        <w:t xml:space="preserve">the model to classify a sentence as narrative. The following sentence,</w:t>
      </w:r>
      <w:r>
        <w:t xml:space="preserve"> </w:t>
      </w:r>
      <w:r>
        <w:t xml:space="preserve">“Some god</w:t>
      </w:r>
      <w:r>
        <w:t xml:space="preserve"> </w:t>
      </w:r>
      <w:r>
        <w:t xml:space="preserve">on high—Apollo or Pan or Zeus—hears the shrill-screaming bird-cried lament of</w:t>
      </w:r>
      <w:r>
        <w:t xml:space="preserve"> </w:t>
      </w:r>
      <w:r>
        <w:t xml:space="preserve">these metics and sends a late-avenging [</w:t>
      </w:r>
      <w:r>
        <w:rPr>
          <w:i/>
          <w:iCs/>
        </w:rPr>
        <w:t xml:space="preserve">hysteropoinos</w:t>
      </w:r>
      <w:r>
        <w:t xml:space="preserve">] Erinys to their side”</w:t>
      </w:r>
      <w:r>
        <w:t xml:space="preserve"> </w:t>
      </w:r>
      <w:r>
        <w:t xml:space="preserve">(55–60), also operates only in the third-person, but the model does not classify</w:t>
      </w:r>
      <w:r>
        <w:t xml:space="preserve"> </w:t>
      </w:r>
      <w:r>
        <w:t xml:space="preserve">it as narrative. Although the model weights are a black box and difficult to</w:t>
      </w:r>
      <w:r>
        <w:t xml:space="preserve"> </w:t>
      </w:r>
      <w:r>
        <w:t xml:space="preserve">interpret, the model’s discrimination between these two sentences suggests that</w:t>
      </w:r>
      <w:r>
        <w:t xml:space="preserve"> </w:t>
      </w:r>
      <w:r>
        <w:t xml:space="preserve">it picks up on genuine similarities and dissimilarities among passages that it</w:t>
      </w:r>
      <w:r>
        <w:t xml:space="preserve"> </w:t>
      </w:r>
      <w:r>
        <w:t xml:space="preserve">classifies as narrative and not. In this case, perhaps the vocabulary has some</w:t>
      </w:r>
      <w:r>
        <w:t xml:space="preserve"> </w:t>
      </w:r>
      <w:r>
        <w:t xml:space="preserve">influence: as</w:t>
      </w:r>
      <w:r>
        <w:t xml:space="preserve"> </w:t>
      </w:r>
      <w:r>
        <w:t xml:space="preserve">@Griffin1986 [38 and passim]</w:t>
      </w:r>
      <w:r>
        <w:t xml:space="preserve"> </w:t>
      </w:r>
      <w:r>
        <w:t xml:space="preserve">and others have noted, the Homeric</w:t>
      </w:r>
      <w:r>
        <w:t xml:space="preserve"> </w:t>
      </w:r>
      <w:r>
        <w:t xml:space="preserve">narrative tends to avoid subjects like vengeance (</w:t>
      </w:r>
      <w:r>
        <w:rPr>
          <w:i/>
          <w:iCs/>
        </w:rPr>
        <w:t xml:space="preserve">poinē</w:t>
      </w:r>
      <w:r>
        <w:t xml:space="preserve">).</w:t>
      </w:r>
    </w:p>
    <w:p>
      <w:pPr>
        <w:pStyle w:val="BodyText"/>
      </w:pPr>
      <w:r>
        <w:t xml:space="preserve">Narrativity falls over the course of the</w:t>
      </w:r>
      <w:r>
        <w:t xml:space="preserve"> </w:t>
      </w:r>
      <w:r>
        <w:rPr>
          <w:i/>
          <w:iCs/>
        </w:rPr>
        <w:t xml:space="preserve">Agamemnon</w:t>
      </w:r>
      <w:r>
        <w:t xml:space="preserve">, such that these early</w:t>
      </w:r>
      <w:r>
        <w:t xml:space="preserve"> </w:t>
      </w:r>
      <w:r>
        <w:t xml:space="preserve">narrative moments establish the background before the play devolves into</w:t>
      </w:r>
      <w:r>
        <w:t xml:space="preserve"> </w:t>
      </w:r>
      <w:r>
        <w:t xml:space="preserve">murder and Cassandra’s chaotic speech. This change over time—one of two</w:t>
      </w:r>
      <w:r>
        <w:t xml:space="preserve"> </w:t>
      </w:r>
      <w:r>
        <w:t xml:space="preserve">statistically significant decreases in narrativity, the other being Euripides’</w:t>
      </w:r>
      <w:r>
        <w:t xml:space="preserve"> </w:t>
      </w:r>
      <w:r>
        <w:rPr>
          <w:i/>
          <w:iCs/>
        </w:rPr>
        <w:t xml:space="preserve">Electra</w:t>
      </w:r>
      <w:r>
        <w:t xml:space="preserve">—points to a change from story to spectacle. Like the beacon-flame</w:t>
      </w:r>
      <w:r>
        <w:t xml:space="preserve"> </w:t>
      </w:r>
      <w:r>
        <w:t xml:space="preserve">itself, which Clytaemestra brings to rest upon the palace, the drama brings</w:t>
      </w:r>
      <w:r>
        <w:t xml:space="preserve"> </w:t>
      </w:r>
      <w:r>
        <w:t xml:space="preserve">the action from distant Troy to the theater in front of the audience’s eyes.</w:t>
      </w:r>
      <w:r>
        <w:t xml:space="preserve"> </w:t>
      </w:r>
      <w:r>
        <w:t xml:space="preserve">As Winnington-Ingram observes,</w:t>
      </w:r>
      <w:r>
        <w:t xml:space="preserve"> </w:t>
      </w:r>
      <w:r>
        <w:t xml:space="preserve">“To show [the events of</w:t>
      </w:r>
      <w:r>
        <w:t xml:space="preserve"> </w:t>
      </w:r>
      <w:r>
        <w:rPr>
          <w:i/>
          <w:iCs/>
        </w:rPr>
        <w:t xml:space="preserve">Agamemnon</w:t>
      </w:r>
      <w:r>
        <w:t xml:space="preserve">] as the</w:t>
      </w:r>
      <w:r>
        <w:t xml:space="preserve"> </w:t>
      </w:r>
      <w:r>
        <w:t xml:space="preserve">inevitable product of past events, to accumulate foreboding, right upt to</w:t>
      </w:r>
      <w:r>
        <w:t xml:space="preserve"> </w:t>
      </w:r>
      <w:r>
        <w:t xml:space="preserve">the striking blow, was well suited to the lyric mode which is employed”</w:t>
      </w:r>
      <w:r>
        <w:t xml:space="preserve"> </w:t>
      </w:r>
      <w:r>
        <w:t xml:space="preserve">(</w:t>
      </w:r>
      <w:r>
        <w:t xml:space="preserve">@Winnington-Ingram1983</w:t>
      </w:r>
      <w:r>
        <w:t xml:space="preserve"> </w:t>
      </w:r>
      <w:r>
        <w:t xml:space="preserve">74).</w:t>
      </w:r>
    </w:p>
    <w:p>
      <w:pPr>
        <w:pStyle w:val="BodyText"/>
      </w:pPr>
      <w:r>
        <w:t xml:space="preserve">This tension builds not only thanks to the</w:t>
      </w:r>
      <w:r>
        <w:t xml:space="preserve"> </w:t>
      </w:r>
      <w:r>
        <w:t xml:space="preserve">“lyric mode”</w:t>
      </w:r>
      <w:r>
        <w:t xml:space="preserve"> </w:t>
      </w:r>
      <w:r>
        <w:t xml:space="preserve">of the drama but</w:t>
      </w:r>
      <w:r>
        <w:t xml:space="preserve"> </w:t>
      </w:r>
      <w:r>
        <w:t xml:space="preserve">also due to the audience’s growing realization that they must reconcile their</w:t>
      </w:r>
      <w:r>
        <w:t xml:space="preserve"> </w:t>
      </w:r>
      <w:r>
        <w:t xml:space="preserve">internally visualized notion of narrated events with the action that gradually</w:t>
      </w:r>
      <w:r>
        <w:t xml:space="preserve"> </w:t>
      </w:r>
      <w:r>
        <w:t xml:space="preserve">unfolds on- and just-off-stage. As Rancière writes,</w:t>
      </w:r>
      <w:r>
        <w:t xml:space="preserve"> </w:t>
      </w:r>
      <w:r>
        <w:t xml:space="preserve">“Literature teaches us</w:t>
      </w:r>
      <w:r>
        <w:t xml:space="preserve"> </w:t>
      </w:r>
      <w:r>
        <w:t xml:space="preserve">to choose between two interpretations: not two interpretations of the speech</w:t>
      </w:r>
      <w:r>
        <w:t xml:space="preserve"> </w:t>
      </w:r>
      <w:r>
        <w:t xml:space="preserve">or actions of others, but two interpretations of our own perceptions and the</w:t>
      </w:r>
      <w:r>
        <w:t xml:space="preserve"> </w:t>
      </w:r>
      <w:r>
        <w:t xml:space="preserve">feelings of affection that accompany them”</w:t>
      </w:r>
      <w:r>
        <w:t xml:space="preserve"> </w:t>
      </w:r>
      <w:r>
        <w:t xml:space="preserve">(</w:t>
      </w:r>
      <w:r>
        <w:t xml:space="preserve">@Ranciere2005</w:t>
      </w:r>
      <w:r>
        <w:t xml:space="preserve"> </w:t>
      </w:r>
      <w:r>
        <w:t xml:space="preserve">101).</w:t>
      </w:r>
      <w:r>
        <w:t xml:space="preserve"> </w:t>
      </w:r>
      <w:r>
        <w:rPr>
          <w:i/>
          <w:iCs/>
        </w:rPr>
        <w:t xml:space="preserve">Agamemnon</w:t>
      </w:r>
      <w:r>
        <w:t xml:space="preserve">,</w:t>
      </w:r>
      <w:r>
        <w:t xml:space="preserve"> </w:t>
      </w:r>
      <w:r>
        <w:t xml:space="preserve">by gradually realizing our own misunderstandings in the spectacle that plays</w:t>
      </w:r>
      <w:r>
        <w:t xml:space="preserve"> </w:t>
      </w:r>
      <w:r>
        <w:t xml:space="preserve">out before our eyes, builds tension by playing on the possibility that we have</w:t>
      </w:r>
      <w:r>
        <w:t xml:space="preserve"> </w:t>
      </w:r>
      <w:r>
        <w:t xml:space="preserve">misunderstood.</w:t>
      </w:r>
    </w:p>
    <w:p>
      <w:pPr>
        <w:pStyle w:val="BodyText"/>
      </w:pPr>
      <w:r>
        <w:t xml:space="preserve">Narrative moments create this space for misunderstanding by refusing to</w:t>
      </w:r>
      <w:r>
        <w:t xml:space="preserve"> </w:t>
      </w:r>
      <w:r>
        <w:t xml:space="preserve">reconcile our interpretations with the other audience members’ and with what</w:t>
      </w:r>
      <w:r>
        <w:t xml:space="preserve"> </w:t>
      </w:r>
      <w:r>
        <w:t xml:space="preserve">we see. Narrative thus creates the possibility for ruptured experience, for</w:t>
      </w:r>
      <w:r>
        <w:t xml:space="preserve"> </w:t>
      </w:r>
      <w:r>
        <w:t xml:space="preserve">the pleasure and pain that accompany the sudden realization that we have not</w:t>
      </w:r>
      <w:r>
        <w:t xml:space="preserve"> </w:t>
      </w:r>
      <w:r>
        <w:t xml:space="preserve">understood what we have heard and seen. Narrative moments thus also point to a</w:t>
      </w:r>
      <w:r>
        <w:t xml:space="preserve"> </w:t>
      </w:r>
      <w:r>
        <w:t xml:space="preserve">leap of faith, a suspension of disbelief and trust in the reporter that might</w:t>
      </w:r>
      <w:r>
        <w:t xml:space="preserve"> </w:t>
      </w:r>
      <w:r>
        <w:t xml:space="preserve">give way to betrayal. This trust and the possibilities that it raises stand at</w:t>
      </w:r>
      <w:r>
        <w:t xml:space="preserve"> </w:t>
      </w:r>
      <w:r>
        <w:t xml:space="preserve">the heart not only of the theatrical endeavor but of every day communication: at</w:t>
      </w:r>
      <w:r>
        <w:t xml:space="preserve"> </w:t>
      </w:r>
      <w:r>
        <w:t xml:space="preserve">a certain point, we must simply take our reporters at their word.</w:t>
      </w:r>
    </w:p>
    <w:bookmarkEnd w:id="35"/>
    <w:bookmarkStart w:id="36" w:name="euripides-suppliants"/>
    <w:p>
      <w:pPr>
        <w:pStyle w:val="Heading3"/>
      </w:pPr>
      <w:r>
        <w:t xml:space="preserve">Euripides’</w:t>
      </w:r>
      <w:r>
        <w:t xml:space="preserve"> </w:t>
      </w:r>
      <w:r>
        <w:rPr>
          <w:i/>
          <w:iCs/>
        </w:rPr>
        <w:t xml:space="preserve">Suppliants</w:t>
      </w:r>
    </w:p>
    <w:p>
      <w:pPr>
        <w:pStyle w:val="FirstParagraph"/>
      </w:pPr>
      <w:r>
        <w:rPr>
          <w:i/>
          <w:iCs/>
        </w:rPr>
        <w:t xml:space="preserve">Suppliants</w:t>
      </w:r>
      <w:r>
        <w:t xml:space="preserve"> </w:t>
      </w:r>
      <w:r>
        <w:t xml:space="preserve">does not have the same narrative echoes, but it’s interesting</w:t>
      </w:r>
      <w:r>
        <w:t xml:space="preserve"> </w:t>
      </w:r>
      <w:r>
        <w:t xml:space="preserve">that only one speech registers as narrative, when it has both a herald and</w:t>
      </w:r>
      <w:r>
        <w:t xml:space="preserve"> </w:t>
      </w:r>
      <w:r>
        <w:t xml:space="preserve">a messenger.</w:t>
      </w:r>
    </w:p>
    <w:bookmarkEnd w:id="36"/>
    <w:bookmarkStart w:id="40" w:name="sophocles-electra"/>
    <w:p>
      <w:pPr>
        <w:pStyle w:val="Heading3"/>
      </w:pPr>
      <w:r>
        <w:t xml:space="preserve">Sophocles’</w:t>
      </w:r>
      <w:r>
        <w:t xml:space="preserve"> </w:t>
      </w:r>
      <w:r>
        <w:rPr>
          <w:i/>
          <w:iCs/>
        </w:rPr>
        <w:t xml:space="preserve">Electra</w:t>
      </w:r>
    </w:p>
    <w:p>
      <w:pPr>
        <w:pStyle w:val="FirstParagraph"/>
      </w:pPr>
      <w:r>
        <w:t xml:space="preserve">Unsurprisingly, Sophocles’</w:t>
      </w:r>
      <w:r>
        <w:t xml:space="preserve"> </w:t>
      </w:r>
      <w:r>
        <w:rPr>
          <w:i/>
          <w:iCs/>
        </w:rPr>
        <w:t xml:space="preserve">Electra</w:t>
      </w:r>
      <w:r>
        <w:t xml:space="preserve"> </w:t>
      </w:r>
      <w:r>
        <w:t xml:space="preserve">ranks among the most striking examples</w:t>
      </w:r>
      <w:r>
        <w:t xml:space="preserve"> </w:t>
      </w:r>
      <w:r>
        <w:t xml:space="preserve">of the messenger function’s high narravity, with the Tutor’s speech sustaining</w:t>
      </w:r>
      <w:r>
        <w:t xml:space="preserve"> </w:t>
      </w:r>
      <w:r>
        <w:t xml:space="preserve">scores above 0.5 for nearly its entire duration.</w:t>
      </w:r>
    </w:p>
    <w:p>
      <w:pPr>
        <w:pStyle w:val="CaptionedFigure"/>
      </w:pPr>
      <w:r>
        <w:drawing>
          <wp:inline>
            <wp:extent cx="5334000" cy="1933538"/>
            <wp:effectExtent b="0" l="0" r="0" t="0"/>
            <wp:docPr descr="Scatter plot with a trendline showing seven-sentence average narrativity for Sophocles’ Electra" title="" id="38" name="Picture"/>
            <a:graphic>
              <a:graphicData uri="http://schemas.openxmlformats.org/drawingml/2006/picture">
                <pic:pic>
                  <pic:nvPicPr>
                    <pic:cNvPr descr="../figures/ALL_DRAMA_line_position_tlg0011.tlg0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3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Scatter plot with a trendline showing seven-sentence average narrativity for</w:t>
      </w:r>
      <w:r>
        <w:t xml:space="preserve"> </w:t>
      </w:r>
      <w:r>
        <w:t xml:space="preserve">Sophocles’</w:t>
      </w:r>
      <w:r>
        <w:t xml:space="preserve"> </w:t>
      </w:r>
      <w:r>
        <w:rPr>
          <w:i/>
          <w:iCs/>
        </w:rPr>
        <w:t xml:space="preserve">Electra</w:t>
      </w:r>
    </w:p>
    <w:p>
      <w:pPr>
        <w:pStyle w:val="BodyText"/>
      </w:pPr>
      <w:r>
        <w:t xml:space="preserve">The rest of the play, by contrast, barely breaks above a narrativity score</w:t>
      </w:r>
      <w:r>
        <w:t xml:space="preserve"> </w:t>
      </w:r>
      <w:r>
        <w:t xml:space="preserve">of 0.2.</w:t>
      </w:r>
    </w:p>
    <w:bookmarkEnd w:id="40"/>
    <w:bookmarkEnd w:id="41"/>
    <w:bookmarkStart w:id="42" w:name="argumentinterpretation"/>
    <w:p>
      <w:pPr>
        <w:pStyle w:val="Heading2"/>
      </w:pPr>
      <w:r>
        <w:t xml:space="preserve">Argument/interpretation</w:t>
      </w:r>
    </w:p>
    <w:p>
      <w:pPr>
        <w:pStyle w:val="FirstParagraph"/>
      </w:pPr>
      <w:r>
        <w:t xml:space="preserve">We have to stop thinking about</w:t>
      </w:r>
      <w:r>
        <w:t xml:space="preserve"> </w:t>
      </w:r>
      <w:r>
        <w:t xml:space="preserve">“narrative characters”</w:t>
      </w:r>
      <w:r>
        <w:t xml:space="preserve"> </w:t>
      </w:r>
      <w:r>
        <w:t xml:space="preserve">and start thinking about</w:t>
      </w:r>
      <w:r>
        <w:t xml:space="preserve"> </w:t>
      </w:r>
      <w:r>
        <w:t xml:space="preserve">“narrative moments.”</w:t>
      </w:r>
    </w:p>
    <w:p>
      <w:pPr>
        <w:pStyle w:val="BodyText"/>
      </w:pPr>
      <w:r>
        <w:t xml:space="preserve">“[A discipline] is a way of defining an idea of the thinkable, an idea of what</w:t>
      </w:r>
      <w:r>
        <w:t xml:space="preserve"> </w:t>
      </w:r>
      <w:r>
        <w:t xml:space="preserve">the objects of knowledge themselves can think and know”</w:t>
      </w:r>
      <w:r>
        <w:t xml:space="preserve"> </w:t>
      </w:r>
      <w:r>
        <w:t xml:space="preserve">(</w:t>
      </w:r>
      <w:r>
        <w:t xml:space="preserve">@Ranciere2009</w:t>
      </w:r>
      <w:r>
        <w:t xml:space="preserve"> </w:t>
      </w:r>
      <w:r>
        <w:t xml:space="preserve">17).</w:t>
      </w:r>
    </w:p>
    <w:p>
      <w:pPr>
        <w:pStyle w:val="Compact"/>
        <w:numPr>
          <w:ilvl w:val="0"/>
          <w:numId w:val="1002"/>
        </w:numPr>
      </w:pPr>
      <w:r>
        <w:t xml:space="preserve">This applies to the interpretive functions on the stage as well</w:t>
      </w:r>
    </w:p>
    <w:bookmarkEnd w:id="42"/>
    <w:bookmarkStart w:id="43" w:name="conclusion"/>
    <w:p>
      <w:pPr>
        <w:pStyle w:val="Heading2"/>
      </w:pPr>
      <w:r>
        <w:t xml:space="preserve">Conclusion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Although C. W. Marshall does not use the phrase</w:t>
      </w:r>
      <w:r>
        <w:t xml:space="preserve"> </w:t>
      </w:r>
      <w:r>
        <w:t xml:space="preserve">“messenger</w:t>
      </w:r>
      <w:r>
        <w:t xml:space="preserve"> </w:t>
      </w:r>
      <w:r>
        <w:t xml:space="preserve">function,”</w:t>
      </w:r>
      <w:r>
        <w:t xml:space="preserve"> </w:t>
      </w:r>
      <w:r>
        <w:t xml:space="preserve">he does acknowledge,</w:t>
      </w:r>
      <w:r>
        <w:t xml:space="preserve"> </w:t>
      </w:r>
      <w:r>
        <w:t xml:space="preserve">“It is worth noting that when we speak of the</w:t>
      </w:r>
      <w:r>
        <w:t xml:space="preserve"> </w:t>
      </w:r>
      <w:r>
        <w:t xml:space="preserve">messenger, we are denoting a function and not a role”</w:t>
      </w:r>
      <w:r>
        <w:t xml:space="preserve"> </w:t>
      </w:r>
      <w:r>
        <w:t xml:space="preserve">(</w:t>
      </w:r>
      <w:r>
        <w:t xml:space="preserve">@Marshall2006</w:t>
      </w:r>
      <w:r>
        <w:t xml:space="preserve"> </w:t>
      </w:r>
      <w:r>
        <w:t xml:space="preserve">207n21).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Yoon rightly points</w:t>
      </w:r>
      <w:r>
        <w:t xml:space="preserve"> </w:t>
      </w:r>
      <w:r>
        <w:t xml:space="preserve">out that Ἄγγελος is likely a late designation and prefers</w:t>
      </w:r>
      <w:r>
        <w:t xml:space="preserve"> </w:t>
      </w:r>
      <w:r>
        <w:t xml:space="preserve">“Old Man”</w:t>
      </w:r>
      <w:r>
        <w:t xml:space="preserve"> </w:t>
      </w:r>
      <w:r>
        <w:t xml:space="preserve">for this</w:t>
      </w:r>
      <w:r>
        <w:t xml:space="preserve"> </w:t>
      </w:r>
      <w:r>
        <w:t xml:space="preserve">character (</w:t>
      </w:r>
      <w:r>
        <w:t xml:space="preserve">@Yoon2022</w:t>
      </w:r>
      <w:r>
        <w:t xml:space="preserve"> </w:t>
      </w:r>
      <w:r>
        <w:t xml:space="preserve">376).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bibliography on quantitative approaches to</w:t>
      </w:r>
      <w:r>
        <w:t xml:space="preserve"> </w:t>
      </w:r>
      <w:r>
        <w:t xml:space="preserve">Homer is voluminous, and I cannot cover all of it here. Tom McConnell’s</w:t>
      </w:r>
      <w:r>
        <w:t xml:space="preserve"> </w:t>
      </w:r>
      <w:r>
        <w:t xml:space="preserve">recent monograph contains the most up to date methodologies alongside</w:t>
      </w:r>
      <w:r>
        <w:t xml:space="preserve"> </w:t>
      </w:r>
      <w:r>
        <w:t xml:space="preserve">sophisticated linguistic insights and a wide-ranging bibliography in its own</w:t>
      </w:r>
      <w:r>
        <w:t xml:space="preserve"> </w:t>
      </w:r>
      <w:r>
        <w:t xml:space="preserve">right (</w:t>
      </w:r>
      <w:r>
        <w:t xml:space="preserve">@McConnell2025</w:t>
      </w:r>
      <w:r>
        <w:t xml:space="preserve">; see esp. ch. 7). Ombretta Cesca and Matteo Romanello</w:t>
      </w:r>
      <w:r>
        <w:t xml:space="preserve"> </w:t>
      </w:r>
      <w:r>
        <w:t xml:space="preserve">have recently demonstrated the use of the computational tool Passim to detect</w:t>
      </w:r>
      <w:r>
        <w:t xml:space="preserve"> </w:t>
      </w:r>
      <w:r>
        <w:t xml:space="preserve">repetitions in Homeric characters’ speech (</w:t>
      </w:r>
      <w:r>
        <w:t xml:space="preserve">@Cesca.Romanello2026</w:t>
      </w:r>
      <w:r>
        <w:t xml:space="preserve">). On the</w:t>
      </w:r>
      <w:r>
        <w:t xml:space="preserve"> </w:t>
      </w:r>
      <w:r>
        <w:t xml:space="preserve">speech-narrative divide in Homer, Jasper Griffin’s well-known article remains</w:t>
      </w:r>
      <w:r>
        <w:t xml:space="preserve"> </w:t>
      </w:r>
      <w:r>
        <w:t xml:space="preserve">essential, if controversial, reading (</w:t>
      </w:r>
      <w:r>
        <w:t xml:space="preserve">@Griffin1986</w:t>
      </w:r>
      <w:r>
        <w:t xml:space="preserve">); Margalit Finkelberg</w:t>
      </w:r>
      <w:r>
        <w:t xml:space="preserve"> </w:t>
      </w:r>
      <w:r>
        <w:t xml:space="preserve">provides a more measured but still quantitative approach to Homeric formulae</w:t>
      </w:r>
      <w:r>
        <w:t xml:space="preserve"> </w:t>
      </w:r>
      <w:r>
        <w:t xml:space="preserve">(</w:t>
      </w:r>
      <w:r>
        <w:t xml:space="preserve">@Finkelberg1989</w:t>
      </w:r>
      <w:r>
        <w:t xml:space="preserve">). Deborah Beck has further elucidated performance and</w:t>
      </w:r>
      <w:r>
        <w:t xml:space="preserve"> </w:t>
      </w:r>
      <w:r>
        <w:t xml:space="preserve">performative aspects of Homeric speech, and her digital publications provide</w:t>
      </w:r>
      <w:r>
        <w:t xml:space="preserve"> </w:t>
      </w:r>
      <w:r>
        <w:t xml:space="preserve">additional tools for the reader to investigate claims made here (</w:t>
      </w:r>
      <w:r>
        <w:t xml:space="preserve">@Beck2020</w:t>
      </w:r>
      <w:r>
        <w:t xml:space="preserve">,</w:t>
      </w:r>
      <w:r>
        <w:t xml:space="preserve"> </w:t>
      </w:r>
      <w:r>
        <w:t xml:space="preserve">@Beck2012a</w:t>
      </w:r>
      <w:r>
        <w:t xml:space="preserve">,</w:t>
      </w:r>
      <w:r>
        <w:t xml:space="preserve"> </w:t>
      </w:r>
      <w:r>
        <w:t xml:space="preserve">@Beck2012</w:t>
      </w:r>
      <w:r>
        <w:t xml:space="preserve">,</w:t>
      </w:r>
      <w:r>
        <w:t xml:space="preserve"> </w:t>
      </w:r>
      <w:r>
        <w:t xml:space="preserve">@Beck2026</w:t>
      </w:r>
      <w:r>
        <w:t xml:space="preserve">). Although a network-based approach is not used</w:t>
      </w:r>
      <w:r>
        <w:t xml:space="preserve"> </w:t>
      </w:r>
      <w:r>
        <w:t xml:space="preserve">in this paper, Jeff Rydberg-Cox’s recent work with networks and words in Homer</w:t>
      </w:r>
      <w:r>
        <w:t xml:space="preserve"> </w:t>
      </w:r>
      <w:r>
        <w:t xml:space="preserve">deserves to be flagged for potential follow-up research (</w:t>
      </w:r>
      <w:r>
        <w:t xml:space="preserve">@Rydberg-Cox2026</w:t>
      </w:r>
      <w:r>
        <w:t xml:space="preserve">).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https://perseusdl.github.io/treebank_data/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@Nadel2026</w:t>
      </w:r>
      <w:r>
        <w:t xml:space="preserve">;</w:t>
      </w:r>
      <w:r>
        <w:t xml:space="preserve"> </w:t>
      </w:r>
      <w:r>
        <w:t xml:space="preserve">@Warner.etal2024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Translations are my own.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So</w:t>
      </w:r>
      <w:r>
        <w:t xml:space="preserve"> </w:t>
      </w:r>
      <w:r>
        <w:t xml:space="preserve">@Foley1985</w:t>
      </w:r>
      <w:r>
        <w:t xml:space="preserve"> </w:t>
      </w:r>
      <w:r>
        <w:t xml:space="preserve">221n23:</w:t>
      </w:r>
      <w:r>
        <w:t xml:space="preserve"> </w:t>
      </w:r>
      <w:r>
        <w:t xml:space="preserve">“Theatrical (or</w:t>
      </w:r>
      <w:r>
        <w:t xml:space="preserve"> </w:t>
      </w:r>
      <w:r>
        <w:t xml:space="preserve">psychological) illusion is the only avenue by which the god can be worshipped</w:t>
      </w:r>
      <w:r>
        <w:t xml:space="preserve"> </w:t>
      </w:r>
      <w:r>
        <w:t xml:space="preserve">and understood.”</w:t>
      </w:r>
      <w:r>
        <w:t xml:space="preserve"> </w:t>
      </w:r>
      <w:r>
        <w:t xml:space="preserve">The Messengers and the chorus seem to represent or even enact,</w:t>
      </w:r>
      <w:r>
        <w:t xml:space="preserve"> </w:t>
      </w:r>
      <w:r>
        <w:t xml:space="preserve">respectively, theatrical and pyschological illusion.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See</w:t>
      </w:r>
      <w:r>
        <w:t xml:space="preserve"> </w:t>
      </w:r>
      <w:r>
        <w:t xml:space="preserve">@Zeitlin1994 [152]</w:t>
      </w:r>
      <w:r>
        <w:t xml:space="preserve"> </w:t>
      </w:r>
      <w:r>
        <w:t xml:space="preserve">for how, as she puts it, Euripides</w:t>
      </w:r>
      <w:r>
        <w:t xml:space="preserve"> </w:t>
      </w:r>
      <w:r>
        <w:t xml:space="preserve">“[expands] the traditional oracular quality</w:t>
      </w:r>
      <w:r>
        <w:t xml:space="preserve"> </w:t>
      </w:r>
      <w:r>
        <w:t xml:space="preserve">of graphic signs into theatrical experimentation with the special powers of the</w:t>
      </w:r>
      <w:r>
        <w:t xml:space="preserve"> </w:t>
      </w:r>
      <w:r>
        <w:t xml:space="preserve">visual imagination in the world of the stage.”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37" Target="media/rId37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2026-07-21T23:05:10Z</dcterms:created>
  <dcterms:modified xsi:type="dcterms:W3CDTF">2026-07-21T23:05:10Z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