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D2D2D" w:val="clear"/>
            <w:tcMar>
              <w:top w:type="dxa" w:w="440"/>
              <w:left w:type="dxa" w:w="440"/>
              <w:bottom w:type="dxa" w:w="440"/>
              <w:right w:type="dxa" w:w="440"/>
            </w:tcMar>
          </w:tcPr>
          <w:p>
            <w:pPr>
              <w:spacing w:after="80" w:before="0"/>
            </w:pPr>
            <w:r>
              <w:rPr>
                <w:rFonts w:ascii="Arial" w:cs="Arial" w:eastAsia="Arial" w:hAnsi="Arial"/>
                <w:b/>
                <w:bCs/>
                <w:color w:val="FFFFFF"/>
                <w:sz w:val="42"/>
                <w:szCs w:val="42"/>
              </w:rPr>
              <w:t xml:space="preserve">TRACECHAIN REFIT</w:t>
            </w:r>
          </w:p>
          <w:p>
            <w:pPr>
              <w:spacing w:after="80" w:before="0"/>
            </w:pPr>
            <w:r>
              <w:rPr>
                <w:rFonts w:ascii="Arial" w:cs="Arial" w:eastAsia="Arial" w:hAnsi="Arial"/>
                <w:color w:val="AAAAAA"/>
                <w:sz w:val="22"/>
                <w:szCs w:val="22"/>
              </w:rPr>
              <w:t xml:space="preserve">Process &amp; Action Domain Model — Tempo Brief v3.1</w:t>
            </w:r>
          </w:p>
          <w:p>
            <w:pPr>
              <w:spacing w:after="40" w:before="0"/>
            </w:pPr>
            <w:r>
              <w:rPr>
                <w:rFonts w:ascii="Arial" w:cs="Arial" w:eastAsia="Arial" w:hAnsi="Arial"/>
                <w:color w:val="888888"/>
                <w:sz w:val="18"/>
                <w:szCs w:val="18"/>
              </w:rPr>
              <w:t xml:space="preserve">Based on TraceVerified Client Portal review · May 2026</w:t>
            </w:r>
          </w:p>
          <w:p>
            <w:pPr>
              <w:spacing w:after="0" w:before="0"/>
            </w:pPr>
            <w:r>
              <w:rPr>
                <w:rFonts w:ascii="Arial" w:cs="Arial" w:eastAsia="Arial" w:hAnsi="Arial"/>
                <w:color w:val="777777"/>
                <w:sz w:val="16"/>
                <w:szCs w:val="16"/>
              </w:rPr>
              <w:t xml:space="preserve">Menu reference: Super Admin → My Company → Locations / Processes / My Variables</w:t>
            </w:r>
          </w:p>
        </w:tc>
      </w:tr>
    </w:tbl>
    <w:p>
      <w:pPr>
        <w:spacing w:after="0" w:before="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80"/>
        <w:gridCol w:w="1800"/>
        <w:gridCol w:w="180"/>
        <w:gridCol w:w="1800"/>
        <w:gridCol w:w="180"/>
        <w:gridCol w:w="1700"/>
        <w:gridCol w:w="180"/>
        <w:gridCol w:w="1718"/>
      </w:tblGrid>
      <w:tr>
        <w:tc>
          <w:tcPr>
            <w:tcW w:type="dxa" w:w="17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center"/>
            </w:pPr>
            <w:r>
              <w:rPr>
                <w:rFonts w:ascii="Arial" w:cs="Arial" w:eastAsia="Arial" w:hAnsi="Arial"/>
                <w:b/>
                <w:bCs/>
                <w:color w:val="4A3F8F"/>
                <w:sz w:val="18"/>
                <w:szCs w:val="18"/>
              </w:rPr>
              <w:t xml:space="preserve">① Import Material
into Stock</w:t>
            </w:r>
          </w:p>
        </w:tc>
        <w:tc>
          <w:tcPr>
            <w:tcW w:type="dxa" w:w="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② Assign Storage
Location</w:t>
            </w:r>
          </w:p>
        </w:tc>
        <w:tc>
          <w:tcPr>
            <w:tcW w:type="dxa" w:w="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center"/>
            </w:pPr>
            <w:r>
              <w:rPr>
                <w:rFonts w:ascii="Arial" w:cs="Arial" w:eastAsia="Arial" w:hAnsi="Arial"/>
                <w:b/>
                <w:bCs/>
                <w:color w:val="1A6B5A"/>
                <w:sz w:val="18"/>
                <w:szCs w:val="18"/>
              </w:rPr>
              <w:t xml:space="preserve">③ Execute Process(es)
&amp; Actions</w:t>
            </w:r>
          </w:p>
        </w:tc>
        <w:tc>
          <w:tcPr>
            <w:tcW w:type="dxa" w:w="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AF0EB" w:val="clear"/>
            <w:tcMar>
              <w:top w:type="dxa" w:w="80"/>
              <w:left w:type="dxa" w:w="120"/>
              <w:bottom w:type="dxa" w:w="80"/>
              <w:right w:type="dxa" w:w="120"/>
            </w:tcMar>
            <w:vAlign w:val="center"/>
          </w:tcPr>
          <w:p>
            <w:pPr>
              <w:jc w:val="center"/>
            </w:pPr>
            <w:r>
              <w:rPr>
                <w:rFonts w:ascii="Arial" w:cs="Arial" w:eastAsia="Arial" w:hAnsi="Arial"/>
                <w:b/>
                <w:bCs/>
                <w:color w:val="B5430E"/>
                <w:sz w:val="18"/>
                <w:szCs w:val="18"/>
              </w:rPr>
              <w:t xml:space="preserve">④ QR Code issued
→ Product LOCKED</w:t>
            </w:r>
          </w:p>
        </w:tc>
        <w:tc>
          <w:tcPr>
            <w:tcW w:type="dxa" w:w="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18"/>
                <w:szCs w:val="18"/>
              </w:rPr>
              <w:t xml:space="preserve">→</w:t>
            </w:r>
          </w:p>
        </w:tc>
        <w:tc>
          <w:tcPr>
            <w:tcW w:type="dxa" w:w="1718"/>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⑤ Shipped to
Customer</w:t>
            </w:r>
          </w:p>
        </w:tc>
      </w:tr>
    </w:tbl>
    <w:p>
      <w:pPr>
        <w:spacing w:after="0" w:before="60"/>
      </w:pPr>
      <w:r>
        <w:t xml:space="preserve"/>
      </w:r>
    </w:p>
    <w:p>
      <w:pPr>
        <w:spacing w:after="60" w:before="60"/>
      </w:pPr>
      <w:r>
        <w:rPr>
          <w:rFonts w:ascii="Arial" w:cs="Arial" w:eastAsia="Arial" w:hAnsi="Arial"/>
          <w:b w:val="false"/>
          <w:bCs w:val="false"/>
          <w:color w:val="666666"/>
          <w:sz w:val="20"/>
          <w:szCs w:val="20"/>
        </w:rPr>
        <w:t xml:space="preserve">Note: Storage locations have no 'type' (Origin / Interim / Final are removed). A material or product simply has a location at any given moment — it came from somewhere and goes somewhere. Every movement must have a FROM and a TO.</w:t>
      </w:r>
    </w:p>
    <w:p>
      <w:pPr>
        <w:spacing w:after="0" w:before="200"/>
      </w:pPr>
      <w:r>
        <w:t xml:space="preserve"/>
      </w:r>
    </w:p>
    <w:p>
      <w:pPr>
        <w:spacing w:after="120" w:before="320"/>
      </w:pPr>
      <w:r>
        <w:rPr>
          <w:rFonts w:ascii="Arial" w:cs="Arial" w:eastAsia="Arial" w:hAnsi="Arial"/>
          <w:b/>
          <w:bCs/>
          <w:color w:val="1A4F9F"/>
          <w:sz w:val="26"/>
          <w:szCs w:val="26"/>
        </w:rPr>
        <w:t xml:space="preserve">1. Menu Structure Reference (existing app)</w:t>
      </w:r>
    </w:p>
    <w:p>
      <w:pPr>
        <w:spacing w:after="60" w:before="60"/>
      </w:pPr>
      <w:r>
        <w:rPr>
          <w:rFonts w:ascii="Arial" w:cs="Arial" w:eastAsia="Arial" w:hAnsi="Arial"/>
          <w:b w:val="false"/>
          <w:bCs w:val="false"/>
          <w:color w:val="222222"/>
          <w:sz w:val="20"/>
          <w:szCs w:val="20"/>
        </w:rPr>
        <w:t xml:space="preserve">Based on the TraceVerified Client Portal screenshot. Tempo must respect this structure — do not rename or reorganise menus.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tblHeader/>
        </w:trPr>
        <w:tc>
          <w:tcPr>
            <w:tcW w:type="dxa" w:w="24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Menu path</w:t>
            </w:r>
          </w:p>
        </w:tc>
        <w:tc>
          <w:tcPr>
            <w:tcW w:type="dxa" w:w="36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36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Read / Write</w:t>
            </w:r>
          </w:p>
        </w:tc>
      </w:tr>
      <w:tr>
        <w:tc>
          <w:tcPr>
            <w:tcW w:type="dxa" w:w="24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1A4F9F"/>
                <w:sz w:val="18"/>
                <w:szCs w:val="18"/>
              </w:rPr>
              <w:t xml:space="preserve">Super Admin → My Company → Locations</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Define warehouse addresses, buildings, floors, rooms, and storage requirement conditions.</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Read + Write (SuperAdmin only)</w:t>
            </w:r>
          </w:p>
        </w:tc>
      </w:tr>
      <w:tr>
        <w:tc>
          <w:tcPr>
            <w:tcW w:type="dxa" w:w="24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Super Admin → Processes</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Create and configure processes and their actions. This is the ONLY place where processes are built.</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Read + Write (SuperAdmin only)</w:t>
            </w:r>
          </w:p>
        </w:tc>
      </w:tr>
      <w:tr>
        <w:tc>
          <w:tcPr>
            <w:tcW w:type="dxa" w:w="24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Super Admin → My Variables → Units Management</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Define units of measure (kg, g, L, units…) used in material packing and quantity fields.</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Read + Write (SuperAdmin only)</w:t>
            </w:r>
          </w:p>
        </w:tc>
      </w:tr>
      <w:tr>
        <w:tc>
          <w:tcPr>
            <w:tcW w:type="dxa" w:w="24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Super Admin → My Variables → Storage Requirements</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Define storage condition tags: Dry, Humid, Ambient, Fridge (+3°C), Freezer (-18°C), etc.</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Read + Write (SuperAdmin only)</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View → Processes (left sidebar)</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Read-only dashboard of all processes. Users can view and check applicability before recording.</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5430E"/>
                <w:sz w:val="18"/>
                <w:szCs w:val="18"/>
              </w:rPr>
              <w:t xml:space="preserve">⚠ READ ONLY — no editing, no configuration</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View → Materials / Products (left sidebar)</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Browse materials and products linked to processes. Read-only reference for users.</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B5430E"/>
                <w:sz w:val="18"/>
                <w:szCs w:val="18"/>
              </w:rPr>
              <w:t xml:space="preserve">⚠ READ ONLY</w:t>
            </w:r>
          </w:p>
        </w:tc>
      </w:tr>
    </w:tbl>
    <w:p>
      <w:pPr>
        <w:spacing w:after="0" w:before="200"/>
      </w:pPr>
      <w:r>
        <w:t xml:space="preserve"/>
      </w:r>
    </w:p>
    <w:p>
      <w:pPr>
        <w:spacing w:after="120" w:before="320"/>
      </w:pPr>
      <w:r>
        <w:rPr>
          <w:rFonts w:ascii="Arial" w:cs="Arial" w:eastAsia="Arial" w:hAnsi="Arial"/>
          <w:b/>
          <w:bCs/>
          <w:color w:val="1A4F9F"/>
          <w:sz w:val="26"/>
          <w:szCs w:val="26"/>
        </w:rPr>
        <w:t xml:space="preserve">2. Storage Location Model</w:t>
      </w:r>
    </w:p>
    <w:p>
      <w:pPr>
        <w:spacing w:after="60" w:before="60"/>
      </w:pPr>
      <w:r>
        <w:rPr>
          <w:rFonts w:ascii="Arial" w:cs="Arial" w:eastAsia="Arial" w:hAnsi="Arial"/>
          <w:b w:val="false"/>
          <w:bCs w:val="false"/>
          <w:color w:val="222222"/>
          <w:sz w:val="20"/>
          <w:szCs w:val="20"/>
        </w:rPr>
        <w:t xml:space="preserve">Locations are defined under Super Admin → My Company → Locations. They have NO category (no 'Origin', 'Interim' or 'Final' label). A material or product simply has a current location. Every action that moves something must record a FROM location and a TO location.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w:t>
            </w:r>
          </w:p>
        </w:tc>
        <w:tc>
          <w:tcPr>
            <w:tcW w:type="dxa" w:w="38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8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1A4F9F"/>
                <w:sz w:val="18"/>
                <w:szCs w:val="18"/>
              </w:rPr>
              <w:t xml:space="preserve">Address / Warehouse</w:t>
            </w:r>
          </w:p>
        </w:tc>
        <w:tc>
          <w:tcPr>
            <w:tcW w:type="dxa" w:w="38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The physical site or building where storage occurs.</w:t>
            </w:r>
          </w:p>
        </w:tc>
        <w:tc>
          <w:tcPr>
            <w:tcW w:type="dxa" w:w="38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address_name (text)</w:t>
            </w:r>
          </w:p>
        </w:tc>
      </w:tr>
      <w:tr>
        <w:tc>
          <w:tcPr>
            <w:tcW w:type="dxa" w:w="2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Building</w:t>
            </w:r>
          </w:p>
        </w:tc>
        <w:tc>
          <w:tcPr>
            <w:tcW w:type="dxa" w:w="38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 named building or structure within the site.</w:t>
            </w:r>
          </w:p>
        </w:tc>
        <w:tc>
          <w:tcPr>
            <w:tcW w:type="dxa" w:w="38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building_name (text)</w:t>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1A4F9F"/>
                <w:sz w:val="18"/>
                <w:szCs w:val="18"/>
              </w:rPr>
              <w:t xml:space="preserve">Floor</w:t>
            </w:r>
          </w:p>
        </w:tc>
        <w:tc>
          <w:tcPr>
            <w:tcW w:type="dxa" w:w="38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Floor or level within the building.</w:t>
            </w:r>
          </w:p>
        </w:tc>
        <w:tc>
          <w:tcPr>
            <w:tcW w:type="dxa" w:w="38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floor (text or number)</w:t>
            </w:r>
          </w:p>
        </w:tc>
      </w:tr>
      <w:tr>
        <w:tc>
          <w:tcPr>
            <w:tcW w:type="dxa" w:w="2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Room / Bay</w:t>
            </w:r>
          </w:p>
        </w:tc>
        <w:tc>
          <w:tcPr>
            <w:tcW w:type="dxa" w:w="38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Room, bay, rack, or zone within the floor.</w:t>
            </w:r>
          </w:p>
        </w:tc>
        <w:tc>
          <w:tcPr>
            <w:tcW w:type="dxa" w:w="38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room_name (text)</w:t>
            </w:r>
          </w:p>
        </w:tc>
      </w:tr>
      <w:tr>
        <w:tc>
          <w:tcPr>
            <w:tcW w:type="dxa" w:w="20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Storage Requirement</w:t>
            </w:r>
          </w:p>
        </w:tc>
        <w:tc>
          <w:tcPr>
            <w:tcW w:type="dxa" w:w="38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Condition tag from My Variables → Storage Requirements. Defines the physical condition of that room.</w:t>
            </w:r>
          </w:p>
        </w:tc>
        <w:tc>
          <w:tcPr>
            <w:tcW w:type="dxa" w:w="3819"/>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color w:val="7A5C00"/>
                <w:sz w:val="18"/>
                <w:szCs w:val="18"/>
              </w:rPr>
              <w:t xml:space="preserve">Dry</w:t>
            </w:r>
          </w:p>
          <w:p>
            <w:pPr>
              <w:pStyle w:val="ListParagraph"/>
              <w:numPr>
                <w:ilvl w:val="0"/>
                <w:numId w:val="2"/>
              </w:numPr>
              <w:spacing w:after="30" w:before="30"/>
            </w:pPr>
            <w:r>
              <w:rPr>
                <w:rFonts w:ascii="Arial" w:cs="Arial" w:eastAsia="Arial" w:hAnsi="Arial"/>
                <w:color w:val="7A5C00"/>
                <w:sz w:val="18"/>
                <w:szCs w:val="18"/>
              </w:rPr>
              <w:t xml:space="preserve">Humid</w:t>
            </w:r>
          </w:p>
          <w:p>
            <w:pPr>
              <w:pStyle w:val="ListParagraph"/>
              <w:numPr>
                <w:ilvl w:val="0"/>
                <w:numId w:val="2"/>
              </w:numPr>
              <w:spacing w:after="30" w:before="30"/>
            </w:pPr>
            <w:r>
              <w:rPr>
                <w:rFonts w:ascii="Arial" w:cs="Arial" w:eastAsia="Arial" w:hAnsi="Arial"/>
                <w:color w:val="7A5C00"/>
                <w:sz w:val="18"/>
                <w:szCs w:val="18"/>
              </w:rPr>
              <w:t xml:space="preserve">Ambient temperature</w:t>
            </w:r>
          </w:p>
          <w:p>
            <w:pPr>
              <w:pStyle w:val="ListParagraph"/>
              <w:numPr>
                <w:ilvl w:val="0"/>
                <w:numId w:val="2"/>
              </w:numPr>
              <w:spacing w:after="30" w:before="30"/>
            </w:pPr>
            <w:r>
              <w:rPr>
                <w:rFonts w:ascii="Arial" w:cs="Arial" w:eastAsia="Arial" w:hAnsi="Arial"/>
                <w:color w:val="7A5C00"/>
                <w:sz w:val="18"/>
                <w:szCs w:val="18"/>
              </w:rPr>
              <w:t xml:space="preserve">Fridge (+3°C)</w:t>
            </w:r>
          </w:p>
          <w:p>
            <w:pPr>
              <w:pStyle w:val="ListParagraph"/>
              <w:numPr>
                <w:ilvl w:val="0"/>
                <w:numId w:val="2"/>
              </w:numPr>
              <w:spacing w:after="30" w:before="30"/>
            </w:pPr>
            <w:r>
              <w:rPr>
                <w:rFonts w:ascii="Arial" w:cs="Arial" w:eastAsia="Arial" w:hAnsi="Arial"/>
                <w:color w:val="7A5C00"/>
                <w:sz w:val="18"/>
                <w:szCs w:val="18"/>
              </w:rPr>
              <w:t xml:space="preserve">Freezer (-18°C)</w:t>
            </w:r>
          </w:p>
          <w:p>
            <w:pPr>
              <w:pStyle w:val="ListParagraph"/>
              <w:numPr>
                <w:ilvl w:val="0"/>
                <w:numId w:val="2"/>
              </w:numPr>
              <w:spacing w:after="30" w:before="30"/>
            </w:pPr>
            <w:r>
              <w:rPr>
                <w:rFonts w:ascii="Arial" w:cs="Arial" w:eastAsia="Arial" w:hAnsi="Arial"/>
                <w:color w:val="7A5C00"/>
                <w:sz w:val="18"/>
                <w:szCs w:val="18"/>
              </w:rPr>
              <w:t xml:space="preserve">Custom (defined by SuperAdmin)</w:t>
            </w:r>
          </w:p>
        </w:tc>
      </w:tr>
    </w:tbl>
    <w:p>
      <w:pPr>
        <w:spacing w:after="0" w:before="60"/>
      </w:pPr>
      <w:r>
        <w:t xml:space="preserve"/>
      </w:r>
    </w:p>
    <w:p>
      <w:pPr>
        <w:spacing w:after="60" w:before="60"/>
      </w:pPr>
      <w:r>
        <w:rPr>
          <w:rFonts w:ascii="Arial" w:cs="Arial" w:eastAsia="Arial" w:hAnsi="Arial"/>
          <w:b/>
          <w:bCs/>
          <w:color w:val="222222"/>
          <w:sz w:val="20"/>
          <w:szCs w:val="20"/>
        </w:rPr>
        <w:t xml:space="preserve">Rule: Every material and every product always has a current location in the system. It cannot exist without one. If no destination is specified at the end of an action, the system defaults the destination to the origin location.</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
        <w:gridCol w:w="9298"/>
      </w:tblGrid>
      <w:tr>
        <w:tc>
          <w:tcPr>
            <w:tcW w:type="dxa" w:w="340"/>
            <w:tcBorders>
              <w:top w:val="single" w:color="CCCCCC" w:sz="1"/>
              <w:left w:val="single" w:color="CCCCCC" w:sz="1"/>
              <w:bottom w:val="single" w:color="CCCCCC" w:sz="1"/>
              <w:right w:val="single" w:color="CCCCCC" w:sz="1"/>
            </w:tcBorders>
            <w:shd w:fill="B5430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298"/>
            <w:tcBorders>
              <w:top w:val="single" w:color="CCCCCC" w:sz="1"/>
              <w:left w:val="single" w:color="CCCCCC" w:sz="1"/>
              <w:bottom w:val="single" w:color="CCCCCC" w:sz="1"/>
              <w:right w:val="single" w:color="CCCCCC" w:sz="1"/>
            </w:tcBorders>
            <w:shd w:fill="FAF0EB" w:val="clear"/>
            <w:tcMar>
              <w:top w:type="dxa" w:w="100"/>
              <w:left w:type="dxa" w:w="200"/>
              <w:bottom w:type="dxa" w:w="100"/>
              <w:right w:type="dxa" w:w="200"/>
            </w:tcMar>
          </w:tcPr>
          <w:p>
            <w:pPr>
              <w:spacing w:after="40" w:before="0"/>
            </w:pPr>
            <w:r>
              <w:rPr>
                <w:rFonts w:ascii="Arial" w:cs="Arial" w:eastAsia="Arial" w:hAnsi="Arial"/>
                <w:b/>
                <w:bCs/>
                <w:color w:val="B5430E"/>
                <w:sz w:val="20"/>
                <w:szCs w:val="20"/>
              </w:rPr>
              <w:t xml:space="preserve">Storage Requirement Validation — Location vs. Material mismatch check</w:t>
            </w:r>
          </w:p>
          <w:p>
            <w:pPr>
              <w:spacing w:after="30" w:before="0"/>
            </w:pPr>
            <w:r>
              <w:rPr>
                <w:rFonts w:ascii="Arial" w:cs="Arial" w:eastAsia="Arial" w:hAnsi="Arial"/>
                <w:color w:val="222222"/>
                <w:sz w:val="20"/>
                <w:szCs w:val="20"/>
              </w:rPr>
              <w:t xml:space="preserve">Every material has a Storage Requirement (e.g. Fridge +3°C, Freezer -18°C, Dry…) defined in its profile. Every room/location also has a Storage Requirement tag.</w:t>
            </w:r>
          </w:p>
          <w:p>
            <w:pPr>
              <w:spacing w:after="30" w:before="0"/>
            </w:pPr>
            <w:r>
              <w:rPr>
                <w:rFonts w:ascii="Arial" w:cs="Arial" w:eastAsia="Arial" w:hAnsi="Arial"/>
                <w:color w:val="222222"/>
                <w:sz w:val="20"/>
                <w:szCs w:val="20"/>
              </w:rPr>
              <w:t xml:space="preserve">When a material or product is placed into or moved to a location, the system must automatically compare:</w:t>
            </w:r>
          </w:p>
          <w:p>
            <w:pPr>
              <w:pStyle w:val="ListParagraph"/>
              <w:numPr>
                <w:ilvl w:val="0"/>
                <w:numId w:val="2"/>
              </w:numPr>
              <w:spacing w:after="10" w:before="20"/>
            </w:pPr>
            <w:r>
              <w:rPr>
                <w:rFonts w:ascii="Arial" w:cs="Arial" w:eastAsia="Arial" w:hAnsi="Arial"/>
                <w:b/>
                <w:bCs/>
                <w:color w:val="222222"/>
                <w:sz w:val="20"/>
                <w:szCs w:val="20"/>
              </w:rPr>
              <w:t xml:space="preserve">Material's Storage Requirement  vs.  Destination location's Storage Requirement</w:t>
            </w:r>
          </w:p>
          <w:p>
            <w:pPr>
              <w:spacing w:after="20" w:before="20"/>
            </w:pPr>
            <w:r>
              <w:rPr>
                <w:rFonts w:ascii="Arial" w:cs="Arial" w:eastAsia="Arial" w:hAnsi="Arial"/>
                <w:b/>
                <w:bCs/>
                <w:color w:val="1A6B3A"/>
                <w:sz w:val="20"/>
                <w:szCs w:val="20"/>
              </w:rPr>
              <w:t xml:space="preserve">✓  Match → no action. Proceed normally.</w:t>
            </w:r>
          </w:p>
          <w:p>
            <w:pPr>
              <w:spacing w:after="20" w:before="0"/>
            </w:pPr>
            <w:r>
              <w:rPr>
                <w:rFonts w:ascii="Arial" w:cs="Arial" w:eastAsia="Arial" w:hAnsi="Arial"/>
                <w:b/>
                <w:bCs/>
                <w:color w:val="B5430E"/>
                <w:sz w:val="20"/>
                <w:szCs w:val="20"/>
              </w:rPr>
              <w:t xml:space="preserve">✗  Mismatch → show a warning pop-up to the user before confirming the action.</w:t>
            </w:r>
          </w:p>
          <w:p>
            <w:pPr>
              <w:spacing w:after="0" w:before="0"/>
            </w:pPr>
            <w:r>
              <w:rPr>
                <w:rFonts w:ascii="Arial" w:cs="Arial" w:eastAsia="Arial" w:hAnsi="Arial"/>
                <w:color w:val="666666"/>
                <w:sz w:val="18"/>
                <w:szCs w:val="18"/>
              </w:rPr>
              <w:t xml:space="preserve">The warning must clearly state the material's required condition and the actual condition of the selected location. The user can still proceed (override) — this is a warning, not a hard block — but it must be acknowledged.</w:t>
            </w:r>
          </w:p>
        </w:tc>
      </w:tr>
    </w:tbl>
    <w:p>
      <w:pPr>
        <w:spacing w:after="0" w:before="200"/>
      </w:pPr>
      <w:r>
        <w:t xml:space="preserve"/>
      </w:r>
    </w:p>
    <w:p>
      <w:pPr>
        <w:spacing w:after="120" w:before="320"/>
      </w:pPr>
      <w:r>
        <w:rPr>
          <w:rFonts w:ascii="Arial" w:cs="Arial" w:eastAsia="Arial" w:hAnsi="Arial"/>
          <w:b/>
          <w:bCs/>
          <w:color w:val="4A3F8F"/>
          <w:sz w:val="26"/>
          <w:szCs w:val="26"/>
        </w:rPr>
        <w:t xml:space="preserve">3. Material Import &amp; Selection</w:t>
      </w:r>
    </w:p>
    <w:p>
      <w:pPr>
        <w:spacing w:after="60" w:before="60"/>
      </w:pPr>
      <w:r>
        <w:rPr>
          <w:rFonts w:ascii="Arial" w:cs="Arial" w:eastAsia="Arial" w:hAnsi="Arial"/>
          <w:b w:val="false"/>
          <w:bCs w:val="false"/>
          <w:color w:val="222222"/>
          <w:sz w:val="20"/>
          <w:szCs w:val="20"/>
        </w:rPr>
        <w:t xml:space="preserve">The very first step in any traceability chain is importing the raw material into stock. This is the first action of the first process. Once in stock, the material always has a location.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19"/>
        <w:gridCol w:w="3819"/>
      </w:tblGrid>
      <w:tr>
        <w:trPr>
          <w:tblHeader/>
        </w:trPr>
        <w:tc>
          <w:tcPr>
            <w:tcW w:type="dxa" w:w="22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36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8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Rules / Notes</w:t>
            </w:r>
          </w:p>
        </w:tc>
      </w:tr>
      <w:tr>
        <w:tc>
          <w:tcPr>
            <w:tcW w:type="dxa" w:w="22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bCs/>
                <w:color w:val="4A3F8F"/>
                <w:sz w:val="18"/>
                <w:szCs w:val="18"/>
              </w:rPr>
              <w:t xml:space="preserve">Material</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Select the material from the org's material library.</w:t>
            </w:r>
          </w:p>
        </w:tc>
        <w:tc>
          <w:tcPr>
            <w:tcW w:type="dxa" w:w="38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Required. Material must exist in the system before being used in a process.</w:t>
            </w:r>
          </w:p>
        </w:tc>
      </w:tr>
      <w:tr>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Quantity</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The quantity to be processed. Can be total, partial, or split across multiple process steps.</w:t>
            </w:r>
          </w:p>
        </w:tc>
        <w:tc>
          <w:tcPr>
            <w:tcW w:type="dxa" w:w="38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 automatic stock deduction at this stage — user confirms manually.</w:t>
            </w:r>
          </w:p>
        </w:tc>
      </w:tr>
      <w:tr>
        <w:tc>
          <w:tcPr>
            <w:tcW w:type="dxa" w:w="22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bCs/>
                <w:color w:val="4A3F8F"/>
                <w:sz w:val="18"/>
                <w:szCs w:val="18"/>
              </w:rPr>
              <w:t xml:space="preserve">Packing item</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The packaging format of the material (e.g. 25kg bag, 1L bottle). Pre-filled from stock entry.</w:t>
            </w:r>
          </w:p>
        </w:tc>
        <w:tc>
          <w:tcPr>
            <w:tcW w:type="dxa" w:w="38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User confirms or overrides. Linked to Unit of Measure.</w:t>
            </w:r>
          </w:p>
        </w:tc>
      </w:tr>
      <w:tr>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Unit of measure</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Measurement unit from My Variables → Units Management (kg, g, L, ml, unit…).</w:t>
            </w:r>
          </w:p>
        </w:tc>
        <w:tc>
          <w:tcPr>
            <w:tcW w:type="dxa" w:w="38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Pre-filled from packing item. Read-only unless overridden.</w:t>
            </w:r>
          </w:p>
        </w:tc>
      </w:tr>
      <w:tr>
        <w:tc>
          <w:tcPr>
            <w:tcW w:type="dxa" w:w="22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bCs/>
                <w:color w:val="4A3F8F"/>
                <w:sz w:val="18"/>
                <w:szCs w:val="18"/>
              </w:rPr>
              <w:t xml:space="preserve">Batch number</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The production batch number of the material.</w:t>
            </w:r>
          </w:p>
        </w:tc>
        <w:tc>
          <w:tcPr>
            <w:tcW w:type="dxa" w:w="38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Required. Links the finished/semi-finished product to the exact material intake for full traceability.</w:t>
            </w:r>
          </w:p>
        </w:tc>
      </w:tr>
      <w:tr>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Lot number</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The supplier lot number for this material delivery.</w:t>
            </w:r>
          </w:p>
        </w:tc>
        <w:tc>
          <w:tcPr>
            <w:tcW w:type="dxa" w:w="38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Required. Separate from batch number — both must be recorded.</w:t>
            </w:r>
          </w:p>
        </w:tc>
      </w:tr>
      <w:tr>
        <w:tc>
          <w:tcPr>
            <w:tcW w:type="dxa" w:w="22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1A4F9F"/>
                <w:sz w:val="18"/>
                <w:szCs w:val="18"/>
              </w:rPr>
              <w:t xml:space="preserve">Storage location</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Where this material is currently stored (from Locations library). The last known location is pre-proposed.</w:t>
            </w:r>
          </w:p>
        </w:tc>
        <w:tc>
          <w:tcPr>
            <w:tcW w:type="dxa" w:w="38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Required. Pre-filled with last recorded location. User confirms or changes.</w:t>
            </w:r>
          </w:p>
        </w:tc>
      </w:tr>
      <w:tr>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Attachments</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Optional photo(s) or document(s) attached to this material import entry.</w:t>
            </w:r>
          </w:p>
        </w:tc>
        <w:tc>
          <w:tcPr>
            <w:tcW w:type="dxa" w:w="3819"/>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20"/>
            </w:tcMar>
          </w:tcPr>
          <w:p>
            <w:pPr>
              <w:spacing w:after="30" w:before="0"/>
            </w:pPr>
            <w:r>
              <w:rPr>
                <w:rFonts w:ascii="Arial" w:cs="Arial" w:eastAsia="Arial" w:hAnsi="Arial"/>
                <w:color w:val="222222"/>
                <w:sz w:val="18"/>
                <w:szCs w:val="18"/>
              </w:rPr>
              <w:t xml:space="preserve">Optional field.</w:t>
            </w:r>
          </w:p>
          <w:p>
            <w:pPr>
              <w:spacing w:after="30" w:before="0"/>
            </w:pPr>
            <w:r>
              <w:rPr>
                <w:rFonts w:ascii="Arial" w:cs="Arial" w:eastAsia="Arial" w:hAnsi="Arial"/>
                <w:b/>
                <w:bCs/>
                <w:color w:val="B5430E"/>
                <w:sz w:val="18"/>
                <w:szCs w:val="18"/>
              </w:rPr>
              <w:t xml:space="preserve">Max file size: 2 MB per file.</w:t>
            </w:r>
          </w:p>
          <w:p>
            <w:pPr>
              <w:spacing w:after="0" w:before="0"/>
            </w:pPr>
            <w:r>
              <w:rPr>
                <w:rFonts w:ascii="Arial" w:cs="Arial" w:eastAsia="Arial" w:hAnsi="Arial"/>
                <w:color w:val="666666"/>
                <w:sz w:val="18"/>
                <w:szCs w:val="18"/>
              </w:rPr>
              <w:t xml:space="preserve">Display the 2 MB limit clearly in the UI at the upload field.</w:t>
            </w:r>
          </w:p>
        </w:tc>
      </w:tr>
    </w:tbl>
    <w:p>
      <w:pPr>
        <w:spacing w:after="0" w:before="200"/>
      </w:pPr>
      <w:r>
        <w:t xml:space="preserve"/>
      </w:r>
    </w:p>
    <w:p>
      <w:pPr>
        <w:spacing w:after="120" w:before="320"/>
      </w:pPr>
      <w:r>
        <w:rPr>
          <w:rFonts w:ascii="Arial" w:cs="Arial" w:eastAsia="Arial" w:hAnsi="Arial"/>
          <w:b/>
          <w:bCs/>
          <w:color w:val="B5430E"/>
          <w:sz w:val="26"/>
          <w:szCs w:val="26"/>
        </w:rPr>
        <w:t xml:space="preserve">4. Process Execution Rules</w:t>
      </w:r>
    </w:p>
    <w:p>
      <w:pPr>
        <w:spacing w:after="60" w:before="60"/>
      </w:pPr>
      <w:r>
        <w:rPr>
          <w:rFonts w:ascii="Arial" w:cs="Arial" w:eastAsia="Arial" w:hAnsi="Arial"/>
          <w:b w:val="false"/>
          <w:bCs w:val="false"/>
          <w:color w:val="222222"/>
          <w:sz w:val="20"/>
          <w:szCs w:val="20"/>
        </w:rPr>
        <w:t xml:space="preserve">Hard constraints for Tempo's state machine. These are non-negotiable.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
        <w:gridCol w:w="9298"/>
      </w:tblGrid>
      <w:tr>
        <w:tc>
          <w:tcPr>
            <w:tcW w:type="dxa" w:w="340"/>
            <w:tcBorders>
              <w:top w:val="single" w:color="CCCCCC" w:sz="1"/>
              <w:left w:val="single" w:color="CCCCCC" w:sz="1"/>
              <w:bottom w:val="single" w:color="CCCCCC" w:sz="1"/>
              <w:right w:val="single" w:color="CCCCCC" w:sz="1"/>
            </w:tcBorders>
            <w:shd w:fill="FAF0EB" w:val="clear"/>
            <w:tcMar>
              <w:top w:type="dxa" w:w="80"/>
              <w:left w:type="dxa" w:w="100"/>
              <w:bottom w:type="dxa" w:w="80"/>
              <w:right w:type="dxa" w:w="100"/>
            </w:tcMar>
            <w:vAlign w:val="center"/>
          </w:tcPr>
          <w:p>
            <w:pPr>
              <w:jc w:val="center"/>
            </w:pPr>
            <w:r>
              <w:rPr>
                <w:rFonts w:ascii="Arial" w:cs="Arial" w:eastAsia="Arial" w:hAnsi="Arial"/>
                <w:b/>
                <w:bCs/>
                <w:color w:val="B5430E"/>
                <w:sz w:val="20"/>
                <w:szCs w:val="20"/>
              </w:rPr>
              <w:t xml:space="preserve">1</w:t>
            </w:r>
          </w:p>
        </w:tc>
        <w:tc>
          <w:tcPr>
            <w:tcW w:type="dxa" w:w="9298"/>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sz w:val="20"/>
                <w:szCs w:val="20"/>
              </w:rPr>
              <w:t xml:space="preserve">A process must be completed in a single session.</w:t>
            </w:r>
          </w:p>
          <w:p>
            <w:pPr>
              <w:spacing w:after="0" w:before="0"/>
            </w:pPr>
            <w:r>
              <w:rPr>
                <w:rFonts w:ascii="Arial" w:cs="Arial" w:eastAsia="Arial" w:hAnsi="Arial"/>
                <w:color w:val="666666"/>
                <w:sz w:val="20"/>
                <w:szCs w:val="20"/>
              </w:rPr>
              <w:t xml:space="preserve">If the process is not completed start-to-finish in one session, it is cancelled from the origin — all partial actions are rolled back. There is no 'resume' or 'save draft' state.</w:t>
            </w:r>
          </w:p>
        </w:tc>
      </w:tr>
      <w:tr>
        <w:tc>
          <w:tcPr>
            <w:tcW w:type="dxa" w:w="340"/>
            <w:tcBorders>
              <w:top w:val="single" w:color="CCCCCC" w:sz="1"/>
              <w:left w:val="single" w:color="CCCCCC" w:sz="1"/>
              <w:bottom w:val="single" w:color="CCCCCC" w:sz="1"/>
              <w:right w:val="single" w:color="CCCCCC" w:sz="1"/>
            </w:tcBorders>
            <w:shd w:fill="FAF0EB" w:val="clear"/>
            <w:tcMar>
              <w:top w:type="dxa" w:w="80"/>
              <w:left w:type="dxa" w:w="100"/>
              <w:bottom w:type="dxa" w:w="80"/>
              <w:right w:type="dxa" w:w="100"/>
            </w:tcMar>
            <w:vAlign w:val="center"/>
          </w:tcPr>
          <w:p>
            <w:pPr>
              <w:jc w:val="center"/>
            </w:pPr>
            <w:r>
              <w:rPr>
                <w:rFonts w:ascii="Arial" w:cs="Arial" w:eastAsia="Arial" w:hAnsi="Arial"/>
                <w:b/>
                <w:bCs/>
                <w:color w:val="B5430E"/>
                <w:sz w:val="20"/>
                <w:szCs w:val="20"/>
              </w:rPr>
              <w:t xml:space="preserve">2</w:t>
            </w:r>
          </w:p>
        </w:tc>
        <w:tc>
          <w:tcPr>
            <w:tcW w:type="dxa" w:w="9298"/>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sz w:val="20"/>
                <w:szCs w:val="20"/>
              </w:rPr>
              <w:t xml:space="preserve">Operators (WHO) are assigned per action, not per process.</w:t>
            </w:r>
          </w:p>
          <w:p>
            <w:pPr>
              <w:spacing w:after="0" w:before="0"/>
            </w:pPr>
            <w:r>
              <w:rPr>
                <w:rFonts w:ascii="Arial" w:cs="Arial" w:eastAsia="Arial" w:hAnsi="Arial"/>
                <w:color w:val="666666"/>
                <w:sz w:val="20"/>
                <w:szCs w:val="20"/>
              </w:rPr>
              <w:t xml:space="preserve">One or more users can be assigned to each individual action. Date/time is auto-filled from system clock but the user can edit it. Multiple operators allowed per action.</w:t>
            </w:r>
          </w:p>
        </w:tc>
      </w:tr>
      <w:tr>
        <w:tc>
          <w:tcPr>
            <w:tcW w:type="dxa" w:w="340"/>
            <w:tcBorders>
              <w:top w:val="single" w:color="CCCCCC" w:sz="1"/>
              <w:left w:val="single" w:color="CCCCCC" w:sz="1"/>
              <w:bottom w:val="single" w:color="CCCCCC" w:sz="1"/>
              <w:right w:val="single" w:color="CCCCCC" w:sz="1"/>
            </w:tcBorders>
            <w:shd w:fill="FAF0EB" w:val="clear"/>
            <w:tcMar>
              <w:top w:type="dxa" w:w="80"/>
              <w:left w:type="dxa" w:w="100"/>
              <w:bottom w:type="dxa" w:w="80"/>
              <w:right w:type="dxa" w:w="100"/>
            </w:tcMar>
            <w:vAlign w:val="center"/>
          </w:tcPr>
          <w:p>
            <w:pPr>
              <w:jc w:val="center"/>
            </w:pPr>
            <w:r>
              <w:rPr>
                <w:rFonts w:ascii="Arial" w:cs="Arial" w:eastAsia="Arial" w:hAnsi="Arial"/>
                <w:b/>
                <w:bCs/>
                <w:color w:val="B5430E"/>
                <w:sz w:val="20"/>
                <w:szCs w:val="20"/>
              </w:rPr>
              <w:t xml:space="preserve">3</w:t>
            </w:r>
          </w:p>
        </w:tc>
        <w:tc>
          <w:tcPr>
            <w:tcW w:type="dxa" w:w="9298"/>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sz w:val="20"/>
                <w:szCs w:val="20"/>
              </w:rPr>
              <w:t xml:space="preserve">Every material/product must have a FROM and a TO location at every action.</w:t>
            </w:r>
          </w:p>
          <w:p>
            <w:pPr>
              <w:spacing w:after="0" w:before="0"/>
            </w:pPr>
            <w:r>
              <w:rPr>
                <w:rFonts w:ascii="Arial" w:cs="Arial" w:eastAsia="Arial" w:hAnsi="Arial"/>
                <w:color w:val="666666"/>
                <w:sz w:val="20"/>
                <w:szCs w:val="20"/>
              </w:rPr>
              <w:t xml:space="preserve">A material does not appear from nowhere and does not disappear. The destination may equal the origin (it goes back where it came from), but BOTH must be recorded. If no TO is specified, the system defaults TO = FROM. The last recorded location is always pre-proposed.</w:t>
            </w:r>
          </w:p>
        </w:tc>
      </w:tr>
      <w:tr>
        <w:tc>
          <w:tcPr>
            <w:tcW w:type="dxa" w:w="340"/>
            <w:tcBorders>
              <w:top w:val="single" w:color="CCCCCC" w:sz="1"/>
              <w:left w:val="single" w:color="CCCCCC" w:sz="1"/>
              <w:bottom w:val="single" w:color="CCCCCC" w:sz="1"/>
              <w:right w:val="single" w:color="CCCCCC" w:sz="1"/>
            </w:tcBorders>
            <w:shd w:fill="FAF0EB" w:val="clear"/>
            <w:tcMar>
              <w:top w:type="dxa" w:w="80"/>
              <w:left w:type="dxa" w:w="100"/>
              <w:bottom w:type="dxa" w:w="80"/>
              <w:right w:type="dxa" w:w="100"/>
            </w:tcMar>
            <w:vAlign w:val="center"/>
          </w:tcPr>
          <w:p>
            <w:pPr>
              <w:jc w:val="center"/>
            </w:pPr>
            <w:r>
              <w:rPr>
                <w:rFonts w:ascii="Arial" w:cs="Arial" w:eastAsia="Arial" w:hAnsi="Arial"/>
                <w:b/>
                <w:bCs/>
                <w:color w:val="B5430E"/>
                <w:sz w:val="20"/>
                <w:szCs w:val="20"/>
              </w:rPr>
              <w:t xml:space="preserve">4</w:t>
            </w:r>
          </w:p>
        </w:tc>
        <w:tc>
          <w:tcPr>
            <w:tcW w:type="dxa" w:w="9298"/>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sz w:val="20"/>
                <w:szCs w:val="20"/>
              </w:rPr>
              <w:t xml:space="preserve">At the end of each process, the product/material must be locatable.</w:t>
            </w:r>
          </w:p>
          <w:p>
            <w:pPr>
              <w:spacing w:after="0" w:before="0"/>
            </w:pPr>
            <w:r>
              <w:rPr>
                <w:rFonts w:ascii="Arial" w:cs="Arial" w:eastAsia="Arial" w:hAnsi="Arial"/>
                <w:color w:val="666666"/>
                <w:sz w:val="20"/>
                <w:szCs w:val="20"/>
              </w:rPr>
              <w:t xml:space="preserve">The destination location at the end of a process becomes the starting location for the next process. It is auto-proposed — the user confirms or selects a different location.</w:t>
            </w:r>
          </w:p>
        </w:tc>
      </w:tr>
      <w:tr>
        <w:tc>
          <w:tcPr>
            <w:tcW w:type="dxa" w:w="340"/>
            <w:tcBorders>
              <w:top w:val="single" w:color="CCCCCC" w:sz="1"/>
              <w:left w:val="single" w:color="CCCCCC" w:sz="1"/>
              <w:bottom w:val="single" w:color="CCCCCC" w:sz="1"/>
              <w:right w:val="single" w:color="CCCCCC" w:sz="1"/>
            </w:tcBorders>
            <w:shd w:fill="FAF0EB" w:val="clear"/>
            <w:tcMar>
              <w:top w:type="dxa" w:w="80"/>
              <w:left w:type="dxa" w:w="100"/>
              <w:bottom w:type="dxa" w:w="80"/>
              <w:right w:type="dxa" w:w="100"/>
            </w:tcMar>
            <w:vAlign w:val="center"/>
          </w:tcPr>
          <w:p>
            <w:pPr>
              <w:jc w:val="center"/>
            </w:pPr>
            <w:r>
              <w:rPr>
                <w:rFonts w:ascii="Arial" w:cs="Arial" w:eastAsia="Arial" w:hAnsi="Arial"/>
                <w:b/>
                <w:bCs/>
                <w:color w:val="B5430E"/>
                <w:sz w:val="20"/>
                <w:szCs w:val="20"/>
              </w:rPr>
              <w:t xml:space="preserve">5</w:t>
            </w:r>
          </w:p>
        </w:tc>
        <w:tc>
          <w:tcPr>
            <w:tcW w:type="dxa" w:w="9298"/>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sz w:val="20"/>
                <w:szCs w:val="20"/>
              </w:rPr>
              <w:t xml:space="preserve">Semi-finished products can ship before the final process.</w:t>
            </w:r>
          </w:p>
          <w:p>
            <w:pPr>
              <w:spacing w:after="0" w:before="0"/>
            </w:pPr>
            <w:r>
              <w:rPr>
                <w:rFonts w:ascii="Arial" w:cs="Arial" w:eastAsia="Arial" w:hAnsi="Arial"/>
                <w:color w:val="666666"/>
                <w:sz w:val="20"/>
                <w:szCs w:val="20"/>
              </w:rPr>
              <w:t xml:space="preserve">If the output is semi-finished, it can be dispatched to the customer immediately. Same LOCK logic applies as for a final product once the QR code is issued.</w:t>
            </w:r>
          </w:p>
        </w:tc>
      </w:tr>
      <w:tr>
        <w:tc>
          <w:tcPr>
            <w:tcW w:type="dxa" w:w="340"/>
            <w:tcBorders>
              <w:top w:val="single" w:color="CCCCCC" w:sz="1"/>
              <w:left w:val="single" w:color="CCCCCC" w:sz="1"/>
              <w:bottom w:val="single" w:color="CCCCCC" w:sz="1"/>
              <w:right w:val="single" w:color="CCCCCC" w:sz="1"/>
            </w:tcBorders>
            <w:shd w:fill="FAF0EB" w:val="clear"/>
            <w:tcMar>
              <w:top w:type="dxa" w:w="80"/>
              <w:left w:type="dxa" w:w="100"/>
              <w:bottom w:type="dxa" w:w="80"/>
              <w:right w:type="dxa" w:w="100"/>
            </w:tcMar>
            <w:vAlign w:val="center"/>
          </w:tcPr>
          <w:p>
            <w:pPr>
              <w:jc w:val="center"/>
            </w:pPr>
            <w:r>
              <w:rPr>
                <w:rFonts w:ascii="Arial" w:cs="Arial" w:eastAsia="Arial" w:hAnsi="Arial"/>
                <w:b/>
                <w:bCs/>
                <w:color w:val="B5430E"/>
                <w:sz w:val="20"/>
                <w:szCs w:val="20"/>
              </w:rPr>
              <w:t xml:space="preserve">6</w:t>
            </w:r>
          </w:p>
        </w:tc>
        <w:tc>
          <w:tcPr>
            <w:tcW w:type="dxa" w:w="9298"/>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sz w:val="20"/>
                <w:szCs w:val="20"/>
              </w:rPr>
              <w:t xml:space="preserve">QR code issuance locks the product permanently.</w:t>
            </w:r>
          </w:p>
          <w:p>
            <w:pPr>
              <w:spacing w:after="0" w:before="0"/>
            </w:pPr>
            <w:r>
              <w:rPr>
                <w:rFonts w:ascii="Arial" w:cs="Arial" w:eastAsia="Arial" w:hAnsi="Arial"/>
                <w:color w:val="666666"/>
                <w:sz w:val="20"/>
                <w:szCs w:val="20"/>
              </w:rPr>
              <w:t xml:space="preserve">Once a QR code is issued (at the end of the final process OR for a semi-finished product being shipped), the product and all its linked actions and processes become read-only at the API level. No UI workaround can bypass this.</w:t>
            </w:r>
          </w:p>
        </w:tc>
      </w:tr>
    </w:tbl>
    <w:p>
      <w:pPr>
        <w:spacing w:after="0" w:before="200"/>
      </w:pPr>
      <w:r>
        <w:t xml:space="preserve"/>
      </w:r>
    </w:p>
    <w:p>
      <w:pPr>
        <w:spacing w:after="120" w:before="320"/>
      </w:pPr>
      <w:r>
        <w:rPr>
          <w:rFonts w:ascii="Arial" w:cs="Arial" w:eastAsia="Arial" w:hAnsi="Arial"/>
          <w:b/>
          <w:bCs/>
          <w:color w:val="1A6B5A"/>
          <w:sz w:val="26"/>
          <w:szCs w:val="26"/>
        </w:rPr>
        <w:t xml:space="preserve">5. Action Parameters (what every action captures)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219"/>
        <w:gridCol w:w="3419"/>
      </w:tblGrid>
      <w:tr>
        <w:trPr>
          <w:tblHeader/>
        </w:trPr>
        <w:tc>
          <w:tcPr>
            <w:tcW w:type="dxa" w:w="19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1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32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4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9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WHAT — Material/Product</w:t>
            </w:r>
          </w:p>
        </w:tc>
        <w:tc>
          <w:tcPr>
            <w:tcW w:type="dxa" w:w="11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Always</w:t>
            </w:r>
          </w:p>
        </w:tc>
        <w:tc>
          <w:tcPr>
            <w:tcW w:type="dxa" w:w="32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The material or product being acted upon. Includes quantity, packing item, unit, batch, and lot.</w:t>
            </w:r>
          </w:p>
        </w:tc>
        <w:tc>
          <w:tcPr>
            <w:tcW w:type="dxa" w:w="34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Multiple subjects per action allowed. Packing item and unit pre-filled from stock entry.</w:t>
            </w:r>
          </w:p>
        </w:tc>
      </w:tr>
      <w:tr>
        <w:tc>
          <w:tcPr>
            <w:tcW w:type="dxa" w:w="19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WHO — Operator(s)</w:t>
            </w:r>
          </w:p>
        </w:tc>
        <w:tc>
          <w:tcPr>
            <w:tcW w:type="dxa" w:w="11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Always</w:t>
            </w:r>
          </w:p>
        </w:tc>
        <w:tc>
          <w:tcPr>
            <w:tcW w:type="dxa" w:w="32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One or more users who performed this specific action.</w:t>
            </w:r>
          </w:p>
        </w:tc>
        <w:tc>
          <w:tcPr>
            <w:tcW w:type="dxa" w:w="34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Selected from org user list. Multiple operators allowed. NOT auto-captured — must be explicitly assigned.</w:t>
            </w:r>
          </w:p>
        </w:tc>
      </w:tr>
      <w:tr>
        <w:tc>
          <w:tcPr>
            <w:tcW w:type="dxa" w:w="19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WHEN — Date &amp; Time</w:t>
            </w:r>
          </w:p>
        </w:tc>
        <w:tc>
          <w:tcPr>
            <w:tcW w:type="dxa" w:w="11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Default yes, removable</w:t>
            </w:r>
          </w:p>
        </w:tc>
        <w:tc>
          <w:tcPr>
            <w:tcW w:type="dxa" w:w="32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Date, start time, and end time of the action.</w:t>
            </w:r>
          </w:p>
        </w:tc>
        <w:tc>
          <w:tcPr>
            <w:tcW w:type="dxa" w:w="34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Auto-filled with system date/time at the moment of action creation. User can edit or remove. Duration is calculated automatically from start/end.</w:t>
            </w:r>
          </w:p>
        </w:tc>
      </w:tr>
      <w:tr>
        <w:tc>
          <w:tcPr>
            <w:tcW w:type="dxa" w:w="19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WHERE — From location</w:t>
            </w:r>
          </w:p>
        </w:tc>
        <w:tc>
          <w:tcPr>
            <w:tcW w:type="dxa" w:w="11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Always</w:t>
            </w:r>
          </w:p>
        </w:tc>
        <w:tc>
          <w:tcPr>
            <w:tcW w:type="dxa" w:w="32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Location where the material/product is at the start of the action.</w:t>
            </w:r>
          </w:p>
        </w:tc>
        <w:tc>
          <w:tcPr>
            <w:tcW w:type="dxa" w:w="34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Pre-filled with last recorded location of the material. From the My Company → Locations library.</w:t>
            </w:r>
          </w:p>
        </w:tc>
      </w:tr>
      <w:tr>
        <w:tc>
          <w:tcPr>
            <w:tcW w:type="dxa" w:w="19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WHERE — To location</w:t>
            </w:r>
          </w:p>
        </w:tc>
        <w:tc>
          <w:tcPr>
            <w:tcW w:type="dxa" w:w="11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Always (default=From)</w:t>
            </w:r>
          </w:p>
        </w:tc>
        <w:tc>
          <w:tcPr>
            <w:tcW w:type="dxa" w:w="32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Location where the material/product will be after the action.</w:t>
            </w:r>
          </w:p>
        </w:tc>
        <w:tc>
          <w:tcPr>
            <w:tcW w:type="dxa" w:w="3419"/>
            <w:tcBorders>
              <w:top w:val="single" w:color="CCCCCC" w:sz="1"/>
              <w:left w:val="single" w:color="CCCCCC" w:sz="1"/>
              <w:bottom w:val="single" w:color="CCCCCC" w:sz="1"/>
              <w:right w:val="single" w:color="CCCCCC" w:sz="1"/>
            </w:tcBorders>
            <w:shd w:fill="E4F2EE" w:val="clear"/>
            <w:tcMar>
              <w:top w:type="dxa" w:w="80"/>
              <w:left w:type="dxa" w:w="160"/>
              <w:bottom w:type="dxa" w:w="80"/>
              <w:right w:type="dxa" w:w="120"/>
            </w:tcMar>
          </w:tcPr>
          <w:p>
            <w:pPr>
              <w:spacing w:after="30" w:before="0"/>
            </w:pPr>
            <w:r>
              <w:rPr>
                <w:rFonts w:ascii="Arial" w:cs="Arial" w:eastAsia="Arial" w:hAnsi="Arial"/>
                <w:color w:val="222222"/>
                <w:sz w:val="18"/>
                <w:szCs w:val="18"/>
              </w:rPr>
              <w:t xml:space="preserve">If not specified, defaults to FROM location (item stays in place). Both From and To must always have a value.</w:t>
            </w:r>
          </w:p>
          <w:p>
            <w:pPr>
              <w:spacing w:after="0" w:before="0"/>
            </w:pPr>
            <w:r>
              <w:rPr>
                <w:rFonts w:ascii="Arial" w:cs="Arial" w:eastAsia="Arial" w:hAnsi="Arial"/>
                <w:b/>
                <w:bCs/>
                <w:color w:val="B5430E"/>
                <w:sz w:val="18"/>
                <w:szCs w:val="18"/>
              </w:rPr>
              <w:t xml:space="preserve">⚠ Storage Requirement check: on TO selection, system compares material's required storage condition with the destination room's condition. Mismatch → warning pop-up. User must acknowledge before proceeding.</w:t>
            </w:r>
          </w:p>
        </w:tc>
      </w:tr>
      <w:tr>
        <w:tc>
          <w:tcPr>
            <w:tcW w:type="dxa" w:w="19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Custom parameters</w:t>
            </w:r>
          </w:p>
        </w:tc>
        <w:tc>
          <w:tcPr>
            <w:tcW w:type="dxa" w:w="11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Conditional</w:t>
            </w:r>
          </w:p>
        </w:tc>
        <w:tc>
          <w:tcPr>
            <w:tcW w:type="dxa" w:w="32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Action-type-specific fields defined by SuperAdmin in the Action Library (e.g. temperature, mix ratio, wash method).</w:t>
            </w:r>
          </w:p>
        </w:tc>
        <w:tc>
          <w:tcPr>
            <w:tcW w:type="dxa" w:w="34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Dynamically rendered based on selected action type. SuperAdmin defines these fields per action type in settings.</w:t>
            </w:r>
          </w:p>
        </w:tc>
      </w:tr>
      <w:tr>
        <w:tc>
          <w:tcPr>
            <w:tcW w:type="dxa" w:w="19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Attachments</w:t>
            </w:r>
          </w:p>
        </w:tc>
        <w:tc>
          <w:tcPr>
            <w:tcW w:type="dxa" w:w="11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Optional</w:t>
            </w:r>
          </w:p>
        </w:tc>
        <w:tc>
          <w:tcPr>
            <w:tcW w:type="dxa" w:w="32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Photo or document attached to this action for evidence.</w:t>
            </w:r>
          </w:p>
        </w:tc>
        <w:tc>
          <w:tcPr>
            <w:tcW w:type="dxa" w:w="34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Max 2 MB per file. Show limit clearly in the UI. Accepted formats: JPG, PNG, PDF.</w:t>
            </w:r>
          </w:p>
        </w:tc>
      </w:tr>
      <w:tr>
        <w:tc>
          <w:tcPr>
            <w:tcW w:type="dxa" w:w="19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OUTPUT — Linked product</w:t>
            </w:r>
          </w:p>
        </w:tc>
        <w:tc>
          <w:tcPr>
            <w:tcW w:type="dxa" w:w="11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Conditional</w:t>
            </w:r>
          </w:p>
        </w:tc>
        <w:tc>
          <w:tcPr>
            <w:tcW w:type="dxa" w:w="32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If this action produces a new material or product, link it. Output must be explicitly connected to input.</w:t>
            </w:r>
          </w:p>
        </w:tc>
        <w:tc>
          <w:tcPr>
            <w:tcW w:type="dxa" w:w="34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Required for transformation actions. Set is_semi_finished flag. The output product inherits the batch/lot traceability chain from the input.</w:t>
            </w:r>
          </w:p>
        </w:tc>
      </w:tr>
    </w:tbl>
    <w:p>
      <w:pPr>
        <w:spacing w:after="0" w:before="200"/>
      </w:pPr>
      <w:r>
        <w:t xml:space="preserve"/>
      </w:r>
    </w:p>
    <w:p>
      <w:pPr>
        <w:spacing w:after="120" w:before="320"/>
      </w:pPr>
      <w:r>
        <w:rPr>
          <w:rFonts w:ascii="Arial" w:cs="Arial" w:eastAsia="Arial" w:hAnsi="Arial"/>
          <w:b/>
          <w:bCs/>
          <w:color w:val="1A6B5A"/>
          <w:sz w:val="26"/>
          <w:szCs w:val="26"/>
        </w:rPr>
        <w:t xml:space="preserve">6. Action Library — Extended Default Catalogue</w:t>
      </w:r>
    </w:p>
    <w:p>
      <w:pPr>
        <w:spacing w:after="60" w:before="60"/>
      </w:pPr>
      <w:r>
        <w:rPr>
          <w:rFonts w:ascii="Arial" w:cs="Arial" w:eastAsia="Arial" w:hAnsi="Arial"/>
          <w:b w:val="false"/>
          <w:bCs w:val="false"/>
          <w:color w:val="222222"/>
          <w:sz w:val="20"/>
          <w:szCs w:val="20"/>
        </w:rPr>
        <w:t xml:space="preserve">These actions are seeded as defaults — NOT hardcoded. SuperAdmin can rename, add custom parameters, or remove any non-system action. The list is extended across industry verticals.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000"/>
        <w:gridCol w:w="2200"/>
        <w:gridCol w:w="3438"/>
      </w:tblGrid>
      <w:tr>
        <w:trPr>
          <w:tblHeader/>
        </w:trPr>
        <w:tc>
          <w:tcPr>
            <w:tcW w:type="dxa" w:w="17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key</w:t>
            </w:r>
          </w:p>
        </w:tc>
        <w:tc>
          <w:tcPr>
            <w:tcW w:type="dxa" w:w="13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10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22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Custom param example</w:t>
            </w:r>
          </w:p>
        </w:tc>
        <w:tc>
          <w:tcPr>
            <w:tcW w:type="dxa" w:w="3438"/>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7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bCs/>
                <w:color w:val="4A3F8F"/>
                <w:sz w:val="18"/>
                <w:szCs w:val="18"/>
              </w:rPr>
              <w:t xml:space="preserve">move_in</w:t>
            </w:r>
          </w:p>
        </w:tc>
        <w:tc>
          <w:tcPr>
            <w:tcW w:type="dxa" w:w="13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Movement</w:t>
            </w:r>
          </w:p>
        </w:tc>
        <w:tc>
          <w:tcPr>
            <w:tcW w:type="dxa" w:w="10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Temperature (°C)</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Move material/product into a location. Example sub-config: 'Move in — fridge' adds temperature field.</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4A3F8F"/>
                <w:sz w:val="18"/>
                <w:szCs w:val="18"/>
              </w:rPr>
              <w:t xml:space="preserve">move_out</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Movement</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Move material/product out of a location to another. Requires From and To.</w:t>
            </w:r>
          </w:p>
        </w:tc>
      </w:tr>
      <w:tr>
        <w:tc>
          <w:tcPr>
            <w:tcW w:type="dxa" w:w="17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bCs/>
                <w:color w:val="4A3F8F"/>
                <w:sz w:val="18"/>
                <w:szCs w:val="18"/>
              </w:rPr>
              <w:t xml:space="preserve">put_in</w:t>
            </w:r>
          </w:p>
        </w:tc>
        <w:tc>
          <w:tcPr>
            <w:tcW w:type="dxa" w:w="13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Movement</w:t>
            </w:r>
          </w:p>
        </w:tc>
        <w:tc>
          <w:tcPr>
            <w:tcW w:type="dxa" w:w="10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Container type, slot ref</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Place item into a container, rack, or specific slot within a location.</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4A3F8F"/>
                <w:sz w:val="18"/>
                <w:szCs w:val="18"/>
              </w:rPr>
              <w:t xml:space="preserve">remove_out</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Movement</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Remove item from a container or slot.</w:t>
            </w:r>
          </w:p>
        </w:tc>
      </w:tr>
      <w:tr>
        <w:tc>
          <w:tcPr>
            <w:tcW w:type="dxa" w:w="17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bCs/>
                <w:color w:val="4A3F8F"/>
                <w:sz w:val="18"/>
                <w:szCs w:val="18"/>
              </w:rPr>
              <w:t xml:space="preserve">transfer</w:t>
            </w:r>
          </w:p>
        </w:tc>
        <w:tc>
          <w:tcPr>
            <w:tcW w:type="dxa" w:w="13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Movement</w:t>
            </w:r>
          </w:p>
        </w:tc>
        <w:tc>
          <w:tcPr>
            <w:tcW w:type="dxa" w:w="10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EDE9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Vehicle / carrier ref</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Transfer between two distant locations (e.g. inter-warehouse). Useful for logistics and distribution.</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4A3F8F"/>
                <w:sz w:val="18"/>
                <w:szCs w:val="18"/>
              </w:rPr>
              <w:t xml:space="preserve">receive</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Movement</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Supplier ref, delivery note</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First action: import raw material from external supplier into company stock.</w:t>
            </w:r>
          </w:p>
        </w:tc>
      </w:tr>
      <w:tr>
        <w:tc>
          <w:tcPr>
            <w:tcW w:type="dxa" w:w="17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cook</w:t>
            </w:r>
          </w:p>
        </w:tc>
        <w:tc>
          <w:tcPr>
            <w:tcW w:type="dxa" w:w="13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Food</w:t>
            </w:r>
          </w:p>
        </w:tc>
        <w:tc>
          <w:tcPr>
            <w:tcW w:type="dxa" w:w="10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Temperature (°C), duration</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Apply heat treatment. Input material → output product or semi-finished product.</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mix / blend</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Food</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Speed (RPM), duration</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Combine multiple ingredients into one batch (dough, sauce, beverage).</w:t>
            </w:r>
          </w:p>
        </w:tc>
      </w:tr>
      <w:tr>
        <w:tc>
          <w:tcPr>
            <w:tcW w:type="dxa" w:w="17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cut / slice / portion</w:t>
            </w:r>
          </w:p>
        </w:tc>
        <w:tc>
          <w:tcPr>
            <w:tcW w:type="dxa" w:w="13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Food</w:t>
            </w:r>
          </w:p>
        </w:tc>
        <w:tc>
          <w:tcPr>
            <w:tcW w:type="dxa" w:w="10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Portion weight (g)</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Divide a bulk material into portions or pieces.</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ferment / mature</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Food</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Target temp (°C), humidity (%)</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Controlled fermentation or ageing process (cheese, wine, bread, charcuterie).</w:t>
            </w:r>
          </w:p>
        </w:tc>
      </w:tr>
      <w:tr>
        <w:tc>
          <w:tcPr>
            <w:tcW w:type="dxa" w:w="17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pasteurise / sterilise</w:t>
            </w:r>
          </w:p>
        </w:tc>
        <w:tc>
          <w:tcPr>
            <w:tcW w:type="dxa" w:w="13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Food</w:t>
            </w:r>
          </w:p>
        </w:tc>
        <w:tc>
          <w:tcPr>
            <w:tcW w:type="dxa" w:w="10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Temperature (°C), hold time (s)</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Heat treatment for food safety compliance.</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package / fill</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Food</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Pack size, packaging material</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Pack the finished or semi-finished product into its final packaging.</w:t>
            </w:r>
          </w:p>
        </w:tc>
      </w:tr>
      <w:tr>
        <w:tc>
          <w:tcPr>
            <w:tcW w:type="dxa" w:w="17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dilute</w:t>
            </w:r>
          </w:p>
        </w:tc>
        <w:tc>
          <w:tcPr>
            <w:tcW w:type="dxa" w:w="13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Chemical</w:t>
            </w:r>
          </w:p>
        </w:tc>
        <w:tc>
          <w:tcPr>
            <w:tcW w:type="dxa" w:w="10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Dilution ratio, solvent type</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Dilute a chemical concentrate with a solvent. Track concentration.</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react / compound</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Chemical</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Reaction temp, pressure, catalyst</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Chemical reaction combining two or more substances. Safety data required.</w:t>
            </w:r>
          </w:p>
        </w:tc>
      </w:tr>
      <w:tr>
        <w:tc>
          <w:tcPr>
            <w:tcW w:type="dxa" w:w="17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filter / centrifuge</w:t>
            </w:r>
          </w:p>
        </w:tc>
        <w:tc>
          <w:tcPr>
            <w:tcW w:type="dxa" w:w="13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Chemical</w:t>
            </w:r>
          </w:p>
        </w:tc>
        <w:tc>
          <w:tcPr>
            <w:tcW w:type="dxa" w:w="10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Filter size (µm), RPM</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Separate substances by filtration or centrifugation.</w:t>
            </w:r>
          </w:p>
        </w:tc>
      </w:tr>
      <w:tr>
        <w:tc>
          <w:tcPr>
            <w:tcW w:type="dxa" w:w="17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assemble</w:t>
            </w:r>
          </w:p>
        </w:tc>
        <w:tc>
          <w:tcPr>
            <w:tcW w:type="dxa" w:w="13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Mfg</w:t>
            </w:r>
          </w:p>
        </w:tc>
        <w:tc>
          <w:tcPr>
            <w:tcW w:type="dxa" w:w="10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Assembly drawing ref</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Combine multiple parts into a new unit (electronics, automotive, machinery).</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disassemble</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Mfg</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 (parts)</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Break a unit into components for repair, reuse, or recycling.</w:t>
            </w:r>
          </w:p>
        </w:tc>
      </w:tr>
      <w:tr>
        <w:tc>
          <w:tcPr>
            <w:tcW w:type="dxa" w:w="17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weld / solder</w:t>
            </w:r>
          </w:p>
        </w:tc>
        <w:tc>
          <w:tcPr>
            <w:tcW w:type="dxa" w:w="13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Mfg</w:t>
            </w:r>
          </w:p>
        </w:tc>
        <w:tc>
          <w:tcPr>
            <w:tcW w:type="dxa" w:w="10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Yes</w:t>
            </w:r>
          </w:p>
        </w:tc>
        <w:tc>
          <w:tcPr>
            <w:tcW w:type="dxa" w:w="2200"/>
            <w:gridSpan w:val="1"/>
            <w:tcBorders>
              <w:top w:val="single" w:color="CCCCCC" w:sz="1"/>
              <w:left w:val="single" w:color="CCCCCC" w:sz="1"/>
              <w:bottom w:val="single" w:color="CCCCCC" w:sz="1"/>
              <w:right w:val="single" w:color="CCCCCC" w:sz="1"/>
            </w:tcBorders>
            <w:shd w:fill="E4F2E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Operator cert, temperature</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Permanent joining of components. Operator certification may be required.</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1A6B5A"/>
                <w:sz w:val="18"/>
                <w:szCs w:val="18"/>
              </w:rPr>
              <w:t xml:space="preserve">print / label</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Transform · Mfg</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Label template ref</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Apply a label, barcode, or QR code to the product.</w:t>
            </w:r>
          </w:p>
        </w:tc>
      </w:tr>
      <w:tr>
        <w:tc>
          <w:tcPr>
            <w:tcW w:type="dxa" w:w="17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bCs/>
                <w:color w:val="1A6B3A"/>
                <w:sz w:val="18"/>
                <w:szCs w:val="18"/>
              </w:rPr>
              <w:t xml:space="preserve">inspect / check</w:t>
            </w:r>
          </w:p>
        </w:tc>
        <w:tc>
          <w:tcPr>
            <w:tcW w:type="dxa" w:w="13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Quality</w:t>
            </w:r>
          </w:p>
        </w:tc>
        <w:tc>
          <w:tcPr>
            <w:tcW w:type="dxa" w:w="10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Result (pass/fail), notes</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Visual or physical inspection of material or product. Record result.</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1A6B3A"/>
                <w:sz w:val="18"/>
                <w:szCs w:val="18"/>
              </w:rPr>
              <w:t xml:space="preserve">test / analyse</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Quality</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Test method, result value, unit</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Lab test or field analysis. Attach test report as document.</w:t>
            </w:r>
          </w:p>
        </w:tc>
      </w:tr>
      <w:tr>
        <w:tc>
          <w:tcPr>
            <w:tcW w:type="dxa" w:w="17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bCs/>
                <w:color w:val="1A6B3A"/>
                <w:sz w:val="18"/>
                <w:szCs w:val="18"/>
              </w:rPr>
              <w:t xml:space="preserve">weigh</w:t>
            </w:r>
          </w:p>
        </w:tc>
        <w:tc>
          <w:tcPr>
            <w:tcW w:type="dxa" w:w="13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Quality</w:t>
            </w:r>
          </w:p>
        </w:tc>
        <w:tc>
          <w:tcPr>
            <w:tcW w:type="dxa" w:w="10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Weight (g/kg), tolerance</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Record the measured weight of a material or product.</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1A6B3A"/>
                <w:sz w:val="18"/>
                <w:szCs w:val="18"/>
              </w:rPr>
              <w:t xml:space="preserve">reject / quarantine</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Quality</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Reason code</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Flag item as non-conformant. Move to quarantine location. Requires reason.</w:t>
            </w:r>
          </w:p>
        </w:tc>
      </w:tr>
      <w:tr>
        <w:tc>
          <w:tcPr>
            <w:tcW w:type="dxa" w:w="17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wash / clean</w:t>
            </w:r>
          </w:p>
        </w:tc>
        <w:tc>
          <w:tcPr>
            <w:tcW w:type="dxa" w:w="13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Handling</w:t>
            </w:r>
          </w:p>
        </w:tc>
        <w:tc>
          <w:tcPr>
            <w:tcW w:type="dxa" w:w="10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Cleaning product, temp</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Clean the material or product. No change to item identity.</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rest / wait</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Handling</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Target duration</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Hold item for a defined period (dough resting, part curing, paint drying).</w:t>
            </w:r>
          </w:p>
        </w:tc>
      </w:tr>
      <w:tr>
        <w:tc>
          <w:tcPr>
            <w:tcW w:type="dxa" w:w="17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freeze / thaw</w:t>
            </w:r>
          </w:p>
        </w:tc>
        <w:tc>
          <w:tcPr>
            <w:tcW w:type="dxa" w:w="13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Handling</w:t>
            </w:r>
          </w:p>
        </w:tc>
        <w:tc>
          <w:tcPr>
            <w:tcW w:type="dxa" w:w="10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Target temp (°C)</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Thermal state change. Captured with start/end timestamps.</w:t>
            </w:r>
          </w:p>
        </w:tc>
      </w:tr>
      <w:tr>
        <w:tc>
          <w:tcPr>
            <w:tcW w:type="dxa" w:w="17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dry / dehydrate</w:t>
            </w:r>
          </w:p>
        </w:tc>
        <w:tc>
          <w:tcPr>
            <w:tcW w:type="dxa" w:w="13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Handling</w:t>
            </w:r>
          </w:p>
        </w:tc>
        <w:tc>
          <w:tcPr>
            <w:tcW w:type="dxa" w:w="1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Temp (°C), humidity (%)</w:t>
            </w:r>
          </w:p>
        </w:tc>
        <w:tc>
          <w:tcPr>
            <w:tcW w:type="dxa" w:w="343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Remove moisture from a material or product. Common in food, pharma, and electronics.</w:t>
            </w:r>
          </w:p>
        </w:tc>
      </w:tr>
      <w:tr>
        <w:tc>
          <w:tcPr>
            <w:tcW w:type="dxa" w:w="17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sterilise / disinfect</w:t>
            </w:r>
          </w:p>
        </w:tc>
        <w:tc>
          <w:tcPr>
            <w:tcW w:type="dxa" w:w="13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Handling</w:t>
            </w:r>
          </w:p>
        </w:tc>
        <w:tc>
          <w:tcPr>
            <w:tcW w:type="dxa" w:w="10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w:t>
            </w:r>
          </w:p>
        </w:tc>
        <w:tc>
          <w:tcPr>
            <w:tcW w:type="dxa" w:w="22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Method, agent, contact time</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Disinfection of tools, containers, or surfaces. Common in food and pharma.</w:t>
            </w:r>
          </w:p>
        </w:tc>
      </w:tr>
      <w:tr>
        <w:tc>
          <w:tcPr>
            <w:tcW w:type="dxa" w:w="1700"/>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PROCESS_START</w:t>
            </w:r>
          </w:p>
        </w:tc>
        <w:tc>
          <w:tcPr>
            <w:tcW w:type="dxa" w:w="1300"/>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Control</w:t>
            </w:r>
          </w:p>
        </w:tc>
        <w:tc>
          <w:tcPr>
            <w:tcW w:type="dxa" w:w="1000"/>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w:t>
            </w:r>
          </w:p>
        </w:tc>
        <w:tc>
          <w:tcPr>
            <w:tcW w:type="dxa" w:w="2200"/>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w:t>
            </w:r>
          </w:p>
        </w:tc>
        <w:tc>
          <w:tcPr>
            <w:tcW w:type="dxa" w:w="3438"/>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System action. Auto-triggered when the first action is created. Not editable.</w:t>
            </w:r>
          </w:p>
        </w:tc>
      </w:tr>
      <w:tr>
        <w:tc>
          <w:tcPr>
            <w:tcW w:type="dxa" w:w="1700"/>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PROCESS_END</w:t>
            </w:r>
          </w:p>
        </w:tc>
        <w:tc>
          <w:tcPr>
            <w:tcW w:type="dxa" w:w="1300"/>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Control</w:t>
            </w:r>
          </w:p>
        </w:tc>
        <w:tc>
          <w:tcPr>
            <w:tcW w:type="dxa" w:w="1000"/>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w:t>
            </w:r>
          </w:p>
        </w:tc>
        <w:tc>
          <w:tcPr>
            <w:tcW w:type="dxa" w:w="2200"/>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Destination location</w:t>
            </w:r>
          </w:p>
        </w:tc>
        <w:tc>
          <w:tcPr>
            <w:tcW w:type="dxa" w:w="3438"/>
            <w:gridSpan w:val="1"/>
            <w:tcBorders>
              <w:top w:val="single" w:color="CCCCCC" w:sz="1"/>
              <w:left w:val="single" w:color="CCCCCC" w:sz="1"/>
              <w:bottom w:val="single" w:color="CCCCCC" w:sz="1"/>
              <w:right w:val="single" w:color="CCCCCC" w:sz="1"/>
            </w:tcBorders>
            <w:shd w:fill="4A3F8F"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Closes process. Destination carries over to next process. Issues QR code if final process.</w:t>
            </w:r>
          </w:p>
        </w:tc>
      </w:tr>
    </w:tbl>
    <w:p>
      <w:pPr>
        <w:spacing w:after="0" w:before="200"/>
      </w:pPr>
      <w:r>
        <w:t xml:space="preserve"/>
      </w:r>
    </w:p>
    <w:p>
      <w:pPr>
        <w:spacing w:after="120" w:before="320"/>
      </w:pPr>
      <w:r>
        <w:rPr>
          <w:rFonts w:ascii="Arial" w:cs="Arial" w:eastAsia="Arial" w:hAnsi="Arial"/>
          <w:b/>
          <w:bCs/>
          <w:color w:val="B5430E"/>
          <w:sz w:val="26"/>
          <w:szCs w:val="26"/>
        </w:rPr>
        <w:t xml:space="preserve">7. QR Code &amp; Traceability</w:t>
      </w:r>
    </w:p>
    <w:p>
      <w:pPr>
        <w:spacing w:after="60" w:before="60"/>
      </w:pPr>
      <w:r>
        <w:rPr>
          <w:rFonts w:ascii="Arial" w:cs="Arial" w:eastAsia="Arial" w:hAnsi="Arial"/>
          <w:b w:val="false"/>
          <w:bCs w:val="false"/>
          <w:color w:val="222222"/>
          <w:sz w:val="20"/>
          <w:szCs w:val="20"/>
        </w:rPr>
        <w:t xml:space="preserve">The QR code is the final lock mechanism. It is issued at the end of the last process (or when a semi-finished product ships). It cannot be undone.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tblHeader/>
        </w:trPr>
        <w:tc>
          <w:tcPr>
            <w:tcW w:type="dxa" w:w="24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Aspect</w:t>
            </w:r>
          </w:p>
        </w:tc>
        <w:tc>
          <w:tcPr>
            <w:tcW w:type="dxa" w:w="36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6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Configuration</w:t>
            </w:r>
          </w:p>
        </w:tc>
      </w:tr>
      <w:tr>
        <w:tc>
          <w:tcPr>
            <w:tcW w:type="dxa" w:w="2400"/>
            <w:gridSpan w:val="1"/>
            <w:tcBorders>
              <w:top w:val="single" w:color="CCCCCC" w:sz="1"/>
              <w:left w:val="single" w:color="CCCCCC" w:sz="1"/>
              <w:bottom w:val="single" w:color="CCCCCC" w:sz="1"/>
              <w:right w:val="single" w:color="CCCCCC" w:sz="1"/>
            </w:tcBorders>
            <w:shd w:fill="FAF0EB" w:val="clear"/>
            <w:tcMar>
              <w:top w:type="dxa" w:w="80"/>
              <w:left w:type="dxa" w:w="120"/>
              <w:bottom w:type="dxa" w:w="80"/>
              <w:right w:type="dxa" w:w="120"/>
            </w:tcMar>
            <w:vAlign w:val="center"/>
          </w:tcPr>
          <w:p>
            <w:pPr>
              <w:jc w:val="left"/>
            </w:pPr>
            <w:r>
              <w:rPr>
                <w:rFonts w:ascii="Arial" w:cs="Arial" w:eastAsia="Arial" w:hAnsi="Arial"/>
                <w:b/>
                <w:bCs/>
                <w:color w:val="B5430E"/>
                <w:sz w:val="18"/>
                <w:szCs w:val="18"/>
              </w:rPr>
              <w:t xml:space="preserve">Issuance trigger</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Issued at PROCESS_END of the final process, OR when a semi-finished product is dispatched.</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Automatic — no manual step required.</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Scope</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QR code is assigned to the product batch/lot — not just a single unit. All units in the batch share the QR code record.</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SuperAdmin defines batch granularity.</w:t>
            </w:r>
          </w:p>
        </w:tc>
      </w:tr>
      <w:tr>
        <w:tc>
          <w:tcPr>
            <w:tcW w:type="dxa" w:w="2400"/>
            <w:gridSpan w:val="1"/>
            <w:tcBorders>
              <w:top w:val="single" w:color="CCCCCC" w:sz="1"/>
              <w:left w:val="single" w:color="CCCCCC" w:sz="1"/>
              <w:bottom w:val="single" w:color="CCCCCC" w:sz="1"/>
              <w:right w:val="single" w:color="CCCCCC" w:sz="1"/>
            </w:tcBorders>
            <w:shd w:fill="FAF0EB" w:val="clear"/>
            <w:tcMar>
              <w:top w:type="dxa" w:w="80"/>
              <w:left w:type="dxa" w:w="120"/>
              <w:bottom w:type="dxa" w:w="80"/>
              <w:right w:type="dxa" w:w="120"/>
            </w:tcMar>
            <w:vAlign w:val="center"/>
          </w:tcPr>
          <w:p>
            <w:pPr>
              <w:jc w:val="left"/>
            </w:pPr>
            <w:r>
              <w:rPr>
                <w:rFonts w:ascii="Arial" w:cs="Arial" w:eastAsia="Arial" w:hAnsi="Arial"/>
                <w:b/>
                <w:bCs/>
                <w:color w:val="B5430E"/>
                <w:sz w:val="18"/>
                <w:szCs w:val="18"/>
              </w:rPr>
              <w:t xml:space="preserve">Lock effect</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Once issued, the product, all its actions, and all its process records become read-only at the API level. Immutable.</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Enforced server-side. Not a UI-only restriction.</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External scan (public)</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When scanned by a consumer smartphone, shows a public-facing page with legally required fields only.</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SuperAdmin defines the public URL and which fields are shown externally.</w:t>
            </w:r>
          </w:p>
        </w:tc>
      </w:tr>
      <w:tr>
        <w:tc>
          <w:tcPr>
            <w:tcW w:type="dxa" w:w="2400"/>
            <w:gridSpan w:val="1"/>
            <w:tcBorders>
              <w:top w:val="single" w:color="CCCCCC" w:sz="1"/>
              <w:left w:val="single" w:color="CCCCCC" w:sz="1"/>
              <w:bottom w:val="single" w:color="CCCCCC" w:sz="1"/>
              <w:right w:val="single" w:color="CCCCCC" w:sz="1"/>
            </w:tcBorders>
            <w:shd w:fill="FAF0EB" w:val="clear"/>
            <w:tcMar>
              <w:top w:type="dxa" w:w="80"/>
              <w:left w:type="dxa" w:w="120"/>
              <w:bottom w:type="dxa" w:w="80"/>
              <w:right w:type="dxa" w:w="120"/>
            </w:tcMar>
            <w:vAlign w:val="center"/>
          </w:tcPr>
          <w:p>
            <w:pPr>
              <w:jc w:val="left"/>
            </w:pPr>
            <w:r>
              <w:rPr>
                <w:rFonts w:ascii="Arial" w:cs="Arial" w:eastAsia="Arial" w:hAnsi="Arial"/>
                <w:b/>
                <w:bCs/>
                <w:color w:val="B5430E"/>
                <w:sz w:val="18"/>
                <w:szCs w:val="18"/>
              </w:rPr>
              <w:t xml:space="preserve">Internal scan</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When scanned internally (app or internal device), shows full traceability data including ERP-linked fields.</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SuperAdmin defines which additional fields are shown internally.</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Mandatory legal fields</w:t>
            </w:r>
          </w:p>
        </w:tc>
        <w:tc>
          <w:tcPr>
            <w:tcW w:type="dxa" w:w="36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Fields required by law that must always appear on the public QR page.</w:t>
            </w:r>
          </w:p>
        </w:tc>
        <w:tc>
          <w:tcPr>
            <w:tcW w:type="dxa" w:w="3619"/>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color w:val="222222"/>
                <w:sz w:val="18"/>
                <w:szCs w:val="18"/>
              </w:rPr>
              <w:t xml:space="preserve">Product name</w:t>
            </w:r>
          </w:p>
          <w:p>
            <w:pPr>
              <w:pStyle w:val="ListParagraph"/>
              <w:numPr>
                <w:ilvl w:val="0"/>
                <w:numId w:val="2"/>
              </w:numPr>
              <w:spacing w:after="30" w:before="30"/>
            </w:pPr>
            <w:r>
              <w:rPr>
                <w:rFonts w:ascii="Arial" w:cs="Arial" w:eastAsia="Arial" w:hAnsi="Arial"/>
                <w:color w:val="222222"/>
                <w:sz w:val="18"/>
                <w:szCs w:val="18"/>
              </w:rPr>
              <w:t xml:space="preserve">Barcode (EAN/GTIN)</w:t>
            </w:r>
          </w:p>
          <w:p>
            <w:pPr>
              <w:pStyle w:val="ListParagraph"/>
              <w:numPr>
                <w:ilvl w:val="0"/>
                <w:numId w:val="2"/>
              </w:numPr>
              <w:spacing w:after="30" w:before="30"/>
            </w:pPr>
            <w:r>
              <w:rPr>
                <w:rFonts w:ascii="Arial" w:cs="Arial" w:eastAsia="Arial" w:hAnsi="Arial"/>
                <w:color w:val="222222"/>
                <w:sz w:val="18"/>
                <w:szCs w:val="18"/>
              </w:rPr>
              <w:t xml:space="preserve">GS1 number</w:t>
            </w:r>
          </w:p>
          <w:p>
            <w:pPr>
              <w:pStyle w:val="ListParagraph"/>
              <w:numPr>
                <w:ilvl w:val="0"/>
                <w:numId w:val="2"/>
              </w:numPr>
              <w:spacing w:after="30" w:before="30"/>
            </w:pPr>
            <w:r>
              <w:rPr>
                <w:rFonts w:ascii="Arial" w:cs="Arial" w:eastAsia="Arial" w:hAnsi="Arial"/>
                <w:color w:val="222222"/>
                <w:sz w:val="18"/>
                <w:szCs w:val="18"/>
              </w:rPr>
              <w:t xml:space="preserve">[Other fields as defined by applicable legislation]</w:t>
            </w:r>
          </w:p>
        </w:tc>
      </w:tr>
      <w:tr>
        <w:tc>
          <w:tcPr>
            <w:tcW w:type="dxa" w:w="2400"/>
            <w:gridSpan w:val="1"/>
            <w:tcBorders>
              <w:top w:val="single" w:color="CCCCCC" w:sz="1"/>
              <w:left w:val="single" w:color="CCCCCC" w:sz="1"/>
              <w:bottom w:val="single" w:color="CCCCCC" w:sz="1"/>
              <w:right w:val="single" w:color="CCCCCC" w:sz="1"/>
            </w:tcBorders>
            <w:shd w:fill="FAF0EB" w:val="clear"/>
            <w:tcMar>
              <w:top w:type="dxa" w:w="80"/>
              <w:left w:type="dxa" w:w="120"/>
              <w:bottom w:type="dxa" w:w="80"/>
              <w:right w:type="dxa" w:w="120"/>
            </w:tcMar>
            <w:vAlign w:val="center"/>
          </w:tcPr>
          <w:p>
            <w:pPr>
              <w:jc w:val="left"/>
            </w:pPr>
            <w:r>
              <w:rPr>
                <w:rFonts w:ascii="Arial" w:cs="Arial" w:eastAsia="Arial" w:hAnsi="Arial"/>
                <w:b/>
                <w:bCs/>
                <w:color w:val="B5430E"/>
                <w:sz w:val="18"/>
                <w:szCs w:val="18"/>
              </w:rPr>
              <w:t xml:space="preserve">ERP link</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Internal QR data may include references to ERP records (order numbers, invoices, delivery notes).</w:t>
            </w:r>
          </w:p>
        </w:tc>
        <w:tc>
          <w:tcPr>
            <w:tcW w:type="dxa" w:w="36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Defined per customer by SuperAdmin. Not displayed externally.</w:t>
            </w:r>
          </w:p>
        </w:tc>
      </w:tr>
    </w:tbl>
    <w:p>
      <w:pPr>
        <w:spacing w:after="0" w:before="200"/>
      </w:pPr>
      <w:r>
        <w:t xml:space="preserve"/>
      </w:r>
    </w:p>
    <w:p>
      <w:pPr>
        <w:spacing w:after="120" w:before="320"/>
      </w:pPr>
      <w:r>
        <w:rPr>
          <w:rFonts w:ascii="Arial" w:cs="Arial" w:eastAsia="Arial" w:hAnsi="Arial"/>
          <w:b/>
          <w:bCs/>
          <w:color w:val="1A4F9F"/>
          <w:sz w:val="26"/>
          <w:szCs w:val="26"/>
        </w:rPr>
        <w:t xml:space="preserve">8. UX Guided Wizard — Creating a Process (corrected step order)</w:t>
      </w:r>
    </w:p>
    <w:p>
      <w:pPr>
        <w:spacing w:after="60" w:before="60"/>
      </w:pPr>
      <w:r>
        <w:rPr>
          <w:rFonts w:ascii="Arial" w:cs="Arial" w:eastAsia="Arial" w:hAnsi="Arial"/>
          <w:b w:val="false"/>
          <w:bCs w:val="false"/>
          <w:color w:val="222222"/>
          <w:sz w:val="20"/>
          <w:szCs w:val="20"/>
        </w:rPr>
        <w:t xml:space="preserve">Wizard-style: yes/no questions, progressive disclosure, no blank forms. Step 1 and Step 2 from v2 are INVERTED — material selection comes before address confirmation.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
        <w:gridCol w:w="2400"/>
        <w:gridCol w:w="3798"/>
        <w:gridCol w:w="3100"/>
      </w:tblGrid>
      <w:tr>
        <w:trPr>
          <w:tblHeader/>
        </w:trPr>
        <w:tc>
          <w:tcPr>
            <w:tcW w:type="dxa" w:w="34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 / Prompt</w:t>
            </w:r>
          </w:p>
        </w:tc>
        <w:tc>
          <w:tcPr>
            <w:tcW w:type="dxa" w:w="3798"/>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c>
          <w:tcPr>
            <w:tcW w:type="dxa" w:w="31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UX note</w:t>
            </w:r>
          </w:p>
        </w:tc>
      </w:tr>
      <w:tr>
        <w:tc>
          <w:tcPr>
            <w:tcW w:type="dxa" w:w="34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1</w:t>
            </w:r>
          </w:p>
        </w:tc>
        <w:tc>
          <w:tcPr>
            <w:tcW w:type="dxa" w:w="24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Which material do you want to work with?</w:t>
            </w:r>
          </w:p>
        </w:tc>
        <w:tc>
          <w:tcPr>
            <w:tcW w:type="dxa" w:w="379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User selects material from the material library. Packing item, unit, batch, and lot auto-fill from stock entry.</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Searchable dropdown. Show batch/lot as sub-field once material is selected.</w:t>
            </w:r>
          </w:p>
        </w:tc>
      </w:tr>
      <w:tr>
        <w:tc>
          <w:tcPr>
            <w:tcW w:type="dxa" w:w="34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2</w:t>
            </w:r>
          </w:p>
        </w:tc>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Where is this material currently located?</w:t>
            </w:r>
          </w:p>
        </w:tc>
        <w:tc>
          <w:tcPr>
            <w:tcW w:type="dxa" w:w="379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User confirms or selects the FROM location. Last recorded location is pre-proposed.</w:t>
            </w:r>
          </w:p>
        </w:tc>
        <w:tc>
          <w:tcPr>
            <w:tcW w:type="dxa" w:w="31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Show address → building → floor → room hierarchy. Pre-fill from last known location.</w:t>
            </w:r>
          </w:p>
        </w:tc>
      </w:tr>
      <w:tr>
        <w:tc>
          <w:tcPr>
            <w:tcW w:type="dxa" w:w="34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3</w:t>
            </w:r>
          </w:p>
        </w:tc>
        <w:tc>
          <w:tcPr>
            <w:tcW w:type="dxa" w:w="24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How much do you want to use?</w:t>
            </w:r>
          </w:p>
        </w:tc>
        <w:tc>
          <w:tcPr>
            <w:tcW w:type="dxa" w:w="379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User enters quantity. Packing unit and UoM pre-filled. No automatic stock deduction.</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Show unit label next to input (e.g. '__ kg'). Display batch quantity as reference.</w:t>
            </w:r>
          </w:p>
        </w:tc>
      </w:tr>
      <w:tr>
        <w:tc>
          <w:tcPr>
            <w:tcW w:type="dxa" w:w="34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4</w:t>
            </w:r>
          </w:p>
        </w:tc>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Which action do you want to add?</w:t>
            </w:r>
          </w:p>
        </w:tc>
        <w:tc>
          <w:tcPr>
            <w:tcW w:type="dxa" w:w="3798"/>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20"/>
            </w:tcMar>
          </w:tcPr>
          <w:p>
            <w:pPr>
              <w:spacing w:after="30" w:before="0"/>
            </w:pPr>
            <w:r>
              <w:rPr>
                <w:rFonts w:ascii="Arial" w:cs="Arial" w:eastAsia="Arial" w:hAnsi="Arial"/>
                <w:color w:val="222222"/>
                <w:sz w:val="18"/>
                <w:szCs w:val="18"/>
              </w:rPr>
              <w:t xml:space="preserve">User picks an action type from the Action Library. The form then expands sub-menus according to the action type:</w:t>
            </w:r>
          </w:p>
          <w:p>
            <w:pPr>
              <w:pStyle w:val="ListParagraph"/>
              <w:numPr>
                <w:ilvl w:val="0"/>
                <w:numId w:val="2"/>
              </w:numPr>
              <w:spacing w:after="10" w:before="20"/>
            </w:pPr>
            <w:r>
              <w:rPr>
                <w:rFonts w:ascii="Arial" w:cs="Arial" w:eastAsia="Arial" w:hAnsi="Arial"/>
                <w:color w:val="666666"/>
                <w:sz w:val="18"/>
                <w:szCs w:val="18"/>
              </w:rPr>
              <w:t xml:space="preserve">Movement action → show From / To location fields</w:t>
            </w:r>
          </w:p>
          <w:p>
            <w:pPr>
              <w:pStyle w:val="ListParagraph"/>
              <w:numPr>
                <w:ilvl w:val="0"/>
                <w:numId w:val="2"/>
              </w:numPr>
              <w:spacing w:after="10" w:before="10"/>
            </w:pPr>
            <w:r>
              <w:rPr>
                <w:rFonts w:ascii="Arial" w:cs="Arial" w:eastAsia="Arial" w:hAnsi="Arial"/>
                <w:color w:val="666666"/>
                <w:sz w:val="18"/>
                <w:szCs w:val="18"/>
              </w:rPr>
              <w:t xml:space="preserve">Transformation action → show Output product field + is_semi_finished toggle</w:t>
            </w:r>
          </w:p>
          <w:p>
            <w:pPr>
              <w:pStyle w:val="ListParagraph"/>
              <w:numPr>
                <w:ilvl w:val="0"/>
                <w:numId w:val="2"/>
              </w:numPr>
              <w:spacing w:after="10" w:before="10"/>
            </w:pPr>
            <w:r>
              <w:rPr>
                <w:rFonts w:ascii="Arial" w:cs="Arial" w:eastAsia="Arial" w:hAnsi="Arial"/>
                <w:color w:val="666666"/>
                <w:sz w:val="18"/>
                <w:szCs w:val="18"/>
              </w:rPr>
              <w:t xml:space="preserve">Quality action → show Result field (pass/fail) + notes</w:t>
            </w:r>
          </w:p>
          <w:p>
            <w:pPr>
              <w:pStyle w:val="ListParagraph"/>
              <w:numPr>
                <w:ilvl w:val="0"/>
                <w:numId w:val="2"/>
              </w:numPr>
              <w:spacing w:after="0" w:before="10"/>
            </w:pPr>
            <w:r>
              <w:rPr>
                <w:rFonts w:ascii="Arial" w:cs="Arial" w:eastAsia="Arial" w:hAnsi="Arial"/>
                <w:color w:val="666666"/>
                <w:sz w:val="18"/>
                <w:szCs w:val="18"/>
              </w:rPr>
              <w:t xml:space="preserve">Custom parameters defined by SuperAdmin for this action type</w:t>
            </w:r>
          </w:p>
        </w:tc>
        <w:tc>
          <w:tcPr>
            <w:tcW w:type="dxa" w:w="31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Progressive disclosure: only show sub-fields relevant to the selected action type. This is the key UX improvement from v2.</w:t>
            </w:r>
          </w:p>
        </w:tc>
      </w:tr>
      <w:tr>
        <w:tc>
          <w:tcPr>
            <w:tcW w:type="dxa" w:w="34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5</w:t>
            </w:r>
          </w:p>
        </w:tc>
        <w:tc>
          <w:tcPr>
            <w:tcW w:type="dxa" w:w="24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Who performed this action?</w:t>
            </w:r>
          </w:p>
        </w:tc>
        <w:tc>
          <w:tcPr>
            <w:tcW w:type="dxa" w:w="379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User selects one or more operators from the org user list. Date/time auto-filled from system clock. User can edit or remove date/time.</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Multi-select user picker. Date/time fields side-by-side. Show 'remove' option for date/time.</w:t>
            </w:r>
          </w:p>
        </w:tc>
      </w:tr>
      <w:tr>
        <w:tc>
          <w:tcPr>
            <w:tcW w:type="dxa" w:w="34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5b</w:t>
            </w:r>
          </w:p>
        </w:tc>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Do you want to attach a photo or document?</w:t>
            </w:r>
          </w:p>
        </w:tc>
        <w:tc>
          <w:tcPr>
            <w:tcW w:type="dxa" w:w="379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Optional attachment upload for this action.</w:t>
            </w:r>
          </w:p>
        </w:tc>
        <w:tc>
          <w:tcPr>
            <w:tcW w:type="dxa" w:w="31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Max 2 MB. Show file size limit prominently. Accept JPG, PNG, PDF.</w:t>
            </w:r>
          </w:p>
        </w:tc>
      </w:tr>
      <w:tr>
        <w:tc>
          <w:tcPr>
            <w:tcW w:type="dxa" w:w="34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6</w:t>
            </w:r>
          </w:p>
        </w:tc>
        <w:tc>
          <w:tcPr>
            <w:tcW w:type="dxa" w:w="24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Do you want to add another action?</w:t>
            </w:r>
          </w:p>
        </w:tc>
        <w:tc>
          <w:tcPr>
            <w:tcW w:type="dxa" w:w="379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Loop back to step 4. Show running summary list of actions added so far with reorder handles.</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Allow drag-to-reorder. Show action count. Clear 'Done' button.</w:t>
            </w:r>
          </w:p>
        </w:tc>
      </w:tr>
      <w:tr>
        <w:tc>
          <w:tcPr>
            <w:tcW w:type="dxa" w:w="34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7</w:t>
            </w:r>
          </w:p>
        </w:tc>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Where is the material/product going after this process?</w:t>
            </w:r>
          </w:p>
        </w:tc>
        <w:tc>
          <w:tcPr>
            <w:tcW w:type="dxa" w:w="3798"/>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User selects TO location from the Locations library (My Company → Locations). TO = FROM is valid. If not set, system defaults TO = FROM.</w:t>
            </w:r>
          </w:p>
        </w:tc>
        <w:tc>
          <w:tcPr>
            <w:tcW w:type="dxa" w:w="31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Required field — always has a value (even if same as FROM). If final process: label as 'Final destination'. If interim: label as 'Will auto-populate as next process origin'.</w:t>
            </w:r>
          </w:p>
        </w:tc>
      </w:tr>
      <w:tr>
        <w:tc>
          <w:tcPr>
            <w:tcW w:type="dxa" w:w="34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4F9F"/>
                <w:sz w:val="18"/>
                <w:szCs w:val="18"/>
              </w:rPr>
              <w:t xml:space="preserve">8</w:t>
            </w:r>
          </w:p>
        </w:tc>
        <w:tc>
          <w:tcPr>
            <w:tcW w:type="dxa" w:w="24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Is this a semi-finished or final product?</w:t>
            </w:r>
          </w:p>
        </w:tc>
        <w:tc>
          <w:tcPr>
            <w:tcW w:type="dxa" w:w="379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User marks the output. If semi-finished: prompt 'Ship to customer now?'. If yes → issue QR code immediately and lock.</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Show only on last action of a process. Binary toggle. Make QR consequence very clear to the user.</w:t>
            </w:r>
          </w:p>
        </w:tc>
      </w:tr>
    </w:tbl>
    <w:p>
      <w:pPr>
        <w:spacing w:after="0" w:before="200"/>
      </w:pPr>
      <w:r>
        <w:t xml:space="preserve"/>
      </w:r>
    </w:p>
    <w:p>
      <w:pPr>
        <w:spacing w:after="120" w:before="320"/>
      </w:pPr>
      <w:r>
        <w:rPr>
          <w:rFonts w:ascii="Arial" w:cs="Arial" w:eastAsia="Arial" w:hAnsi="Arial"/>
          <w:b/>
          <w:bCs/>
          <w:color w:val="7A5C00"/>
          <w:sz w:val="26"/>
          <w:szCs w:val="26"/>
        </w:rPr>
        <w:t xml:space="preserve">9. Settings Module (Super Admin only)</w:t>
      </w:r>
    </w:p>
    <w:p>
      <w:pPr>
        <w:spacing w:after="60" w:before="60"/>
      </w:pPr>
      <w:r>
        <w:rPr>
          <w:rFonts w:ascii="Arial" w:cs="Arial" w:eastAsia="Arial" w:hAnsi="Arial"/>
          <w:b w:val="false"/>
          <w:bCs w:val="false"/>
          <w:color w:val="222222"/>
          <w:sz w:val="20"/>
          <w:szCs w:val="20"/>
        </w:rPr>
        <w:t xml:space="preserve">All settings are accessed under Super Admin in the existing app structure. The left-sidebar 'Processes' view remains read-only for non-admin users.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Screen / menu path</w:t>
            </w:r>
          </w:p>
        </w:tc>
        <w:tc>
          <w:tcPr>
            <w:tcW w:type="dxa" w:w="33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admin does</w:t>
            </w:r>
          </w:p>
        </w:tc>
        <w:tc>
          <w:tcPr>
            <w:tcW w:type="dxa" w:w="3319"/>
            <w:gridSpan w:val="1"/>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constraints</w:t>
            </w:r>
          </w:p>
        </w:tc>
      </w:tr>
      <w:tr>
        <w:tc>
          <w:tcPr>
            <w:tcW w:type="dxa" w:w="30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Super Admin → Processes</w:t>
            </w:r>
          </w:p>
        </w:tc>
        <w:tc>
          <w:tcPr>
            <w:tcW w:type="dxa" w:w="33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Create, edit, reorder, and delete processes. Configure ordered action lists per process.</w:t>
            </w:r>
          </w:p>
        </w:tc>
        <w:tc>
          <w:tcPr>
            <w:tcW w:type="dxa" w:w="33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PROCESS_START and PROCESS_END are pinned. Cannot delete a process that has active product records.</w:t>
            </w:r>
          </w:p>
        </w:tc>
      </w:tr>
      <w:tr>
        <w:tc>
          <w:tcPr>
            <w:tcW w:type="dxa" w:w="3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Super Admin → Processes → Action Library</w:t>
            </w:r>
          </w:p>
        </w:tc>
        <w:tc>
          <w:tcPr>
            <w:tcW w:type="dxa" w:w="33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Manage action catalogue: add custom types, rename defaults, define custom parameter fields per action type, deactivate unused ones.</w:t>
            </w:r>
          </w:p>
        </w:tc>
        <w:tc>
          <w:tcPr>
            <w:tcW w:type="dxa" w:w="33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Default actions are seeded — not hardcoded. Control actions (PROCESS_START/END) are system-only and cannot be edited.</w:t>
            </w:r>
          </w:p>
        </w:tc>
      </w:tr>
      <w:tr>
        <w:tc>
          <w:tcPr>
            <w:tcW w:type="dxa" w:w="30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Super Admin → My Company → Locations</w:t>
            </w:r>
          </w:p>
        </w:tc>
        <w:tc>
          <w:tcPr>
            <w:tcW w:type="dxa" w:w="33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Create, edit, deactivate named locations. Each: address, building, floor, room. Link storage requirement from My Variables.</w:t>
            </w:r>
          </w:p>
        </w:tc>
        <w:tc>
          <w:tcPr>
            <w:tcW w:type="dxa" w:w="33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Locations referenced by ID. Deactivating preserves historical records. No 'type' label (no Origin/Interim/Final).</w:t>
            </w:r>
          </w:p>
        </w:tc>
      </w:tr>
      <w:tr>
        <w:tc>
          <w:tcPr>
            <w:tcW w:type="dxa" w:w="3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Super Admin → My Variables → Units Management</w:t>
            </w:r>
          </w:p>
        </w:tc>
        <w:tc>
          <w:tcPr>
            <w:tcW w:type="dxa" w:w="33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Define and manage units of measure used across material and packing fields.</w:t>
            </w:r>
          </w:p>
        </w:tc>
        <w:tc>
          <w:tcPr>
            <w:tcW w:type="dxa" w:w="33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Used by packing item fields throughout. Customer-scoped.</w:t>
            </w:r>
          </w:p>
        </w:tc>
      </w:tr>
      <w:tr>
        <w:tc>
          <w:tcPr>
            <w:tcW w:type="dxa" w:w="30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Super Admin → My Variables → Storage Requirements</w:t>
            </w:r>
          </w:p>
        </w:tc>
        <w:tc>
          <w:tcPr>
            <w:tcW w:type="dxa" w:w="33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Define storage condition tags linked to rooms (Dry, Humid, Fridge +3°C, Freezer -18°C, etc.).</w:t>
            </w:r>
          </w:p>
        </w:tc>
        <w:tc>
          <w:tcPr>
            <w:tcW w:type="dxa" w:w="331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Tags are assigned to rooms in the Locations module. Not to materials directly.</w:t>
            </w:r>
          </w:p>
        </w:tc>
      </w:tr>
      <w:tr>
        <w:tc>
          <w:tcPr>
            <w:tcW w:type="dxa" w:w="3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7A5C00"/>
                <w:sz w:val="18"/>
                <w:szCs w:val="18"/>
              </w:rPr>
              <w:t xml:space="preserve">Super Admin → QR Code Settings</w:t>
            </w:r>
          </w:p>
        </w:tc>
        <w:tc>
          <w:tcPr>
            <w:tcW w:type="dxa" w:w="33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Define the public URL for external scans. Select which fields appear externally vs internally. Configure ERP-linked fields for internal view.</w:t>
            </w:r>
          </w:p>
        </w:tc>
        <w:tc>
          <w:tcPr>
            <w:tcW w:type="dxa" w:w="3319"/>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Public fields must include all legally required fields. Legal field list to be reviewed per applicable legislation.</w:t>
            </w:r>
          </w:p>
        </w:tc>
      </w:tr>
    </w:tbl>
    <w:p>
      <w:pPr>
        <w:spacing w:after="0" w:before="200"/>
      </w:pPr>
      <w:r>
        <w:t xml:space="preserve"/>
      </w:r>
    </w:p>
    <w:p>
      <w:pPr>
        <w:spacing w:after="120" w:before="320"/>
      </w:pPr>
      <w:r>
        <w:rPr>
          <w:rFonts w:ascii="Arial" w:cs="Arial" w:eastAsia="Arial" w:hAnsi="Arial"/>
          <w:b/>
          <w:bCs/>
          <w:color w:val="4A3F8F"/>
          <w:sz w:val="26"/>
          <w:szCs w:val="26"/>
        </w:rPr>
        <w:t xml:space="preserve">10. Tempo Briefing Notes — v3</w:t>
      </w:r>
    </w:p>
    <w:p>
      <w:pPr>
        <w:spacing w:after="60" w:before="60"/>
      </w:pPr>
      <w:r>
        <w:rPr>
          <w:rFonts w:ascii="Arial" w:cs="Arial" w:eastAsia="Arial" w:hAnsi="Arial"/>
          <w:b w:val="false"/>
          <w:bCs w:val="false"/>
          <w:color w:val="222222"/>
          <w:sz w:val="20"/>
          <w:szCs w:val="20"/>
        </w:rPr>
        <w:t xml:space="preserve">These are the precise instructions to give Tempo. Copy-paste ready. Organised by priority.</w:t>
      </w:r>
    </w:p>
    <w:p>
      <w:pPr>
        <w:spacing w:after="0" w:before="120"/>
      </w:pPr>
      <w:r>
        <w:t xml:space="preserve"/>
      </w:r>
    </w:p>
    <w:p>
      <w:pPr>
        <w:spacing w:after="60" w:before="60"/>
      </w:pPr>
      <w:r>
        <w:rPr>
          <w:rFonts w:ascii="Arial" w:cs="Arial" w:eastAsia="Arial" w:hAnsi="Arial"/>
          <w:b/>
          <w:bCs/>
          <w:color w:val="4A3F8F"/>
          <w:sz w:val="20"/>
          <w:szCs w:val="20"/>
        </w:rPr>
        <w:t xml:space="preserve">── STRUCTURE &amp; MENUS ──</w:t>
      </w:r>
    </w:p>
    <w:p>
      <w:pPr>
        <w:pStyle w:val="ListParagraph"/>
        <w:numPr>
          <w:ilvl w:val="0"/>
          <w:numId w:val="2"/>
        </w:numPr>
        <w:spacing w:after="40" w:before="40"/>
      </w:pPr>
      <w:r>
        <w:rPr>
          <w:rFonts w:ascii="Arial" w:cs="Arial" w:eastAsia="Arial" w:hAnsi="Arial"/>
          <w:b/>
          <w:bCs/>
          <w:color w:val="222222"/>
          <w:sz w:val="20"/>
          <w:szCs w:val="20"/>
        </w:rPr>
        <w:t xml:space="preserve">Respect the existing TraceVerified Client Portal menu structure. Do NOT rename or reorganise menus. Super Admin → My Company → Locations / Processes / My Variables are the configuration entry points.</w:t>
      </w:r>
    </w:p>
    <w:p>
      <w:pPr>
        <w:pStyle w:val="ListParagraph"/>
        <w:numPr>
          <w:ilvl w:val="0"/>
          <w:numId w:val="2"/>
        </w:numPr>
        <w:spacing w:after="40" w:before="40"/>
      </w:pPr>
      <w:r>
        <w:rPr>
          <w:rFonts w:ascii="Arial" w:cs="Arial" w:eastAsia="Arial" w:hAnsi="Arial"/>
          <w:b/>
          <w:bCs/>
          <w:color w:val="222222"/>
          <w:sz w:val="20"/>
          <w:szCs w:val="20"/>
        </w:rPr>
        <w:t xml:space="preserve">The left-sidebar 'Processes' view (under View → Processes) is READ-ONLY for non-admin users. It is a dashboard/consultation view only. No edit controls should appear there.</w:t>
      </w:r>
    </w:p>
    <w:p>
      <w:pPr>
        <w:pStyle w:val="ListParagraph"/>
        <w:numPr>
          <w:ilvl w:val="0"/>
          <w:numId w:val="2"/>
        </w:numPr>
        <w:spacing w:after="40" w:before="40"/>
      </w:pPr>
      <w:r>
        <w:rPr>
          <w:rFonts w:ascii="Arial" w:cs="Arial" w:eastAsia="Arial" w:hAnsi="Arial"/>
          <w:b w:val="false"/>
          <w:bCs w:val="false"/>
          <w:color w:val="222222"/>
          <w:sz w:val="20"/>
          <w:szCs w:val="20"/>
        </w:rPr>
        <w:t xml:space="preserve">All process configuration happens exclusively under Super Admin → Processes.</w:t>
      </w:r>
    </w:p>
    <w:p>
      <w:pPr>
        <w:spacing w:after="0" w:before="80"/>
      </w:pPr>
      <w:r>
        <w:t xml:space="preserve"/>
      </w:r>
    </w:p>
    <w:p>
      <w:pPr>
        <w:spacing w:after="60" w:before="60"/>
      </w:pPr>
      <w:r>
        <w:rPr>
          <w:rFonts w:ascii="Arial" w:cs="Arial" w:eastAsia="Arial" w:hAnsi="Arial"/>
          <w:b/>
          <w:bCs/>
          <w:color w:val="1A4F9F"/>
          <w:sz w:val="20"/>
          <w:szCs w:val="20"/>
        </w:rPr>
        <w:t xml:space="preserve">── LOCATION MODEL ──</w:t>
      </w:r>
    </w:p>
    <w:p>
      <w:pPr>
        <w:pStyle w:val="ListParagraph"/>
        <w:numPr>
          <w:ilvl w:val="0"/>
          <w:numId w:val="2"/>
        </w:numPr>
        <w:spacing w:after="40" w:before="40"/>
      </w:pPr>
      <w:r>
        <w:rPr>
          <w:rFonts w:ascii="Arial" w:cs="Arial" w:eastAsia="Arial" w:hAnsi="Arial"/>
          <w:b/>
          <w:bCs/>
          <w:color w:val="222222"/>
          <w:sz w:val="20"/>
          <w:szCs w:val="20"/>
        </w:rPr>
        <w:t xml:space="preserve">Locations have NO type category (remove Origin / Interim / Final). A location is a location. 4-level hierarchy: Address → Building → Floor → Room.</w:t>
      </w:r>
    </w:p>
    <w:p>
      <w:pPr>
        <w:pStyle w:val="ListParagraph"/>
        <w:numPr>
          <w:ilvl w:val="0"/>
          <w:numId w:val="2"/>
        </w:numPr>
        <w:spacing w:after="40" w:before="40"/>
      </w:pPr>
      <w:r>
        <w:rPr>
          <w:rFonts w:ascii="Arial" w:cs="Arial" w:eastAsia="Arial" w:hAnsi="Arial"/>
          <w:b w:val="false"/>
          <w:bCs w:val="false"/>
          <w:color w:val="222222"/>
          <w:sz w:val="20"/>
          <w:szCs w:val="20"/>
        </w:rPr>
        <w:t xml:space="preserve">Each Room can have a Storage Requirement tag from My Variables (Dry, Humid, Ambient, Fridge +3°C, Freezer -18°C, custom). This is assigned to the room — not to the material.</w:t>
      </w:r>
    </w:p>
    <w:p>
      <w:pPr>
        <w:pStyle w:val="ListParagraph"/>
        <w:numPr>
          <w:ilvl w:val="0"/>
          <w:numId w:val="2"/>
        </w:numPr>
        <w:spacing w:after="40" w:before="40"/>
      </w:pPr>
      <w:r>
        <w:rPr>
          <w:rFonts w:ascii="Arial" w:cs="Arial" w:eastAsia="Arial" w:hAnsi="Arial"/>
          <w:b/>
          <w:bCs/>
          <w:color w:val="222222"/>
          <w:sz w:val="20"/>
          <w:szCs w:val="20"/>
        </w:rPr>
        <w:t xml:space="preserve">Every material and product ALWAYS has a current location. It cannot exist in the system without one.</w:t>
      </w:r>
    </w:p>
    <w:p>
      <w:pPr>
        <w:pStyle w:val="ListParagraph"/>
        <w:numPr>
          <w:ilvl w:val="0"/>
          <w:numId w:val="2"/>
        </w:numPr>
        <w:spacing w:after="40" w:before="40"/>
      </w:pPr>
      <w:r>
        <w:rPr>
          <w:rFonts w:ascii="Arial" w:cs="Arial" w:eastAsia="Arial" w:hAnsi="Arial"/>
          <w:b/>
          <w:bCs/>
          <w:color w:val="222222"/>
          <w:sz w:val="20"/>
          <w:szCs w:val="20"/>
        </w:rPr>
        <w:t xml:space="preserve">Every action that involves movement MUST have a FROM and a TO. If TO is not specified by the user, default TO = FROM (item stays in place). Both must always hold a value.</w:t>
      </w:r>
    </w:p>
    <w:p>
      <w:pPr>
        <w:pStyle w:val="ListParagraph"/>
        <w:numPr>
          <w:ilvl w:val="0"/>
          <w:numId w:val="2"/>
        </w:numPr>
        <w:spacing w:after="40" w:before="40"/>
      </w:pPr>
      <w:r>
        <w:rPr>
          <w:rFonts w:ascii="Arial" w:cs="Arial" w:eastAsia="Arial" w:hAnsi="Arial"/>
          <w:b w:val="false"/>
          <w:bCs w:val="false"/>
          <w:color w:val="222222"/>
          <w:sz w:val="20"/>
          <w:szCs w:val="20"/>
        </w:rPr>
        <w:t xml:space="preserve">The last recorded location of a material is always pre-proposed as the FROM field. User confirms or changes.</w:t>
      </w:r>
    </w:p>
    <w:p>
      <w:pPr>
        <w:pStyle w:val="ListParagraph"/>
        <w:numPr>
          <w:ilvl w:val="0"/>
          <w:numId w:val="2"/>
        </w:numPr>
        <w:spacing w:after="40" w:before="40"/>
      </w:pPr>
      <w:r>
        <w:rPr>
          <w:rFonts w:ascii="Arial" w:cs="Arial" w:eastAsia="Arial" w:hAnsi="Arial"/>
          <w:b w:val="false"/>
          <w:bCs w:val="false"/>
          <w:color w:val="222222"/>
          <w:sz w:val="20"/>
          <w:szCs w:val="20"/>
        </w:rPr>
        <w:t xml:space="preserve">The TO location at the end of Process N is automatically pre-proposed as the FROM of Process N+1. User confirms.</w:t>
      </w:r>
    </w:p>
    <w:p>
      <w:pPr>
        <w:pStyle w:val="ListParagraph"/>
        <w:numPr>
          <w:ilvl w:val="0"/>
          <w:numId w:val="2"/>
        </w:numPr>
        <w:spacing w:after="40" w:before="40"/>
      </w:pPr>
      <w:r>
        <w:rPr>
          <w:rFonts w:ascii="Arial" w:cs="Arial" w:eastAsia="Arial" w:hAnsi="Arial"/>
          <w:b/>
          <w:bCs/>
          <w:color w:val="222222"/>
          <w:sz w:val="20"/>
          <w:szCs w:val="20"/>
        </w:rPr>
        <w:t xml:space="preserve">Storage Requirement validation: whenever a material or product is placed into or moved to a location (any move_in, move_out, put_in, transfer, or PROCESS_END with destination), the system must compare the material's Storage Requirement with the destination room's Storage Requirement. If they match → proceed silently. If they do NOT match → display a warning pop-up clearly stating the material's required condition (e.g. 'Fridge +3°C') and the actual condition of the selected location (e.g. 'Ambient'). The user can override and proceed, but must explicitly acknowledge the warning. This is enforced at the service layer, not only in the UI.</w:t>
      </w:r>
    </w:p>
    <w:p>
      <w:pPr>
        <w:spacing w:after="0" w:before="80"/>
      </w:pPr>
      <w:r>
        <w:t xml:space="preserve"/>
      </w:r>
    </w:p>
    <w:p>
      <w:pPr>
        <w:spacing w:after="60" w:before="60"/>
      </w:pPr>
      <w:r>
        <w:rPr>
          <w:rFonts w:ascii="Arial" w:cs="Arial" w:eastAsia="Arial" w:hAnsi="Arial"/>
          <w:b/>
          <w:bCs/>
          <w:color w:val="4A3F8F"/>
          <w:sz w:val="20"/>
          <w:szCs w:val="20"/>
        </w:rPr>
        <w:t xml:space="preserve">── MATERIAL &amp; STOCK ──</w:t>
      </w:r>
    </w:p>
    <w:p>
      <w:pPr>
        <w:pStyle w:val="ListParagraph"/>
        <w:numPr>
          <w:ilvl w:val="0"/>
          <w:numId w:val="2"/>
        </w:numPr>
        <w:spacing w:after="40" w:before="40"/>
      </w:pPr>
      <w:r>
        <w:rPr>
          <w:rFonts w:ascii="Arial" w:cs="Arial" w:eastAsia="Arial" w:hAnsi="Arial"/>
          <w:b/>
          <w:bCs/>
          <w:color w:val="222222"/>
          <w:sz w:val="20"/>
          <w:szCs w:val="20"/>
        </w:rPr>
        <w:t xml:space="preserve">The first process / first action is always 'receive' — importing the raw material from an external supplier into company stock. This sets the initial location.</w:t>
      </w:r>
    </w:p>
    <w:p>
      <w:pPr>
        <w:pStyle w:val="ListParagraph"/>
        <w:numPr>
          <w:ilvl w:val="0"/>
          <w:numId w:val="2"/>
        </w:numPr>
        <w:spacing w:after="40" w:before="40"/>
      </w:pPr>
      <w:r>
        <w:rPr>
          <w:rFonts w:ascii="Arial" w:cs="Arial" w:eastAsia="Arial" w:hAnsi="Arial"/>
          <w:b w:val="false"/>
          <w:bCs w:val="false"/>
          <w:color w:val="222222"/>
          <w:sz w:val="20"/>
          <w:szCs w:val="20"/>
        </w:rPr>
        <w:t xml:space="preserve">Material selection always captures: material, quantity, packing item (pre-filled from stock), unit of measure (pre-filled), batch number (required), lot number (required).</w:t>
      </w:r>
    </w:p>
    <w:p>
      <w:pPr>
        <w:pStyle w:val="ListParagraph"/>
        <w:numPr>
          <w:ilvl w:val="0"/>
          <w:numId w:val="2"/>
        </w:numPr>
        <w:spacing w:after="40" w:before="40"/>
      </w:pPr>
      <w:r>
        <w:rPr>
          <w:rFonts w:ascii="Arial" w:cs="Arial" w:eastAsia="Arial" w:hAnsi="Arial"/>
          <w:b w:val="false"/>
          <w:bCs w:val="false"/>
          <w:color w:val="222222"/>
          <w:sz w:val="20"/>
          <w:szCs w:val="20"/>
        </w:rPr>
        <w:t xml:space="preserve">No automatic stock deduction at process execution time. Quantity is manually confirmed by the user.</w:t>
      </w:r>
    </w:p>
    <w:p>
      <w:pPr>
        <w:pStyle w:val="ListParagraph"/>
        <w:numPr>
          <w:ilvl w:val="0"/>
          <w:numId w:val="2"/>
        </w:numPr>
        <w:spacing w:after="40" w:before="40"/>
      </w:pPr>
      <w:r>
        <w:rPr>
          <w:rFonts w:ascii="Arial" w:cs="Arial" w:eastAsia="Arial" w:hAnsi="Arial"/>
          <w:b/>
          <w:bCs/>
          <w:color w:val="222222"/>
          <w:sz w:val="20"/>
          <w:szCs w:val="20"/>
        </w:rPr>
        <w:t xml:space="preserve">Attachments (photo/document) are optional on both material import and individual actions. Max file size: 2 MB. Display this limit prominently in the UI at the upload control.</w:t>
      </w:r>
    </w:p>
    <w:p>
      <w:pPr>
        <w:spacing w:after="0" w:before="80"/>
      </w:pPr>
      <w:r>
        <w:t xml:space="preserve"/>
      </w:r>
    </w:p>
    <w:p>
      <w:pPr>
        <w:spacing w:after="60" w:before="60"/>
      </w:pPr>
      <w:r>
        <w:rPr>
          <w:rFonts w:ascii="Arial" w:cs="Arial" w:eastAsia="Arial" w:hAnsi="Arial"/>
          <w:b/>
          <w:bCs/>
          <w:color w:val="1A6B5A"/>
          <w:sz w:val="20"/>
          <w:szCs w:val="20"/>
        </w:rPr>
        <w:t xml:space="preserve">── PROCESS &amp; ACTION ENGINE ──</w:t>
      </w:r>
    </w:p>
    <w:p>
      <w:pPr>
        <w:pStyle w:val="ListParagraph"/>
        <w:numPr>
          <w:ilvl w:val="0"/>
          <w:numId w:val="2"/>
        </w:numPr>
        <w:spacing w:after="40" w:before="40"/>
      </w:pPr>
      <w:r>
        <w:rPr>
          <w:rFonts w:ascii="Arial" w:cs="Arial" w:eastAsia="Arial" w:hAnsi="Arial"/>
          <w:b/>
          <w:bCs/>
          <w:color w:val="222222"/>
          <w:sz w:val="20"/>
          <w:szCs w:val="20"/>
        </w:rPr>
        <w:t xml:space="preserve">Process atomicity: a process must be completed in one session. If abandoned, roll back all actions to PENDING. No 'save draft' or 'resume' state.</w:t>
      </w:r>
    </w:p>
    <w:p>
      <w:pPr>
        <w:pStyle w:val="ListParagraph"/>
        <w:numPr>
          <w:ilvl w:val="0"/>
          <w:numId w:val="2"/>
        </w:numPr>
        <w:spacing w:after="40" w:before="40"/>
      </w:pPr>
      <w:r>
        <w:rPr>
          <w:rFonts w:ascii="Arial" w:cs="Arial" w:eastAsia="Arial" w:hAnsi="Arial"/>
          <w:b w:val="false"/>
          <w:bCs w:val="false"/>
          <w:color w:val="222222"/>
          <w:sz w:val="20"/>
          <w:szCs w:val="20"/>
        </w:rPr>
        <w:t xml:space="preserve">State machine: Process and Action each have a status enum (PENDING, IN_PROGRESS, DONE, LOCKED). Generate transitions, not just CRUD.</w:t>
      </w:r>
    </w:p>
    <w:p>
      <w:pPr>
        <w:pStyle w:val="ListParagraph"/>
        <w:numPr>
          <w:ilvl w:val="0"/>
          <w:numId w:val="2"/>
        </w:numPr>
        <w:spacing w:after="40" w:before="40"/>
      </w:pPr>
      <w:r>
        <w:rPr>
          <w:rFonts w:ascii="Arial" w:cs="Arial" w:eastAsia="Arial" w:hAnsi="Arial"/>
          <w:b w:val="false"/>
          <w:bCs w:val="false"/>
          <w:color w:val="222222"/>
          <w:sz w:val="20"/>
          <w:szCs w:val="20"/>
        </w:rPr>
        <w:t xml:space="preserve">PROCESS_START is auto-triggered when the first action is created. PROCESS_END is user-triggered and closes the process.</w:t>
      </w:r>
    </w:p>
    <w:p>
      <w:pPr>
        <w:pStyle w:val="ListParagraph"/>
        <w:numPr>
          <w:ilvl w:val="0"/>
          <w:numId w:val="2"/>
        </w:numPr>
        <w:spacing w:after="40" w:before="40"/>
      </w:pPr>
      <w:r>
        <w:rPr>
          <w:rFonts w:ascii="Arial" w:cs="Arial" w:eastAsia="Arial" w:hAnsi="Arial"/>
          <w:b/>
          <w:bCs/>
          <w:color w:val="222222"/>
          <w:sz w:val="20"/>
          <w:szCs w:val="20"/>
        </w:rPr>
        <w:t xml:space="preserve">Action types are NOT hardcoded. All action types load from the customer's Action Library (Super Admin → Processes → Action Library). Seed the default catalogue on first install.</w:t>
      </w:r>
    </w:p>
    <w:p>
      <w:pPr>
        <w:pStyle w:val="ListParagraph"/>
        <w:numPr>
          <w:ilvl w:val="0"/>
          <w:numId w:val="2"/>
        </w:numPr>
        <w:spacing w:after="40" w:before="40"/>
      </w:pPr>
      <w:r>
        <w:rPr>
          <w:rFonts w:ascii="Arial" w:cs="Arial" w:eastAsia="Arial" w:hAnsi="Arial"/>
          <w:b/>
          <w:bCs/>
          <w:color w:val="222222"/>
          <w:sz w:val="20"/>
          <w:szCs w:val="20"/>
        </w:rPr>
        <w:t xml:space="preserve">Dynamic action form: when the user selects an action type, dynamically render sub-menus and fields relevant to that type (movement fields, transformation output, quality result, custom params). Use progressive disclosure — never show all fields at once.</w:t>
      </w:r>
    </w:p>
    <w:p>
      <w:pPr>
        <w:pStyle w:val="ListParagraph"/>
        <w:numPr>
          <w:ilvl w:val="0"/>
          <w:numId w:val="2"/>
        </w:numPr>
        <w:spacing w:after="40" w:before="40"/>
      </w:pPr>
      <w:r>
        <w:rPr>
          <w:rFonts w:ascii="Arial" w:cs="Arial" w:eastAsia="Arial" w:hAnsi="Arial"/>
          <w:b w:val="false"/>
          <w:bCs w:val="false"/>
          <w:color w:val="222222"/>
          <w:sz w:val="20"/>
          <w:szCs w:val="20"/>
        </w:rPr>
        <w:t xml:space="preserve">SuperAdmin can define custom parameter fields per action type in the Action Library (e.g. 'Temperature (°C)' for 'move_in'). These fields appear in the wizard form when that action type is selected.</w:t>
      </w:r>
    </w:p>
    <w:p>
      <w:pPr>
        <w:pStyle w:val="ListParagraph"/>
        <w:numPr>
          <w:ilvl w:val="0"/>
          <w:numId w:val="2"/>
        </w:numPr>
        <w:spacing w:after="40" w:before="40"/>
      </w:pPr>
      <w:r>
        <w:rPr>
          <w:rFonts w:ascii="Arial" w:cs="Arial" w:eastAsia="Arial" w:hAnsi="Arial"/>
          <w:b w:val="false"/>
          <w:bCs w:val="false"/>
          <w:color w:val="222222"/>
          <w:sz w:val="20"/>
          <w:szCs w:val="20"/>
        </w:rPr>
        <w:t xml:space="preserve">WHEN (date/time) is auto-filled from system clock. The user can edit or remove it. Duration is auto-calculated from start/end.</w:t>
      </w:r>
    </w:p>
    <w:p>
      <w:pPr>
        <w:pStyle w:val="ListParagraph"/>
        <w:numPr>
          <w:ilvl w:val="0"/>
          <w:numId w:val="2"/>
        </w:numPr>
        <w:spacing w:after="40" w:before="40"/>
      </w:pPr>
      <w:r>
        <w:rPr>
          <w:rFonts w:ascii="Arial" w:cs="Arial" w:eastAsia="Arial" w:hAnsi="Arial"/>
          <w:b w:val="false"/>
          <w:bCs w:val="false"/>
          <w:color w:val="222222"/>
          <w:sz w:val="20"/>
          <w:szCs w:val="20"/>
        </w:rPr>
        <w:t xml:space="preserve">WHO: one or more operators selected from the org user list per action. Not auto-captured. Multiple operators allowed.</w:t>
      </w:r>
    </w:p>
    <w:p>
      <w:pPr>
        <w:pStyle w:val="ListParagraph"/>
        <w:numPr>
          <w:ilvl w:val="0"/>
          <w:numId w:val="2"/>
        </w:numPr>
        <w:spacing w:after="40" w:before="40"/>
      </w:pPr>
      <w:r>
        <w:rPr>
          <w:rFonts w:ascii="Arial" w:cs="Arial" w:eastAsia="Arial" w:hAnsi="Arial"/>
          <w:b w:val="false"/>
          <w:bCs w:val="false"/>
          <w:color w:val="222222"/>
          <w:sz w:val="20"/>
          <w:szCs w:val="20"/>
        </w:rPr>
        <w:t xml:space="preserve">OUTPUT: if an action produces a new material or product, it must be explicitly linked. The output inherits the batch/lot traceability chain from the input. Set is_semi_finished boolean flag.</w:t>
      </w:r>
    </w:p>
    <w:p>
      <w:pPr>
        <w:spacing w:after="0" w:before="80"/>
      </w:pPr>
      <w:r>
        <w:t xml:space="preserve"/>
      </w:r>
    </w:p>
    <w:p>
      <w:pPr>
        <w:spacing w:after="60" w:before="60"/>
      </w:pPr>
      <w:r>
        <w:rPr>
          <w:rFonts w:ascii="Arial" w:cs="Arial" w:eastAsia="Arial" w:hAnsi="Arial"/>
          <w:b/>
          <w:bCs/>
          <w:color w:val="1A4F9F"/>
          <w:sz w:val="20"/>
          <w:szCs w:val="20"/>
        </w:rPr>
        <w:t xml:space="preserve">── UX WIZARD ──</w:t>
      </w:r>
    </w:p>
    <w:p>
      <w:pPr>
        <w:pStyle w:val="ListParagraph"/>
        <w:numPr>
          <w:ilvl w:val="0"/>
          <w:numId w:val="2"/>
        </w:numPr>
        <w:spacing w:after="40" w:before="40"/>
      </w:pPr>
      <w:r>
        <w:rPr>
          <w:rFonts w:ascii="Arial" w:cs="Arial" w:eastAsia="Arial" w:hAnsi="Arial"/>
          <w:b/>
          <w:bCs/>
          <w:color w:val="222222"/>
          <w:sz w:val="20"/>
          <w:szCs w:val="20"/>
        </w:rPr>
        <w:t xml:space="preserve">Process creation is a guided step-by-step wizard — NOT a single form. Use yes/no questions and progressive disclosure throughout.</w:t>
      </w:r>
    </w:p>
    <w:p>
      <w:pPr>
        <w:pStyle w:val="ListParagraph"/>
        <w:numPr>
          <w:ilvl w:val="0"/>
          <w:numId w:val="2"/>
        </w:numPr>
        <w:spacing w:after="40" w:before="40"/>
      </w:pPr>
      <w:r>
        <w:rPr>
          <w:rFonts w:ascii="Arial" w:cs="Arial" w:eastAsia="Arial" w:hAnsi="Arial"/>
          <w:b w:val="false"/>
          <w:bCs w:val="false"/>
          <w:color w:val="222222"/>
          <w:sz w:val="20"/>
          <w:szCs w:val="20"/>
        </w:rPr>
        <w:t xml:space="preserve">Wizard step order: (1) Select material → (2) Confirm FROM location → (3) Enter quantity → (4) Select action type + sub-fields → (5) Assign operators + date/time → (5b) Optional attachment → (6) Add another action? → (7) Set TO location → (8) Semi-finished or final?</w:t>
      </w:r>
    </w:p>
    <w:p>
      <w:pPr>
        <w:pStyle w:val="ListParagraph"/>
        <w:numPr>
          <w:ilvl w:val="0"/>
          <w:numId w:val="2"/>
        </w:numPr>
        <w:spacing w:after="40" w:before="40"/>
      </w:pPr>
      <w:r>
        <w:rPr>
          <w:rFonts w:ascii="Arial" w:cs="Arial" w:eastAsia="Arial" w:hAnsi="Arial"/>
          <w:b/>
          <w:bCs/>
          <w:color w:val="222222"/>
          <w:sz w:val="20"/>
          <w:szCs w:val="20"/>
        </w:rPr>
        <w:t xml:space="preserve">Step 4 must expand context-specific sub-menus based on action type selected. This is the most important UX improvement.</w:t>
      </w:r>
    </w:p>
    <w:p>
      <w:pPr>
        <w:spacing w:after="0" w:before="80"/>
      </w:pPr>
      <w:r>
        <w:t xml:space="preserve"/>
      </w:r>
    </w:p>
    <w:p>
      <w:pPr>
        <w:spacing w:after="60" w:before="60"/>
      </w:pPr>
      <w:r>
        <w:rPr>
          <w:rFonts w:ascii="Arial" w:cs="Arial" w:eastAsia="Arial" w:hAnsi="Arial"/>
          <w:b/>
          <w:bCs/>
          <w:color w:val="B5430E"/>
          <w:sz w:val="20"/>
          <w:szCs w:val="20"/>
        </w:rPr>
        <w:t xml:space="preserve">── QR CODE &amp; LOCKING ──</w:t>
      </w:r>
    </w:p>
    <w:p>
      <w:pPr>
        <w:pStyle w:val="ListParagraph"/>
        <w:numPr>
          <w:ilvl w:val="0"/>
          <w:numId w:val="2"/>
        </w:numPr>
        <w:spacing w:after="40" w:before="40"/>
      </w:pPr>
      <w:r>
        <w:rPr>
          <w:rFonts w:ascii="Arial" w:cs="Arial" w:eastAsia="Arial" w:hAnsi="Arial"/>
          <w:b/>
          <w:bCs/>
          <w:color w:val="222222"/>
          <w:sz w:val="20"/>
          <w:szCs w:val="20"/>
        </w:rPr>
        <w:t xml:space="preserve">QR code is issued at PROCESS_END of the final process, or when a semi-finished product is dispatched.</w:t>
      </w:r>
    </w:p>
    <w:p>
      <w:pPr>
        <w:pStyle w:val="ListParagraph"/>
        <w:numPr>
          <w:ilvl w:val="0"/>
          <w:numId w:val="2"/>
        </w:numPr>
        <w:spacing w:after="40" w:before="40"/>
      </w:pPr>
      <w:r>
        <w:rPr>
          <w:rFonts w:ascii="Arial" w:cs="Arial" w:eastAsia="Arial" w:hAnsi="Arial"/>
          <w:b/>
          <w:bCs/>
          <w:color w:val="222222"/>
          <w:sz w:val="20"/>
          <w:szCs w:val="20"/>
        </w:rPr>
        <w:t xml:space="preserve">QR code issuance LOCKS the product, all its actions, and all its process records as read-only at the API level. Enforce server-side — not a UI-only restriction.</w:t>
      </w:r>
    </w:p>
    <w:p>
      <w:pPr>
        <w:pStyle w:val="ListParagraph"/>
        <w:numPr>
          <w:ilvl w:val="0"/>
          <w:numId w:val="2"/>
        </w:numPr>
        <w:spacing w:after="40" w:before="40"/>
      </w:pPr>
      <w:r>
        <w:rPr>
          <w:rFonts w:ascii="Arial" w:cs="Arial" w:eastAsia="Arial" w:hAnsi="Arial"/>
          <w:b w:val="false"/>
          <w:bCs w:val="false"/>
          <w:color w:val="222222"/>
          <w:sz w:val="20"/>
          <w:szCs w:val="20"/>
        </w:rPr>
        <w:t xml:space="preserve">QR code public page must include all legally required fields (product name, barcode, GS1 number, and others per applicable law). SuperAdmin configures which additional fields appear externally vs. internally.</w:t>
      </w:r>
    </w:p>
    <w:p>
      <w:pPr>
        <w:pStyle w:val="ListParagraph"/>
        <w:numPr>
          <w:ilvl w:val="0"/>
          <w:numId w:val="2"/>
        </w:numPr>
        <w:spacing w:after="40" w:before="40"/>
      </w:pPr>
      <w:r>
        <w:rPr>
          <w:rFonts w:ascii="Arial" w:cs="Arial" w:eastAsia="Arial" w:hAnsi="Arial"/>
          <w:b w:val="false"/>
          <w:bCs w:val="false"/>
          <w:color w:val="222222"/>
          <w:sz w:val="20"/>
          <w:szCs w:val="20"/>
        </w:rPr>
        <w:t xml:space="preserve">SuperAdmin defines the public URL destination for external QR scans. Internal scans show extended traceability data including ERP-linked fields.</w:t>
      </w:r>
    </w:p>
    <w:p>
      <w:pPr>
        <w:spacing w:after="0" w:before="80"/>
      </w:pPr>
      <w:r>
        <w:t xml:space="preserve"/>
      </w:r>
    </w:p>
    <w:p>
      <w:pPr>
        <w:spacing w:after="60" w:before="60"/>
      </w:pPr>
      <w:r>
        <w:rPr>
          <w:rFonts w:ascii="Arial" w:cs="Arial" w:eastAsia="Arial" w:hAnsi="Arial"/>
          <w:b/>
          <w:bCs/>
          <w:color w:val="4A3F8F"/>
          <w:sz w:val="20"/>
          <w:szCs w:val="20"/>
        </w:rPr>
        <w:t xml:space="preserve">── CUSTOMER SCOPING ──</w:t>
      </w:r>
    </w:p>
    <w:p>
      <w:pPr>
        <w:pStyle w:val="ListParagraph"/>
        <w:numPr>
          <w:ilvl w:val="0"/>
          <w:numId w:val="2"/>
        </w:numPr>
        <w:spacing w:after="40" w:before="40"/>
      </w:pPr>
      <w:r>
        <w:rPr>
          <w:rFonts w:ascii="Arial" w:cs="Arial" w:eastAsia="Arial" w:hAnsi="Arial"/>
          <w:b/>
          <w:bCs/>
          <w:color w:val="222222"/>
          <w:sz w:val="20"/>
          <w:szCs w:val="20"/>
        </w:rPr>
        <w:t xml:space="preserve">Every DB query must filter by customer_id. Add this to every repository and service layer without exception.</w:t>
      </w:r>
    </w:p>
    <w:p>
      <w:pPr>
        <w:pStyle w:val="ListParagraph"/>
        <w:numPr>
          <w:ilvl w:val="0"/>
          <w:numId w:val="2"/>
        </w:numPr>
        <w:spacing w:after="40" w:before="40"/>
      </w:pPr>
      <w:r>
        <w:rPr>
          <w:rFonts w:ascii="Arial" w:cs="Arial" w:eastAsia="Arial" w:hAnsi="Arial"/>
          <w:b w:val="false"/>
          <w:bCs w:val="false"/>
          <w:color w:val="222222"/>
          <w:sz w:val="20"/>
          <w:szCs w:val="20"/>
        </w:rPr>
        <w:t xml:space="preserve">The entire Super Admin settings area is gated to SuperAdmin role only. Use the usePermissions hook. No settings controls should be visible to CustomerAdmin or CustomerUser.</w:t>
      </w:r>
    </w:p>
    <w:p>
      <w:pPr>
        <w:spacing w:after="0" w:before="160"/>
      </w:pPr>
      <w:r>
        <w:t xml:space="preserve"/>
      </w:r>
    </w:p>
    <w:p>
      <w:pPr>
        <w:spacing w:after="60" w:before="60"/>
      </w:pPr>
      <w:r>
        <w:rPr>
          <w:rFonts w:ascii="Arial" w:cs="Arial" w:eastAsia="Arial" w:hAnsi="Arial"/>
          <w:b w:val="false"/>
          <w:bCs w:val="false"/>
          <w:color w:val="666666"/>
          <w:sz w:val="20"/>
          <w:szCs w:val="20"/>
        </w:rPr>
        <w:t xml:space="preserve">— End of document · TraceChain Refit v3.1 · May 2026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2026-05-18T13:01:40.757Z</dcterms:created>
  <dcterms:modified xsi:type="dcterms:W3CDTF">2026-05-18T13:01:40.769Z</dcterms:modified>
</cp:coreProperties>
</file>

<file path=docProps/custom.xml><?xml version="1.0" encoding="utf-8"?>
<Properties xmlns="http://schemas.openxmlformats.org/officeDocument/2006/custom-properties" xmlns:vt="http://schemas.openxmlformats.org/officeDocument/2006/docPropsVTypes"/>
</file>