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2F2A0" w14:textId="35904C75" w:rsidR="009274E1" w:rsidRPr="00704B44" w:rsidRDefault="009274E1" w:rsidP="009274E1">
      <w:pPr>
        <w:pStyle w:val="Title"/>
        <w:rPr>
          <w:rFonts w:ascii="Arial" w:hAnsi="Arial" w:cs="Arial"/>
          <w:sz w:val="52"/>
          <w:szCs w:val="52"/>
        </w:rPr>
      </w:pPr>
      <w:bookmarkStart w:id="0" w:name="_Hlk218847893"/>
      <w:r w:rsidRPr="00704B44">
        <w:rPr>
          <w:rFonts w:ascii="Arial" w:hAnsi="Arial" w:cs="Arial"/>
          <w:sz w:val="52"/>
          <w:szCs w:val="52"/>
        </w:rPr>
        <w:t>AHP weighting calculator (pairwise comparison matrix, weights, consistency check) used in the EUCMDAF regulatory scoring.</w:t>
      </w:r>
    </w:p>
    <w:p w14:paraId="0DE1003A" w14:textId="68641BC1" w:rsidR="009274E1" w:rsidRPr="00704B44" w:rsidRDefault="009274E1" w:rsidP="009274E1">
      <w:pPr>
        <w:rPr>
          <w:rFonts w:ascii="Arial" w:hAnsi="Arial" w:cs="Arial"/>
          <w:sz w:val="22"/>
          <w:szCs w:val="22"/>
        </w:rPr>
      </w:pPr>
      <w:r w:rsidRPr="00704B44">
        <w:rPr>
          <w:rFonts w:ascii="Arial" w:hAnsi="Arial" w:cs="Arial"/>
          <w:b/>
          <w:bCs/>
          <w:sz w:val="22"/>
          <w:szCs w:val="22"/>
        </w:rPr>
        <w:t>Author:</w:t>
      </w:r>
      <w:r w:rsidRPr="00704B44">
        <w:rPr>
          <w:rFonts w:ascii="Arial" w:hAnsi="Arial" w:cs="Arial"/>
          <w:sz w:val="22"/>
          <w:szCs w:val="22"/>
        </w:rPr>
        <w:t xml:space="preserve"> Florian Petke</w:t>
      </w:r>
      <w:r w:rsidRPr="00704B44">
        <w:rPr>
          <w:rFonts w:ascii="Arial" w:hAnsi="Arial" w:cs="Arial"/>
          <w:sz w:val="22"/>
          <w:szCs w:val="22"/>
        </w:rPr>
        <w:t xml:space="preserve"> 2026</w:t>
      </w:r>
    </w:p>
    <w:tbl>
      <w:tblPr>
        <w:tblStyle w:val="TableGridLight"/>
        <w:tblW w:w="5000" w:type="pct"/>
        <w:tblLook w:val="04A0" w:firstRow="1" w:lastRow="0" w:firstColumn="1" w:lastColumn="0" w:noHBand="0" w:noVBand="1"/>
      </w:tblPr>
      <w:tblGrid>
        <w:gridCol w:w="1421"/>
        <w:gridCol w:w="932"/>
        <w:gridCol w:w="2884"/>
        <w:gridCol w:w="2763"/>
        <w:gridCol w:w="1736"/>
      </w:tblGrid>
      <w:tr w:rsidR="00A84E6C" w:rsidRPr="00704B44" w14:paraId="31BC2FF5" w14:textId="77777777" w:rsidTr="00704B44">
        <w:tc>
          <w:tcPr>
            <w:tcW w:w="730" w:type="pct"/>
            <w:hideMark/>
          </w:tcPr>
          <w:p w14:paraId="0BA5F394" w14:textId="22622DC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 xml:space="preserve">Regulatory area </w:t>
            </w:r>
          </w:p>
        </w:tc>
        <w:tc>
          <w:tcPr>
            <w:tcW w:w="1070" w:type="pct"/>
            <w:hideMark/>
          </w:tcPr>
          <w:p w14:paraId="787E29D0"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 xml:space="preserve">EU legal act </w:t>
            </w:r>
          </w:p>
        </w:tc>
        <w:tc>
          <w:tcPr>
            <w:tcW w:w="890" w:type="pct"/>
            <w:hideMark/>
          </w:tcPr>
          <w:p w14:paraId="1B17017B"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 xml:space="preserve">Germany </w:t>
            </w:r>
          </w:p>
        </w:tc>
        <w:tc>
          <w:tcPr>
            <w:tcW w:w="1418" w:type="pct"/>
            <w:hideMark/>
          </w:tcPr>
          <w:p w14:paraId="5CA09B55"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 xml:space="preserve">Denmark </w:t>
            </w:r>
          </w:p>
        </w:tc>
        <w:tc>
          <w:tcPr>
            <w:tcW w:w="892" w:type="pct"/>
            <w:hideMark/>
          </w:tcPr>
          <w:p w14:paraId="1873E8F1"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 xml:space="preserve">Croatia </w:t>
            </w:r>
          </w:p>
        </w:tc>
      </w:tr>
      <w:tr w:rsidR="00A84E6C" w:rsidRPr="00704B44" w14:paraId="0EF7D932" w14:textId="77777777" w:rsidTr="00704B44">
        <w:tc>
          <w:tcPr>
            <w:tcW w:w="730" w:type="pct"/>
            <w:hideMark/>
          </w:tcPr>
          <w:p w14:paraId="1B888BA5" w14:textId="77777777" w:rsidR="00A84E6C" w:rsidRPr="00704B44" w:rsidRDefault="00A84E6C" w:rsidP="00D2733E">
            <w:pPr>
              <w:spacing w:after="160" w:line="278" w:lineRule="auto"/>
              <w:rPr>
                <w:rFonts w:ascii="Arial" w:hAnsi="Arial" w:cs="Arial"/>
                <w:sz w:val="22"/>
                <w:szCs w:val="22"/>
                <w:lang w:val="de-DE"/>
              </w:rPr>
            </w:pPr>
            <w:r w:rsidRPr="00704B44">
              <w:rPr>
                <w:rFonts w:ascii="Arial" w:hAnsi="Arial" w:cs="Arial"/>
                <w:sz w:val="22"/>
                <w:szCs w:val="22"/>
                <w:lang w:val="de-DE"/>
              </w:rPr>
              <w:t xml:space="preserve">MDR-Produkte </w:t>
            </w:r>
          </w:p>
        </w:tc>
        <w:tc>
          <w:tcPr>
            <w:tcW w:w="1070" w:type="pct"/>
            <w:hideMark/>
          </w:tcPr>
          <w:p w14:paraId="6061F0E9"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MDR (EU) 2017/745 </w:t>
            </w:r>
          </w:p>
        </w:tc>
        <w:tc>
          <w:tcPr>
            <w:tcW w:w="890" w:type="pct"/>
            <w:hideMark/>
          </w:tcPr>
          <w:p w14:paraId="28640EC9" w14:textId="77777777" w:rsidR="00A84E6C" w:rsidRPr="00704B44" w:rsidRDefault="00A84E6C" w:rsidP="00D2733E">
            <w:pPr>
              <w:spacing w:after="160" w:line="278" w:lineRule="auto"/>
              <w:rPr>
                <w:rFonts w:ascii="Arial" w:hAnsi="Arial" w:cs="Arial"/>
                <w:sz w:val="22"/>
                <w:szCs w:val="22"/>
                <w:lang w:val="de-DE"/>
              </w:rPr>
            </w:pPr>
            <w:r w:rsidRPr="00704B44">
              <w:rPr>
                <w:rFonts w:ascii="Arial" w:hAnsi="Arial" w:cs="Arial"/>
                <w:sz w:val="22"/>
                <w:szCs w:val="22"/>
                <w:lang w:val="de-DE"/>
              </w:rPr>
              <w:t xml:space="preserve">MPDG </w:t>
            </w:r>
          </w:p>
        </w:tc>
        <w:tc>
          <w:tcPr>
            <w:tcW w:w="1418" w:type="pct"/>
            <w:hideMark/>
          </w:tcPr>
          <w:p w14:paraId="2197FD54" w14:textId="77777777" w:rsidR="00A84E6C" w:rsidRPr="00704B44" w:rsidRDefault="00A84E6C" w:rsidP="00D2733E">
            <w:pPr>
              <w:spacing w:after="160" w:line="278" w:lineRule="auto"/>
              <w:rPr>
                <w:rFonts w:ascii="Arial" w:hAnsi="Arial" w:cs="Arial"/>
                <w:sz w:val="22"/>
                <w:szCs w:val="22"/>
                <w:lang w:val="de-DE"/>
              </w:rPr>
            </w:pPr>
            <w:r w:rsidRPr="00704B44">
              <w:rPr>
                <w:rFonts w:ascii="Arial" w:hAnsi="Arial" w:cs="Arial"/>
                <w:sz w:val="22"/>
                <w:szCs w:val="22"/>
                <w:lang w:val="de-DE"/>
              </w:rPr>
              <w:t xml:space="preserve">BEK </w:t>
            </w:r>
            <w:proofErr w:type="spellStart"/>
            <w:r w:rsidRPr="00704B44">
              <w:rPr>
                <w:rFonts w:ascii="Arial" w:hAnsi="Arial" w:cs="Arial"/>
                <w:sz w:val="22"/>
                <w:szCs w:val="22"/>
                <w:lang w:val="de-DE"/>
              </w:rPr>
              <w:t>nr</w:t>
            </w:r>
            <w:proofErr w:type="spellEnd"/>
            <w:r w:rsidRPr="00704B44">
              <w:rPr>
                <w:rFonts w:ascii="Arial" w:hAnsi="Arial" w:cs="Arial"/>
                <w:sz w:val="22"/>
                <w:szCs w:val="22"/>
                <w:lang w:val="de-DE"/>
              </w:rPr>
              <w:t xml:space="preserve"> 1731 </w:t>
            </w:r>
            <w:proofErr w:type="spellStart"/>
            <w:r w:rsidRPr="00704B44">
              <w:rPr>
                <w:rFonts w:ascii="Arial" w:hAnsi="Arial" w:cs="Arial"/>
                <w:sz w:val="22"/>
                <w:szCs w:val="22"/>
                <w:lang w:val="de-DE"/>
              </w:rPr>
              <w:t>af</w:t>
            </w:r>
            <w:proofErr w:type="spellEnd"/>
            <w:r w:rsidRPr="00704B44">
              <w:rPr>
                <w:rFonts w:ascii="Arial" w:hAnsi="Arial" w:cs="Arial"/>
                <w:sz w:val="22"/>
                <w:szCs w:val="22"/>
                <w:lang w:val="de-DE"/>
              </w:rPr>
              <w:t xml:space="preserve"> 08/12/2025 </w:t>
            </w:r>
          </w:p>
        </w:tc>
        <w:tc>
          <w:tcPr>
            <w:tcW w:w="892" w:type="pct"/>
            <w:hideMark/>
          </w:tcPr>
          <w:p w14:paraId="5EDE3DDB"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 NN 100/2018</w:t>
            </w:r>
          </w:p>
        </w:tc>
      </w:tr>
      <w:tr w:rsidR="00A84E6C" w:rsidRPr="00704B44" w14:paraId="64C7B017" w14:textId="77777777" w:rsidTr="00704B44">
        <w:tc>
          <w:tcPr>
            <w:tcW w:w="730" w:type="pct"/>
            <w:hideMark/>
          </w:tcPr>
          <w:p w14:paraId="55541673" w14:textId="77777777" w:rsidR="00A84E6C" w:rsidRPr="00704B44" w:rsidRDefault="00A84E6C" w:rsidP="00D2733E">
            <w:pPr>
              <w:spacing w:after="160" w:line="278" w:lineRule="auto"/>
              <w:rPr>
                <w:rFonts w:ascii="Arial" w:hAnsi="Arial" w:cs="Arial"/>
                <w:sz w:val="22"/>
                <w:szCs w:val="22"/>
                <w:lang w:val="de-DE"/>
              </w:rPr>
            </w:pPr>
            <w:r w:rsidRPr="00704B44">
              <w:rPr>
                <w:rFonts w:ascii="Arial" w:hAnsi="Arial" w:cs="Arial"/>
                <w:sz w:val="22"/>
                <w:szCs w:val="22"/>
                <w:lang w:val="de-DE"/>
              </w:rPr>
              <w:t xml:space="preserve">IVD-Produkte </w:t>
            </w:r>
          </w:p>
        </w:tc>
        <w:tc>
          <w:tcPr>
            <w:tcW w:w="1070" w:type="pct"/>
            <w:hideMark/>
          </w:tcPr>
          <w:p w14:paraId="15EE17F7"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IVDR (EU) 2017/746 (</w:t>
            </w:r>
            <w:hyperlink r:id="rId7" w:tooltip="2017/746 - EN - Medical Device Regulation - EUR-Lex" w:history="1">
              <w:r w:rsidRPr="00704B44">
                <w:rPr>
                  <w:rStyle w:val="Hyperlink"/>
                  <w:rFonts w:ascii="Arial" w:hAnsi="Arial" w:cs="Arial"/>
                  <w:sz w:val="22"/>
                  <w:szCs w:val="22"/>
                </w:rPr>
                <w:t>EUR-Lex</w:t>
              </w:r>
            </w:hyperlink>
            <w:r w:rsidRPr="00704B44">
              <w:rPr>
                <w:rFonts w:ascii="Arial" w:hAnsi="Arial" w:cs="Arial"/>
                <w:sz w:val="22"/>
                <w:szCs w:val="22"/>
              </w:rPr>
              <w:t>)</w:t>
            </w:r>
          </w:p>
        </w:tc>
        <w:tc>
          <w:tcPr>
            <w:tcW w:w="890" w:type="pct"/>
            <w:hideMark/>
          </w:tcPr>
          <w:p w14:paraId="6A1A1E91"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MPDG </w:t>
            </w:r>
          </w:p>
        </w:tc>
        <w:tc>
          <w:tcPr>
            <w:tcW w:w="1418" w:type="pct"/>
            <w:hideMark/>
          </w:tcPr>
          <w:p w14:paraId="07139797"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BEK nr 1731 </w:t>
            </w:r>
            <w:proofErr w:type="spellStart"/>
            <w:r w:rsidRPr="00704B44">
              <w:rPr>
                <w:rFonts w:ascii="Arial" w:hAnsi="Arial" w:cs="Arial"/>
                <w:sz w:val="22"/>
                <w:szCs w:val="22"/>
              </w:rPr>
              <w:t>af</w:t>
            </w:r>
            <w:proofErr w:type="spellEnd"/>
            <w:r w:rsidRPr="00704B44">
              <w:rPr>
                <w:rFonts w:ascii="Arial" w:hAnsi="Arial" w:cs="Arial"/>
                <w:sz w:val="22"/>
                <w:szCs w:val="22"/>
              </w:rPr>
              <w:t xml:space="preserve"> 08/12/2025</w:t>
            </w:r>
          </w:p>
        </w:tc>
        <w:tc>
          <w:tcPr>
            <w:tcW w:w="892" w:type="pct"/>
            <w:hideMark/>
          </w:tcPr>
          <w:p w14:paraId="15AB3973"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NN 100/2018</w:t>
            </w:r>
          </w:p>
        </w:tc>
      </w:tr>
      <w:tr w:rsidR="00A84E6C" w:rsidRPr="00704B44" w14:paraId="515A7AFF" w14:textId="77777777" w:rsidTr="00704B44">
        <w:tc>
          <w:tcPr>
            <w:tcW w:w="730" w:type="pct"/>
            <w:hideMark/>
          </w:tcPr>
          <w:p w14:paraId="5BBB4EDA"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Reprocessing/reuse of single-use devices (SUD) </w:t>
            </w:r>
          </w:p>
        </w:tc>
        <w:tc>
          <w:tcPr>
            <w:tcW w:w="1070" w:type="pct"/>
            <w:hideMark/>
          </w:tcPr>
          <w:p w14:paraId="3BCCDBA2" w14:textId="77777777" w:rsidR="00A84E6C" w:rsidRPr="00704B44" w:rsidRDefault="00A84E6C" w:rsidP="00D2733E">
            <w:pPr>
              <w:spacing w:after="160" w:line="278" w:lineRule="auto"/>
              <w:rPr>
                <w:rFonts w:ascii="Arial" w:hAnsi="Arial" w:cs="Arial"/>
                <w:sz w:val="22"/>
                <w:szCs w:val="22"/>
                <w:lang w:val="de-DE"/>
              </w:rPr>
            </w:pPr>
            <w:r w:rsidRPr="00704B44">
              <w:rPr>
                <w:rFonts w:ascii="Arial" w:hAnsi="Arial" w:cs="Arial"/>
                <w:sz w:val="22"/>
                <w:szCs w:val="22"/>
                <w:lang w:val="de-DE"/>
              </w:rPr>
              <w:t xml:space="preserve">MDR Art. 17 </w:t>
            </w:r>
          </w:p>
        </w:tc>
        <w:tc>
          <w:tcPr>
            <w:tcW w:w="890" w:type="pct"/>
            <w:hideMark/>
          </w:tcPr>
          <w:p w14:paraId="3D12B8E8" w14:textId="77777777" w:rsidR="00A84E6C" w:rsidRPr="00704B44" w:rsidRDefault="00A84E6C" w:rsidP="00D2733E">
            <w:pPr>
              <w:spacing w:after="160" w:line="278" w:lineRule="auto"/>
              <w:rPr>
                <w:rFonts w:ascii="Arial" w:hAnsi="Arial" w:cs="Arial"/>
                <w:sz w:val="22"/>
                <w:szCs w:val="22"/>
                <w:lang w:val="de-DE"/>
              </w:rPr>
            </w:pPr>
            <w:r w:rsidRPr="00704B44">
              <w:rPr>
                <w:rFonts w:ascii="Arial" w:hAnsi="Arial" w:cs="Arial"/>
                <w:sz w:val="22"/>
                <w:szCs w:val="22"/>
                <w:lang w:val="de-DE"/>
              </w:rPr>
              <w:t>MPBetreibV (2025)</w:t>
            </w:r>
          </w:p>
        </w:tc>
        <w:tc>
          <w:tcPr>
            <w:tcW w:w="1418" w:type="pct"/>
            <w:hideMark/>
          </w:tcPr>
          <w:p w14:paraId="124C7B12" w14:textId="77777777" w:rsidR="00A84E6C" w:rsidRPr="00704B44" w:rsidRDefault="00A84E6C" w:rsidP="00D2733E">
            <w:pPr>
              <w:spacing w:after="160" w:line="278" w:lineRule="auto"/>
              <w:rPr>
                <w:rFonts w:ascii="Arial" w:hAnsi="Arial" w:cs="Arial"/>
                <w:sz w:val="22"/>
                <w:szCs w:val="22"/>
                <w:lang w:val="de-DE"/>
              </w:rPr>
            </w:pPr>
            <w:r w:rsidRPr="00704B44">
              <w:rPr>
                <w:rFonts w:ascii="Arial" w:hAnsi="Arial" w:cs="Arial"/>
                <w:sz w:val="22"/>
                <w:szCs w:val="22"/>
              </w:rPr>
              <w:t xml:space="preserve">BEK nr 1731 </w:t>
            </w:r>
            <w:proofErr w:type="spellStart"/>
            <w:r w:rsidRPr="00704B44">
              <w:rPr>
                <w:rFonts w:ascii="Arial" w:hAnsi="Arial" w:cs="Arial"/>
                <w:sz w:val="22"/>
                <w:szCs w:val="22"/>
              </w:rPr>
              <w:t>af</w:t>
            </w:r>
            <w:proofErr w:type="spellEnd"/>
            <w:r w:rsidRPr="00704B44">
              <w:rPr>
                <w:rFonts w:ascii="Arial" w:hAnsi="Arial" w:cs="Arial"/>
                <w:sz w:val="22"/>
                <w:szCs w:val="22"/>
              </w:rPr>
              <w:t xml:space="preserve"> 08/12/2025</w:t>
            </w:r>
          </w:p>
        </w:tc>
        <w:tc>
          <w:tcPr>
            <w:tcW w:w="892" w:type="pct"/>
            <w:hideMark/>
          </w:tcPr>
          <w:p w14:paraId="1B1A0C67" w14:textId="77777777" w:rsidR="00A84E6C" w:rsidRPr="00704B44" w:rsidRDefault="00A84E6C" w:rsidP="00D2733E">
            <w:pPr>
              <w:spacing w:after="160" w:line="278" w:lineRule="auto"/>
              <w:rPr>
                <w:rFonts w:ascii="Arial" w:hAnsi="Arial" w:cs="Arial"/>
                <w:sz w:val="22"/>
                <w:szCs w:val="22"/>
                <w:lang w:val="de-DE"/>
              </w:rPr>
            </w:pPr>
            <w:r w:rsidRPr="00704B44">
              <w:rPr>
                <w:rFonts w:ascii="Arial" w:hAnsi="Arial" w:cs="Arial"/>
                <w:sz w:val="22"/>
                <w:szCs w:val="22"/>
                <w:lang w:val="de-DE"/>
              </w:rPr>
              <w:t xml:space="preserve">NN 100/2018 </w:t>
            </w:r>
          </w:p>
        </w:tc>
      </w:tr>
      <w:tr w:rsidR="00A84E6C" w:rsidRPr="00704B44" w14:paraId="0D857495" w14:textId="77777777" w:rsidTr="00704B44">
        <w:tc>
          <w:tcPr>
            <w:tcW w:w="730" w:type="pct"/>
            <w:hideMark/>
          </w:tcPr>
          <w:p w14:paraId="172D6F97" w14:textId="77777777" w:rsidR="00A84E6C" w:rsidRPr="00704B44" w:rsidRDefault="00A84E6C" w:rsidP="00D2733E">
            <w:pPr>
              <w:spacing w:after="160" w:line="278" w:lineRule="auto"/>
              <w:rPr>
                <w:rFonts w:ascii="Arial" w:hAnsi="Arial" w:cs="Arial"/>
                <w:sz w:val="22"/>
                <w:szCs w:val="22"/>
                <w:lang w:val="de-DE"/>
              </w:rPr>
            </w:pPr>
            <w:r w:rsidRPr="00704B44">
              <w:rPr>
                <w:rFonts w:ascii="Arial" w:hAnsi="Arial" w:cs="Arial"/>
                <w:sz w:val="22"/>
                <w:szCs w:val="22"/>
                <w:lang w:val="de-DE"/>
              </w:rPr>
              <w:t xml:space="preserve">EEE-Medizinprodukte: </w:t>
            </w:r>
          </w:p>
        </w:tc>
        <w:tc>
          <w:tcPr>
            <w:tcW w:w="1070" w:type="pct"/>
            <w:hideMark/>
          </w:tcPr>
          <w:p w14:paraId="451EBD5C"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WEEE-RL 2012/19/EU – </w:t>
            </w:r>
            <w:proofErr w:type="spellStart"/>
            <w:r w:rsidRPr="00704B44">
              <w:rPr>
                <w:rFonts w:ascii="Arial" w:hAnsi="Arial" w:cs="Arial"/>
                <w:sz w:val="22"/>
                <w:szCs w:val="22"/>
              </w:rPr>
              <w:t>Kategorie</w:t>
            </w:r>
            <w:proofErr w:type="spellEnd"/>
            <w:r w:rsidRPr="00704B44">
              <w:rPr>
                <w:rFonts w:ascii="Arial" w:hAnsi="Arial" w:cs="Arial"/>
                <w:sz w:val="22"/>
                <w:szCs w:val="22"/>
              </w:rPr>
              <w:t xml:space="preserve"> „medical devices“ </w:t>
            </w:r>
          </w:p>
        </w:tc>
        <w:tc>
          <w:tcPr>
            <w:tcW w:w="890" w:type="pct"/>
            <w:hideMark/>
          </w:tcPr>
          <w:p w14:paraId="47535387" w14:textId="77777777" w:rsidR="00A84E6C" w:rsidRPr="00704B44" w:rsidRDefault="00A84E6C" w:rsidP="00D2733E">
            <w:pPr>
              <w:spacing w:after="160" w:line="278" w:lineRule="auto"/>
              <w:rPr>
                <w:rFonts w:ascii="Arial" w:hAnsi="Arial" w:cs="Arial"/>
                <w:sz w:val="22"/>
                <w:szCs w:val="22"/>
                <w:lang w:val="de-DE"/>
              </w:rPr>
            </w:pPr>
            <w:proofErr w:type="spellStart"/>
            <w:r w:rsidRPr="00704B44">
              <w:rPr>
                <w:rFonts w:ascii="Arial" w:hAnsi="Arial" w:cs="Arial"/>
                <w:sz w:val="22"/>
                <w:szCs w:val="22"/>
              </w:rPr>
              <w:t>ElektroG</w:t>
            </w:r>
            <w:proofErr w:type="spellEnd"/>
            <w:r w:rsidRPr="00704B44">
              <w:rPr>
                <w:rFonts w:ascii="Arial" w:hAnsi="Arial" w:cs="Arial"/>
                <w:sz w:val="22"/>
                <w:szCs w:val="22"/>
              </w:rPr>
              <w:t xml:space="preserve"> </w:t>
            </w:r>
          </w:p>
        </w:tc>
        <w:tc>
          <w:tcPr>
            <w:tcW w:w="1418" w:type="pct"/>
            <w:hideMark/>
          </w:tcPr>
          <w:p w14:paraId="62B84B77" w14:textId="77777777" w:rsidR="00A84E6C" w:rsidRPr="00704B44" w:rsidRDefault="00A84E6C" w:rsidP="00D2733E">
            <w:pPr>
              <w:spacing w:after="160" w:line="278" w:lineRule="auto"/>
              <w:rPr>
                <w:rFonts w:ascii="Arial" w:hAnsi="Arial" w:cs="Arial"/>
                <w:sz w:val="22"/>
                <w:szCs w:val="22"/>
                <w:lang w:val="de-DE"/>
              </w:rPr>
            </w:pPr>
            <w:r w:rsidRPr="00704B44">
              <w:rPr>
                <w:rFonts w:ascii="Arial" w:hAnsi="Arial" w:cs="Arial"/>
                <w:sz w:val="22"/>
                <w:szCs w:val="22"/>
              </w:rPr>
              <w:t>WEEE-</w:t>
            </w:r>
            <w:proofErr w:type="spellStart"/>
            <w:r w:rsidRPr="00704B44">
              <w:rPr>
                <w:rFonts w:ascii="Arial" w:hAnsi="Arial" w:cs="Arial"/>
                <w:sz w:val="22"/>
                <w:szCs w:val="22"/>
              </w:rPr>
              <w:t>Bekendtgørelse</w:t>
            </w:r>
            <w:proofErr w:type="spellEnd"/>
          </w:p>
        </w:tc>
        <w:tc>
          <w:tcPr>
            <w:tcW w:w="892" w:type="pct"/>
            <w:hideMark/>
          </w:tcPr>
          <w:p w14:paraId="533403DF" w14:textId="77777777" w:rsidR="00A84E6C" w:rsidRPr="00704B44" w:rsidRDefault="00A84E6C" w:rsidP="00D2733E">
            <w:pPr>
              <w:spacing w:after="160" w:line="278" w:lineRule="auto"/>
              <w:rPr>
                <w:rFonts w:ascii="Arial" w:hAnsi="Arial" w:cs="Arial"/>
                <w:sz w:val="22"/>
                <w:szCs w:val="22"/>
                <w:lang w:val="de-DE"/>
              </w:rPr>
            </w:pPr>
            <w:r w:rsidRPr="00704B44">
              <w:rPr>
                <w:rFonts w:ascii="Arial" w:hAnsi="Arial" w:cs="Arial"/>
                <w:sz w:val="22"/>
                <w:szCs w:val="22"/>
                <w:lang w:val="de-DE"/>
              </w:rPr>
              <w:t>NN 124/2023</w:t>
            </w:r>
          </w:p>
        </w:tc>
      </w:tr>
      <w:tr w:rsidR="00A84E6C" w:rsidRPr="00704B44" w14:paraId="24B44ECE" w14:textId="77777777" w:rsidTr="00704B44">
        <w:tc>
          <w:tcPr>
            <w:tcW w:w="730" w:type="pct"/>
            <w:hideMark/>
          </w:tcPr>
          <w:p w14:paraId="53D62130" w14:textId="77777777" w:rsidR="00A84E6C" w:rsidRPr="00704B44" w:rsidRDefault="00A84E6C" w:rsidP="00D2733E">
            <w:pPr>
              <w:spacing w:after="160" w:line="278" w:lineRule="auto"/>
              <w:rPr>
                <w:rFonts w:ascii="Arial" w:hAnsi="Arial" w:cs="Arial"/>
                <w:color w:val="BFBFBF" w:themeColor="background1" w:themeShade="BF"/>
                <w:sz w:val="22"/>
                <w:szCs w:val="22"/>
              </w:rPr>
            </w:pPr>
            <w:proofErr w:type="spellStart"/>
            <w:r w:rsidRPr="00704B44">
              <w:rPr>
                <w:rFonts w:ascii="Arial" w:hAnsi="Arial" w:cs="Arial"/>
                <w:color w:val="BFBFBF" w:themeColor="background1" w:themeShade="BF"/>
                <w:sz w:val="22"/>
                <w:szCs w:val="22"/>
              </w:rPr>
              <w:t>Produkthaftung</w:t>
            </w:r>
            <w:proofErr w:type="spellEnd"/>
            <w:r w:rsidRPr="00704B44">
              <w:rPr>
                <w:rFonts w:ascii="Arial" w:hAnsi="Arial" w:cs="Arial"/>
                <w:color w:val="BFBFBF" w:themeColor="background1" w:themeShade="BF"/>
                <w:sz w:val="22"/>
                <w:szCs w:val="22"/>
              </w:rPr>
              <w:t xml:space="preserve"> „substantial </w:t>
            </w:r>
            <w:proofErr w:type="gramStart"/>
            <w:r w:rsidRPr="00704B44">
              <w:rPr>
                <w:rFonts w:ascii="Arial" w:hAnsi="Arial" w:cs="Arial"/>
                <w:color w:val="BFBFBF" w:themeColor="background1" w:themeShade="BF"/>
                <w:sz w:val="22"/>
                <w:szCs w:val="22"/>
              </w:rPr>
              <w:t>modification“</w:t>
            </w:r>
            <w:proofErr w:type="gramEnd"/>
          </w:p>
        </w:tc>
        <w:tc>
          <w:tcPr>
            <w:tcW w:w="1070" w:type="pct"/>
            <w:hideMark/>
          </w:tcPr>
          <w:p w14:paraId="58C41CF5" w14:textId="77777777" w:rsidR="00A84E6C" w:rsidRPr="00704B44" w:rsidRDefault="00A84E6C" w:rsidP="00D2733E">
            <w:pPr>
              <w:spacing w:after="160" w:line="278" w:lineRule="auto"/>
              <w:rPr>
                <w:rFonts w:ascii="Arial" w:hAnsi="Arial" w:cs="Arial"/>
                <w:color w:val="BFBFBF" w:themeColor="background1" w:themeShade="BF"/>
                <w:sz w:val="22"/>
                <w:szCs w:val="22"/>
              </w:rPr>
            </w:pPr>
            <w:r w:rsidRPr="00704B44">
              <w:rPr>
                <w:rFonts w:ascii="Arial" w:hAnsi="Arial" w:cs="Arial"/>
                <w:color w:val="BFBFBF" w:themeColor="background1" w:themeShade="BF"/>
                <w:sz w:val="22"/>
                <w:szCs w:val="22"/>
              </w:rPr>
              <w:t xml:space="preserve">Product Liability Directive </w:t>
            </w:r>
            <w:r w:rsidRPr="00704B44">
              <w:rPr>
                <w:rFonts w:ascii="Arial" w:hAnsi="Arial" w:cs="Arial"/>
                <w:color w:val="BFBFBF" w:themeColor="background1" w:themeShade="BF"/>
                <w:sz w:val="22"/>
                <w:szCs w:val="22"/>
              </w:rPr>
              <w:lastRenderedPageBreak/>
              <w:t xml:space="preserve">(EU) 2024/2853 </w:t>
            </w:r>
          </w:p>
        </w:tc>
        <w:tc>
          <w:tcPr>
            <w:tcW w:w="890" w:type="pct"/>
            <w:hideMark/>
          </w:tcPr>
          <w:p w14:paraId="7697B9C5" w14:textId="77777777" w:rsidR="00A84E6C" w:rsidRPr="00704B44" w:rsidRDefault="00A84E6C" w:rsidP="00D2733E">
            <w:pPr>
              <w:spacing w:after="160" w:line="278" w:lineRule="auto"/>
              <w:rPr>
                <w:rFonts w:ascii="Arial" w:hAnsi="Arial" w:cs="Arial"/>
                <w:color w:val="BFBFBF" w:themeColor="background1" w:themeShade="BF"/>
                <w:sz w:val="22"/>
                <w:szCs w:val="22"/>
              </w:rPr>
            </w:pPr>
            <w:proofErr w:type="spellStart"/>
            <w:r w:rsidRPr="00704B44">
              <w:rPr>
                <w:rFonts w:ascii="Arial" w:hAnsi="Arial" w:cs="Arial"/>
                <w:color w:val="BFBFBF" w:themeColor="background1" w:themeShade="BF"/>
                <w:sz w:val="22"/>
                <w:szCs w:val="22"/>
              </w:rPr>
              <w:lastRenderedPageBreak/>
              <w:t>Aktuell</w:t>
            </w:r>
            <w:proofErr w:type="spellEnd"/>
            <w:r w:rsidRPr="00704B44">
              <w:rPr>
                <w:rFonts w:ascii="Arial" w:hAnsi="Arial" w:cs="Arial"/>
                <w:color w:val="BFBFBF" w:themeColor="background1" w:themeShade="BF"/>
                <w:sz w:val="22"/>
                <w:szCs w:val="22"/>
              </w:rPr>
              <w:t xml:space="preserve"> </w:t>
            </w:r>
            <w:proofErr w:type="spellStart"/>
            <w:r w:rsidRPr="00704B44">
              <w:rPr>
                <w:rFonts w:ascii="Arial" w:hAnsi="Arial" w:cs="Arial"/>
                <w:color w:val="BFBFBF" w:themeColor="background1" w:themeShade="BF"/>
                <w:sz w:val="22"/>
                <w:szCs w:val="22"/>
              </w:rPr>
              <w:t>nur</w:t>
            </w:r>
            <w:proofErr w:type="spellEnd"/>
            <w:r w:rsidRPr="00704B44">
              <w:rPr>
                <w:rFonts w:ascii="Arial" w:hAnsi="Arial" w:cs="Arial"/>
                <w:color w:val="BFBFBF" w:themeColor="background1" w:themeShade="BF"/>
                <w:sz w:val="22"/>
                <w:szCs w:val="22"/>
              </w:rPr>
              <w:t xml:space="preserve"> </w:t>
            </w:r>
            <w:proofErr w:type="spellStart"/>
            <w:proofErr w:type="gramStart"/>
            <w:r w:rsidRPr="00704B44">
              <w:rPr>
                <w:rFonts w:ascii="Arial" w:hAnsi="Arial" w:cs="Arial"/>
                <w:color w:val="BFBFBF" w:themeColor="background1" w:themeShade="BF"/>
                <w:sz w:val="22"/>
                <w:szCs w:val="22"/>
              </w:rPr>
              <w:t>Entwurf</w:t>
            </w:r>
            <w:proofErr w:type="spellEnd"/>
            <w:r w:rsidRPr="00704B44">
              <w:rPr>
                <w:rFonts w:ascii="Arial" w:hAnsi="Arial" w:cs="Arial"/>
                <w:color w:val="BFBFBF" w:themeColor="background1" w:themeShade="BF"/>
                <w:sz w:val="22"/>
                <w:szCs w:val="22"/>
              </w:rPr>
              <w:t xml:space="preserve">  irrelevant</w:t>
            </w:r>
            <w:proofErr w:type="gramEnd"/>
            <w:r w:rsidRPr="00704B44">
              <w:rPr>
                <w:rFonts w:ascii="Arial" w:hAnsi="Arial" w:cs="Arial"/>
                <w:color w:val="BFBFBF" w:themeColor="background1" w:themeShade="BF"/>
                <w:sz w:val="22"/>
                <w:szCs w:val="22"/>
              </w:rPr>
              <w:t xml:space="preserve"> for the current medical landscape; </w:t>
            </w:r>
            <w:hyperlink r:id="rId8" w:history="1">
              <w:r w:rsidRPr="00704B44">
                <w:rPr>
                  <w:rStyle w:val="Hyperlink"/>
                  <w:rFonts w:ascii="Arial" w:hAnsi="Arial" w:cs="Arial"/>
                  <w:color w:val="BFBFBF" w:themeColor="background1" w:themeShade="BF"/>
                  <w:sz w:val="22"/>
                  <w:szCs w:val="22"/>
                </w:rPr>
                <w:t>https://dserver.bundestag.de/brd/2025/0775-25.pdf</w:t>
              </w:r>
            </w:hyperlink>
            <w:r w:rsidRPr="00704B44">
              <w:rPr>
                <w:rFonts w:ascii="Arial" w:hAnsi="Arial" w:cs="Arial"/>
                <w:color w:val="BFBFBF" w:themeColor="background1" w:themeShade="BF"/>
                <w:sz w:val="22"/>
                <w:szCs w:val="22"/>
              </w:rPr>
              <w:t xml:space="preserve"> </w:t>
            </w:r>
          </w:p>
        </w:tc>
        <w:tc>
          <w:tcPr>
            <w:tcW w:w="1418" w:type="pct"/>
            <w:hideMark/>
          </w:tcPr>
          <w:p w14:paraId="35BEA172" w14:textId="77777777" w:rsidR="00A84E6C" w:rsidRPr="00704B44" w:rsidRDefault="00A84E6C" w:rsidP="00D2733E">
            <w:pPr>
              <w:spacing w:after="160" w:line="278" w:lineRule="auto"/>
              <w:rPr>
                <w:rFonts w:ascii="Arial" w:hAnsi="Arial" w:cs="Arial"/>
                <w:color w:val="BFBFBF" w:themeColor="background1" w:themeShade="BF"/>
                <w:sz w:val="22"/>
                <w:szCs w:val="22"/>
              </w:rPr>
            </w:pPr>
            <w:proofErr w:type="spellStart"/>
            <w:r w:rsidRPr="00704B44">
              <w:rPr>
                <w:rFonts w:ascii="Arial" w:hAnsi="Arial" w:cs="Arial"/>
                <w:color w:val="BFBFBF" w:themeColor="background1" w:themeShade="BF"/>
                <w:sz w:val="22"/>
                <w:szCs w:val="22"/>
              </w:rPr>
              <w:t>Aktuell</w:t>
            </w:r>
            <w:proofErr w:type="spellEnd"/>
            <w:r w:rsidRPr="00704B44">
              <w:rPr>
                <w:rFonts w:ascii="Arial" w:hAnsi="Arial" w:cs="Arial"/>
                <w:color w:val="BFBFBF" w:themeColor="background1" w:themeShade="BF"/>
                <w:sz w:val="22"/>
                <w:szCs w:val="22"/>
              </w:rPr>
              <w:t xml:space="preserve"> </w:t>
            </w:r>
            <w:proofErr w:type="spellStart"/>
            <w:r w:rsidRPr="00704B44">
              <w:rPr>
                <w:rFonts w:ascii="Arial" w:hAnsi="Arial" w:cs="Arial"/>
                <w:color w:val="BFBFBF" w:themeColor="background1" w:themeShade="BF"/>
                <w:sz w:val="22"/>
                <w:szCs w:val="22"/>
              </w:rPr>
              <w:t>nur</w:t>
            </w:r>
            <w:proofErr w:type="spellEnd"/>
            <w:r w:rsidRPr="00704B44">
              <w:rPr>
                <w:rFonts w:ascii="Arial" w:hAnsi="Arial" w:cs="Arial"/>
                <w:color w:val="BFBFBF" w:themeColor="background1" w:themeShade="BF"/>
                <w:sz w:val="22"/>
                <w:szCs w:val="22"/>
              </w:rPr>
              <w:t xml:space="preserve"> </w:t>
            </w:r>
            <w:proofErr w:type="spellStart"/>
            <w:proofErr w:type="gramStart"/>
            <w:r w:rsidRPr="00704B44">
              <w:rPr>
                <w:rFonts w:ascii="Arial" w:hAnsi="Arial" w:cs="Arial"/>
                <w:color w:val="BFBFBF" w:themeColor="background1" w:themeShade="BF"/>
                <w:sz w:val="22"/>
                <w:szCs w:val="22"/>
              </w:rPr>
              <w:t>Entwurf</w:t>
            </w:r>
            <w:proofErr w:type="spellEnd"/>
            <w:r w:rsidRPr="00704B44">
              <w:rPr>
                <w:rFonts w:ascii="Arial" w:hAnsi="Arial" w:cs="Arial"/>
                <w:color w:val="BFBFBF" w:themeColor="background1" w:themeShade="BF"/>
                <w:sz w:val="22"/>
                <w:szCs w:val="22"/>
              </w:rPr>
              <w:t xml:space="preserve">  irrelevant</w:t>
            </w:r>
            <w:proofErr w:type="gramEnd"/>
            <w:r w:rsidRPr="00704B44">
              <w:rPr>
                <w:rFonts w:ascii="Arial" w:hAnsi="Arial" w:cs="Arial"/>
                <w:color w:val="BFBFBF" w:themeColor="background1" w:themeShade="BF"/>
                <w:sz w:val="22"/>
                <w:szCs w:val="22"/>
              </w:rPr>
              <w:t xml:space="preserve"> for the current medical landscape</w:t>
            </w:r>
            <w:r w:rsidRPr="00704B44">
              <w:rPr>
                <w:rFonts w:ascii="Arial" w:hAnsi="Arial" w:cs="Arial"/>
                <w:color w:val="BFBFBF" w:themeColor="background1" w:themeShade="BF"/>
                <w:sz w:val="22"/>
                <w:szCs w:val="22"/>
              </w:rPr>
              <w:br/>
            </w:r>
            <w:hyperlink r:id="rId9" w:history="1">
              <w:r w:rsidRPr="00704B44">
                <w:rPr>
                  <w:rStyle w:val="Hyperlink"/>
                  <w:rFonts w:ascii="Arial" w:hAnsi="Arial" w:cs="Arial"/>
                  <w:color w:val="BFBFBF" w:themeColor="background1" w:themeShade="BF"/>
                  <w:sz w:val="22"/>
                  <w:szCs w:val="22"/>
                </w:rPr>
                <w:t>https://stm.dk/media/qqhoewvs/lovgivning-</w:t>
              </w:r>
              <w:r w:rsidRPr="00704B44">
                <w:rPr>
                  <w:rStyle w:val="Hyperlink"/>
                  <w:rFonts w:ascii="Arial" w:hAnsi="Arial" w:cs="Arial"/>
                  <w:color w:val="BFBFBF" w:themeColor="background1" w:themeShade="BF"/>
                  <w:sz w:val="22"/>
                  <w:szCs w:val="22"/>
                </w:rPr>
                <w:lastRenderedPageBreak/>
                <w:t>folketingsaaret-2025-2026.pdf</w:t>
              </w:r>
            </w:hyperlink>
            <w:r w:rsidRPr="00704B44">
              <w:rPr>
                <w:rFonts w:ascii="Arial" w:hAnsi="Arial" w:cs="Arial"/>
                <w:color w:val="BFBFBF" w:themeColor="background1" w:themeShade="BF"/>
                <w:sz w:val="22"/>
                <w:szCs w:val="22"/>
              </w:rPr>
              <w:t xml:space="preserve"> </w:t>
            </w:r>
          </w:p>
        </w:tc>
        <w:tc>
          <w:tcPr>
            <w:tcW w:w="892" w:type="pct"/>
            <w:hideMark/>
          </w:tcPr>
          <w:p w14:paraId="6D445506" w14:textId="77777777" w:rsidR="00A84E6C" w:rsidRPr="00704B44" w:rsidRDefault="00A84E6C" w:rsidP="00D2733E">
            <w:pPr>
              <w:spacing w:after="160" w:line="278" w:lineRule="auto"/>
              <w:rPr>
                <w:rFonts w:ascii="Arial" w:hAnsi="Arial" w:cs="Arial"/>
                <w:color w:val="BFBFBF" w:themeColor="background1" w:themeShade="BF"/>
                <w:sz w:val="22"/>
                <w:szCs w:val="22"/>
                <w:lang w:val="de-DE"/>
              </w:rPr>
            </w:pPr>
            <w:r w:rsidRPr="00704B44">
              <w:rPr>
                <w:rFonts w:ascii="Arial" w:hAnsi="Arial" w:cs="Arial"/>
                <w:color w:val="BFBFBF" w:themeColor="background1" w:themeShade="BF"/>
                <w:sz w:val="22"/>
                <w:szCs w:val="22"/>
                <w:lang w:val="de-DE"/>
              </w:rPr>
              <w:lastRenderedPageBreak/>
              <w:t xml:space="preserve">Aktuell nur </w:t>
            </w:r>
            <w:proofErr w:type="gramStart"/>
            <w:r w:rsidRPr="00704B44">
              <w:rPr>
                <w:rFonts w:ascii="Arial" w:hAnsi="Arial" w:cs="Arial"/>
                <w:color w:val="BFBFBF" w:themeColor="background1" w:themeShade="BF"/>
                <w:sz w:val="22"/>
                <w:szCs w:val="22"/>
                <w:lang w:val="de-DE"/>
              </w:rPr>
              <w:t>Entwurf  egal</w:t>
            </w:r>
            <w:proofErr w:type="gramEnd"/>
            <w:r w:rsidRPr="00704B44">
              <w:rPr>
                <w:rFonts w:ascii="Arial" w:hAnsi="Arial" w:cs="Arial"/>
                <w:color w:val="BFBFBF" w:themeColor="background1" w:themeShade="BF"/>
                <w:sz w:val="22"/>
                <w:szCs w:val="22"/>
                <w:lang w:val="de-DE"/>
              </w:rPr>
              <w:br/>
              <w:t>https://esavjetovanja.gov.</w:t>
            </w:r>
            <w:r w:rsidRPr="00704B44">
              <w:rPr>
                <w:rFonts w:ascii="Arial" w:hAnsi="Arial" w:cs="Arial"/>
                <w:color w:val="BFBFBF" w:themeColor="background1" w:themeShade="BF"/>
                <w:sz w:val="22"/>
                <w:szCs w:val="22"/>
                <w:lang w:val="de-DE"/>
              </w:rPr>
              <w:br/>
            </w:r>
            <w:proofErr w:type="spellStart"/>
            <w:r w:rsidRPr="00704B44">
              <w:rPr>
                <w:rFonts w:ascii="Arial" w:hAnsi="Arial" w:cs="Arial"/>
                <w:color w:val="BFBFBF" w:themeColor="background1" w:themeShade="BF"/>
                <w:sz w:val="22"/>
                <w:szCs w:val="22"/>
                <w:lang w:val="de-DE"/>
              </w:rPr>
              <w:t>hr</w:t>
            </w:r>
            <w:proofErr w:type="spellEnd"/>
            <w:r w:rsidRPr="00704B44">
              <w:rPr>
                <w:rFonts w:ascii="Arial" w:hAnsi="Arial" w:cs="Arial"/>
                <w:color w:val="BFBFBF" w:themeColor="background1" w:themeShade="BF"/>
                <w:sz w:val="22"/>
                <w:szCs w:val="22"/>
                <w:lang w:val="de-DE"/>
              </w:rPr>
              <w:t>/</w:t>
            </w:r>
            <w:proofErr w:type="spellStart"/>
            <w:r w:rsidRPr="00704B44">
              <w:rPr>
                <w:rFonts w:ascii="Arial" w:hAnsi="Arial" w:cs="Arial"/>
                <w:color w:val="BFBFBF" w:themeColor="background1" w:themeShade="BF"/>
                <w:sz w:val="22"/>
                <w:szCs w:val="22"/>
                <w:lang w:val="de-DE"/>
              </w:rPr>
              <w:t>ECon</w:t>
            </w:r>
            <w:proofErr w:type="spellEnd"/>
            <w:r w:rsidRPr="00704B44">
              <w:rPr>
                <w:rFonts w:ascii="Arial" w:hAnsi="Arial" w:cs="Arial"/>
                <w:color w:val="BFBFBF" w:themeColor="background1" w:themeShade="BF"/>
                <w:sz w:val="22"/>
                <w:szCs w:val="22"/>
                <w:lang w:val="de-DE"/>
              </w:rPr>
              <w:t>/</w:t>
            </w:r>
            <w:proofErr w:type="spellStart"/>
            <w:r w:rsidRPr="00704B44">
              <w:rPr>
                <w:rFonts w:ascii="Arial" w:hAnsi="Arial" w:cs="Arial"/>
                <w:color w:val="BFBFBF" w:themeColor="background1" w:themeShade="BF"/>
                <w:sz w:val="22"/>
                <w:szCs w:val="22"/>
                <w:lang w:val="de-DE"/>
              </w:rPr>
              <w:t>MainScree</w:t>
            </w:r>
            <w:proofErr w:type="spellEnd"/>
            <w:r w:rsidRPr="00704B44">
              <w:rPr>
                <w:rFonts w:ascii="Arial" w:hAnsi="Arial" w:cs="Arial"/>
                <w:color w:val="BFBFBF" w:themeColor="background1" w:themeShade="BF"/>
                <w:sz w:val="22"/>
                <w:szCs w:val="22"/>
                <w:lang w:val="de-DE"/>
              </w:rPr>
              <w:br/>
            </w:r>
            <w:proofErr w:type="spellStart"/>
            <w:r w:rsidRPr="00704B44">
              <w:rPr>
                <w:rFonts w:ascii="Arial" w:hAnsi="Arial" w:cs="Arial"/>
                <w:color w:val="BFBFBF" w:themeColor="background1" w:themeShade="BF"/>
                <w:sz w:val="22"/>
                <w:szCs w:val="22"/>
                <w:lang w:val="de-DE"/>
              </w:rPr>
              <w:lastRenderedPageBreak/>
              <w:t>n?entityId</w:t>
            </w:r>
            <w:proofErr w:type="spellEnd"/>
            <w:r w:rsidRPr="00704B44">
              <w:rPr>
                <w:rFonts w:ascii="Arial" w:hAnsi="Arial" w:cs="Arial"/>
                <w:color w:val="BFBFBF" w:themeColor="background1" w:themeShade="BF"/>
                <w:sz w:val="22"/>
                <w:szCs w:val="22"/>
                <w:lang w:val="de-DE"/>
              </w:rPr>
              <w:t>=31887</w:t>
            </w:r>
          </w:p>
          <w:p w14:paraId="717EB360" w14:textId="77777777" w:rsidR="00A84E6C" w:rsidRPr="00704B44" w:rsidRDefault="00A84E6C" w:rsidP="00D2733E">
            <w:pPr>
              <w:spacing w:after="160" w:line="278" w:lineRule="auto"/>
              <w:rPr>
                <w:rFonts w:ascii="Arial" w:hAnsi="Arial" w:cs="Arial"/>
                <w:color w:val="BFBFBF" w:themeColor="background1" w:themeShade="BF"/>
                <w:sz w:val="22"/>
                <w:szCs w:val="22"/>
                <w:lang w:val="de-DE"/>
              </w:rPr>
            </w:pPr>
          </w:p>
        </w:tc>
      </w:tr>
      <w:bookmarkEnd w:id="0"/>
    </w:tbl>
    <w:p w14:paraId="12F1126F" w14:textId="77777777" w:rsidR="003C6DDA" w:rsidRPr="00704B44" w:rsidRDefault="003C6DDA" w:rsidP="008A3907">
      <w:pPr>
        <w:rPr>
          <w:rFonts w:ascii="Arial" w:hAnsi="Arial" w:cs="Arial"/>
          <w:sz w:val="22"/>
          <w:szCs w:val="22"/>
          <w:lang w:val="de-DE"/>
        </w:rPr>
      </w:pPr>
    </w:p>
    <w:p w14:paraId="34400217" w14:textId="455CF335" w:rsidR="008A3907" w:rsidRPr="00704B44" w:rsidRDefault="008A3907" w:rsidP="008A3907">
      <w:pPr>
        <w:rPr>
          <w:rFonts w:ascii="Arial" w:hAnsi="Arial" w:cs="Arial"/>
          <w:sz w:val="22"/>
          <w:szCs w:val="22"/>
          <w:lang w:val="de-DE"/>
        </w:rPr>
      </w:pPr>
      <w:proofErr w:type="spellStart"/>
      <w:r w:rsidRPr="00704B44">
        <w:rPr>
          <w:rFonts w:ascii="Arial" w:hAnsi="Arial" w:cs="Arial"/>
          <w:sz w:val="22"/>
          <w:szCs w:val="22"/>
          <w:lang w:val="de-DE"/>
        </w:rPr>
        <w:t>Quotients</w:t>
      </w:r>
      <w:proofErr w:type="spellEnd"/>
      <w:r w:rsidRPr="00704B44">
        <w:rPr>
          <w:rFonts w:ascii="Arial" w:hAnsi="Arial" w:cs="Arial"/>
          <w:sz w:val="22"/>
          <w:szCs w:val="22"/>
          <w:lang w:val="de-DE"/>
        </w:rPr>
        <w:t xml:space="preserve"> </w:t>
      </w:r>
      <w:proofErr w:type="spellStart"/>
      <w:r w:rsidR="00C062F8" w:rsidRPr="00704B44">
        <w:rPr>
          <w:rFonts w:ascii="Arial" w:hAnsi="Arial" w:cs="Arial"/>
          <w:sz w:val="22"/>
          <w:szCs w:val="22"/>
          <w:lang w:val="de-DE"/>
        </w:rPr>
        <w:t>summarized</w:t>
      </w:r>
      <w:proofErr w:type="spellEnd"/>
      <w:r w:rsidRPr="00704B44">
        <w:rPr>
          <w:rFonts w:ascii="Arial" w:hAnsi="Arial" w:cs="Arial"/>
          <w:sz w:val="22"/>
          <w:szCs w:val="22"/>
          <w:lang w:val="de-DE"/>
        </w:rPr>
        <w:t>:</w:t>
      </w:r>
    </w:p>
    <w:tbl>
      <w:tblPr>
        <w:tblStyle w:val="TableGrid"/>
        <w:tblW w:w="0" w:type="auto"/>
        <w:tblLook w:val="04A0" w:firstRow="1" w:lastRow="0" w:firstColumn="1" w:lastColumn="0" w:noHBand="0" w:noVBand="1"/>
      </w:tblPr>
      <w:tblGrid>
        <w:gridCol w:w="2453"/>
        <w:gridCol w:w="2465"/>
        <w:gridCol w:w="2459"/>
        <w:gridCol w:w="2359"/>
      </w:tblGrid>
      <w:tr w:rsidR="008A3907" w:rsidRPr="00704B44" w14:paraId="2AEAAEF6" w14:textId="77777777" w:rsidTr="00D2733E">
        <w:tc>
          <w:tcPr>
            <w:tcW w:w="4086" w:type="dxa"/>
          </w:tcPr>
          <w:p w14:paraId="169CEA40" w14:textId="77777777" w:rsidR="008A3907" w:rsidRPr="00704B44" w:rsidRDefault="008A3907" w:rsidP="00D2733E">
            <w:pPr>
              <w:rPr>
                <w:rFonts w:ascii="Arial" w:hAnsi="Arial" w:cs="Arial"/>
                <w:sz w:val="22"/>
                <w:szCs w:val="22"/>
                <w:lang w:val="de-DE"/>
              </w:rPr>
            </w:pPr>
          </w:p>
        </w:tc>
        <w:tc>
          <w:tcPr>
            <w:tcW w:w="4086" w:type="dxa"/>
          </w:tcPr>
          <w:p w14:paraId="1CD34E14" w14:textId="77777777" w:rsidR="008A3907" w:rsidRPr="00704B44" w:rsidRDefault="008A3907" w:rsidP="00D2733E">
            <w:pPr>
              <w:rPr>
                <w:rFonts w:ascii="Arial" w:hAnsi="Arial" w:cs="Arial"/>
                <w:sz w:val="22"/>
                <w:szCs w:val="22"/>
                <w:lang w:val="de-DE"/>
              </w:rPr>
            </w:pPr>
            <w:r w:rsidRPr="00704B44">
              <w:rPr>
                <w:rFonts w:ascii="Arial" w:hAnsi="Arial" w:cs="Arial"/>
                <w:sz w:val="22"/>
                <w:szCs w:val="22"/>
                <w:lang w:val="de-DE"/>
              </w:rPr>
              <w:t>Germany</w:t>
            </w:r>
          </w:p>
        </w:tc>
        <w:tc>
          <w:tcPr>
            <w:tcW w:w="4087" w:type="dxa"/>
          </w:tcPr>
          <w:p w14:paraId="71670AE9" w14:textId="77777777" w:rsidR="008A3907" w:rsidRPr="00704B44" w:rsidRDefault="008A3907" w:rsidP="00D2733E">
            <w:pPr>
              <w:rPr>
                <w:rFonts w:ascii="Arial" w:hAnsi="Arial" w:cs="Arial"/>
                <w:sz w:val="22"/>
                <w:szCs w:val="22"/>
                <w:lang w:val="de-DE"/>
              </w:rPr>
            </w:pPr>
            <w:r w:rsidRPr="00704B44">
              <w:rPr>
                <w:rFonts w:ascii="Arial" w:hAnsi="Arial" w:cs="Arial"/>
                <w:sz w:val="22"/>
                <w:szCs w:val="22"/>
                <w:lang w:val="de-DE"/>
              </w:rPr>
              <w:t>Denmark</w:t>
            </w:r>
          </w:p>
        </w:tc>
        <w:tc>
          <w:tcPr>
            <w:tcW w:w="4087" w:type="dxa"/>
          </w:tcPr>
          <w:p w14:paraId="191A8EF3" w14:textId="77777777" w:rsidR="008A3907" w:rsidRPr="00704B44" w:rsidRDefault="008A3907" w:rsidP="00D2733E">
            <w:pPr>
              <w:rPr>
                <w:rFonts w:ascii="Arial" w:hAnsi="Arial" w:cs="Arial"/>
                <w:sz w:val="22"/>
                <w:szCs w:val="22"/>
                <w:lang w:val="de-DE"/>
              </w:rPr>
            </w:pPr>
            <w:proofErr w:type="spellStart"/>
            <w:r w:rsidRPr="00704B44">
              <w:rPr>
                <w:rFonts w:ascii="Arial" w:hAnsi="Arial" w:cs="Arial"/>
                <w:sz w:val="22"/>
                <w:szCs w:val="22"/>
                <w:lang w:val="de-DE"/>
              </w:rPr>
              <w:t>Croatia</w:t>
            </w:r>
            <w:proofErr w:type="spellEnd"/>
          </w:p>
        </w:tc>
      </w:tr>
      <w:tr w:rsidR="008A3907" w:rsidRPr="00704B44" w14:paraId="094360AC" w14:textId="77777777" w:rsidTr="00D2733E">
        <w:tc>
          <w:tcPr>
            <w:tcW w:w="4086" w:type="dxa"/>
          </w:tcPr>
          <w:p w14:paraId="0846CD11" w14:textId="77777777" w:rsidR="008A3907" w:rsidRPr="00704B44" w:rsidRDefault="008A3907" w:rsidP="00D2733E">
            <w:pPr>
              <w:rPr>
                <w:rFonts w:ascii="Arial" w:hAnsi="Arial" w:cs="Arial"/>
                <w:sz w:val="22"/>
                <w:szCs w:val="22"/>
                <w:lang w:val="de-DE"/>
              </w:rPr>
            </w:pPr>
            <w:proofErr w:type="gramStart"/>
            <w:r w:rsidRPr="00704B44">
              <w:rPr>
                <w:rFonts w:ascii="Arial" w:hAnsi="Arial" w:cs="Arial"/>
                <w:sz w:val="22"/>
                <w:szCs w:val="22"/>
                <w:lang w:val="de-DE"/>
              </w:rPr>
              <w:t>MDR Produkte</w:t>
            </w:r>
            <w:proofErr w:type="gramEnd"/>
          </w:p>
        </w:tc>
        <w:tc>
          <w:tcPr>
            <w:tcW w:w="4086" w:type="dxa"/>
          </w:tcPr>
          <w:p w14:paraId="1F35B369" w14:textId="77777777" w:rsidR="008A3907" w:rsidRPr="00704B44" w:rsidRDefault="008A3907" w:rsidP="00D2733E">
            <w:pPr>
              <w:rPr>
                <w:rFonts w:ascii="Arial" w:hAnsi="Arial" w:cs="Arial"/>
                <w:sz w:val="22"/>
                <w:szCs w:val="22"/>
                <w:lang w:val="de-DE"/>
              </w:rPr>
            </w:pPr>
            <w:r w:rsidRPr="00704B44">
              <w:rPr>
                <w:rFonts w:ascii="Arial" w:hAnsi="Arial" w:cs="Arial"/>
                <w:sz w:val="22"/>
                <w:szCs w:val="22"/>
                <w:lang w:val="de-DE"/>
              </w:rPr>
              <w:t>0,669</w:t>
            </w:r>
          </w:p>
        </w:tc>
        <w:tc>
          <w:tcPr>
            <w:tcW w:w="4087" w:type="dxa"/>
          </w:tcPr>
          <w:p w14:paraId="6A307964" w14:textId="77777777" w:rsidR="008A3907" w:rsidRPr="00704B44" w:rsidRDefault="008A3907" w:rsidP="00D2733E">
            <w:pPr>
              <w:rPr>
                <w:rFonts w:ascii="Arial" w:hAnsi="Arial" w:cs="Arial"/>
                <w:sz w:val="22"/>
                <w:szCs w:val="22"/>
                <w:lang w:val="de-DE"/>
              </w:rPr>
            </w:pPr>
            <w:r w:rsidRPr="00704B44">
              <w:rPr>
                <w:rFonts w:ascii="Arial" w:hAnsi="Arial" w:cs="Arial"/>
                <w:sz w:val="22"/>
                <w:szCs w:val="22"/>
                <w:lang w:val="de-DE"/>
              </w:rPr>
              <w:t>0,7858</w:t>
            </w:r>
          </w:p>
        </w:tc>
        <w:tc>
          <w:tcPr>
            <w:tcW w:w="4087" w:type="dxa"/>
          </w:tcPr>
          <w:p w14:paraId="60ADDEA6" w14:textId="77777777" w:rsidR="008A3907" w:rsidRPr="00704B44" w:rsidRDefault="008A3907" w:rsidP="00D2733E">
            <w:pPr>
              <w:rPr>
                <w:rFonts w:ascii="Arial" w:hAnsi="Arial" w:cs="Arial"/>
                <w:sz w:val="22"/>
                <w:szCs w:val="22"/>
                <w:lang w:val="de-DE"/>
              </w:rPr>
            </w:pPr>
            <w:r w:rsidRPr="00704B44">
              <w:rPr>
                <w:rFonts w:ascii="Arial" w:hAnsi="Arial" w:cs="Arial"/>
                <w:sz w:val="22"/>
                <w:szCs w:val="22"/>
                <w:lang w:val="de-DE"/>
              </w:rPr>
              <w:t>0,700</w:t>
            </w:r>
          </w:p>
        </w:tc>
      </w:tr>
      <w:tr w:rsidR="008A3907" w:rsidRPr="00704B44" w14:paraId="2448F79B" w14:textId="77777777" w:rsidTr="00D2733E">
        <w:tc>
          <w:tcPr>
            <w:tcW w:w="4086" w:type="dxa"/>
          </w:tcPr>
          <w:p w14:paraId="78E05C34" w14:textId="77777777" w:rsidR="008A3907" w:rsidRPr="00704B44" w:rsidRDefault="008A3907" w:rsidP="00D2733E">
            <w:pPr>
              <w:rPr>
                <w:rFonts w:ascii="Arial" w:hAnsi="Arial" w:cs="Arial"/>
                <w:sz w:val="22"/>
                <w:szCs w:val="22"/>
                <w:lang w:val="de-DE"/>
              </w:rPr>
            </w:pPr>
            <w:proofErr w:type="gramStart"/>
            <w:r w:rsidRPr="00704B44">
              <w:rPr>
                <w:rFonts w:ascii="Arial" w:hAnsi="Arial" w:cs="Arial"/>
                <w:sz w:val="22"/>
                <w:szCs w:val="22"/>
                <w:lang w:val="de-DE"/>
              </w:rPr>
              <w:t>IVDR Produkte</w:t>
            </w:r>
            <w:proofErr w:type="gramEnd"/>
          </w:p>
        </w:tc>
        <w:tc>
          <w:tcPr>
            <w:tcW w:w="4086" w:type="dxa"/>
          </w:tcPr>
          <w:p w14:paraId="523E4029" w14:textId="77777777" w:rsidR="008A3907" w:rsidRPr="00704B44" w:rsidRDefault="008A3907" w:rsidP="00D2733E">
            <w:pPr>
              <w:rPr>
                <w:rFonts w:ascii="Arial" w:hAnsi="Arial" w:cs="Arial"/>
                <w:sz w:val="22"/>
                <w:szCs w:val="22"/>
                <w:lang w:val="de-DE"/>
              </w:rPr>
            </w:pPr>
            <w:r w:rsidRPr="00704B44">
              <w:rPr>
                <w:rFonts w:ascii="Arial" w:hAnsi="Arial" w:cs="Arial"/>
                <w:sz w:val="22"/>
                <w:szCs w:val="22"/>
                <w:lang w:val="de-DE"/>
              </w:rPr>
              <w:t>0,669</w:t>
            </w:r>
          </w:p>
        </w:tc>
        <w:tc>
          <w:tcPr>
            <w:tcW w:w="4087" w:type="dxa"/>
          </w:tcPr>
          <w:p w14:paraId="393035BE" w14:textId="77777777" w:rsidR="008A3907" w:rsidRPr="00704B44" w:rsidRDefault="008A3907" w:rsidP="00D2733E">
            <w:pPr>
              <w:rPr>
                <w:rFonts w:ascii="Arial" w:hAnsi="Arial" w:cs="Arial"/>
                <w:sz w:val="22"/>
                <w:szCs w:val="22"/>
                <w:lang w:val="de-DE"/>
              </w:rPr>
            </w:pPr>
            <w:r w:rsidRPr="00704B44">
              <w:rPr>
                <w:rFonts w:ascii="Arial" w:hAnsi="Arial" w:cs="Arial"/>
                <w:sz w:val="22"/>
                <w:szCs w:val="22"/>
                <w:lang w:val="de-DE"/>
              </w:rPr>
              <w:t>0,7858</w:t>
            </w:r>
          </w:p>
        </w:tc>
        <w:tc>
          <w:tcPr>
            <w:tcW w:w="4087" w:type="dxa"/>
          </w:tcPr>
          <w:p w14:paraId="098A937E" w14:textId="77777777" w:rsidR="008A3907" w:rsidRPr="00704B44" w:rsidRDefault="008A3907" w:rsidP="00D2733E">
            <w:pPr>
              <w:rPr>
                <w:rFonts w:ascii="Arial" w:hAnsi="Arial" w:cs="Arial"/>
                <w:sz w:val="22"/>
                <w:szCs w:val="22"/>
                <w:lang w:val="de-DE"/>
              </w:rPr>
            </w:pPr>
            <w:r w:rsidRPr="00704B44">
              <w:rPr>
                <w:rFonts w:ascii="Arial" w:hAnsi="Arial" w:cs="Arial"/>
                <w:sz w:val="22"/>
                <w:szCs w:val="22"/>
                <w:lang w:val="de-DE"/>
              </w:rPr>
              <w:t>0,700</w:t>
            </w:r>
          </w:p>
        </w:tc>
      </w:tr>
      <w:tr w:rsidR="008A3907" w:rsidRPr="00704B44" w14:paraId="38EE07CC" w14:textId="77777777" w:rsidTr="00D2733E">
        <w:tc>
          <w:tcPr>
            <w:tcW w:w="4086" w:type="dxa"/>
          </w:tcPr>
          <w:p w14:paraId="1E4FBCF1" w14:textId="77777777" w:rsidR="008A3907" w:rsidRPr="00704B44" w:rsidRDefault="008A3907" w:rsidP="00D2733E">
            <w:pPr>
              <w:rPr>
                <w:rFonts w:ascii="Arial" w:hAnsi="Arial" w:cs="Arial"/>
                <w:sz w:val="22"/>
                <w:szCs w:val="22"/>
                <w:lang w:val="de-DE"/>
              </w:rPr>
            </w:pPr>
            <w:r w:rsidRPr="00704B44">
              <w:rPr>
                <w:rFonts w:ascii="Arial" w:hAnsi="Arial" w:cs="Arial"/>
                <w:sz w:val="22"/>
                <w:szCs w:val="22"/>
                <w:lang w:val="de-DE"/>
              </w:rPr>
              <w:t>SUD</w:t>
            </w:r>
          </w:p>
        </w:tc>
        <w:tc>
          <w:tcPr>
            <w:tcW w:w="4086" w:type="dxa"/>
          </w:tcPr>
          <w:p w14:paraId="741035E6" w14:textId="77777777" w:rsidR="008A3907" w:rsidRPr="00704B44" w:rsidRDefault="008A3907" w:rsidP="00D2733E">
            <w:pPr>
              <w:rPr>
                <w:rFonts w:ascii="Arial" w:hAnsi="Arial" w:cs="Arial"/>
                <w:sz w:val="22"/>
                <w:szCs w:val="22"/>
                <w:lang w:val="de-DE"/>
              </w:rPr>
            </w:pPr>
            <w:r w:rsidRPr="00704B44">
              <w:rPr>
                <w:rFonts w:ascii="Arial" w:hAnsi="Arial" w:cs="Arial"/>
                <w:sz w:val="22"/>
                <w:szCs w:val="22"/>
                <w:lang w:val="de-DE"/>
              </w:rPr>
              <w:t>0,469</w:t>
            </w:r>
          </w:p>
        </w:tc>
        <w:tc>
          <w:tcPr>
            <w:tcW w:w="4087" w:type="dxa"/>
          </w:tcPr>
          <w:p w14:paraId="2CF0BC48" w14:textId="77777777" w:rsidR="008A3907" w:rsidRPr="00704B44" w:rsidRDefault="008A3907" w:rsidP="00D2733E">
            <w:pPr>
              <w:rPr>
                <w:rFonts w:ascii="Arial" w:hAnsi="Arial" w:cs="Arial"/>
                <w:sz w:val="22"/>
                <w:szCs w:val="22"/>
                <w:lang w:val="de-DE"/>
              </w:rPr>
            </w:pPr>
            <w:r w:rsidRPr="00704B44">
              <w:rPr>
                <w:rFonts w:ascii="Arial" w:hAnsi="Arial" w:cs="Arial"/>
                <w:sz w:val="22"/>
                <w:szCs w:val="22"/>
                <w:lang w:val="de-DE"/>
              </w:rPr>
              <w:t>0,7858</w:t>
            </w:r>
          </w:p>
        </w:tc>
        <w:tc>
          <w:tcPr>
            <w:tcW w:w="4087" w:type="dxa"/>
          </w:tcPr>
          <w:p w14:paraId="2A73D639" w14:textId="77777777" w:rsidR="008A3907" w:rsidRPr="00704B44" w:rsidRDefault="008A3907" w:rsidP="00D2733E">
            <w:pPr>
              <w:rPr>
                <w:rFonts w:ascii="Arial" w:hAnsi="Arial" w:cs="Arial"/>
                <w:sz w:val="22"/>
                <w:szCs w:val="22"/>
                <w:lang w:val="de-DE"/>
              </w:rPr>
            </w:pPr>
            <w:r w:rsidRPr="00704B44">
              <w:rPr>
                <w:rFonts w:ascii="Arial" w:hAnsi="Arial" w:cs="Arial"/>
                <w:sz w:val="22"/>
                <w:szCs w:val="22"/>
                <w:lang w:val="de-DE"/>
              </w:rPr>
              <w:t>0,700</w:t>
            </w:r>
          </w:p>
        </w:tc>
      </w:tr>
      <w:tr w:rsidR="008A3907" w:rsidRPr="00704B44" w14:paraId="03BD732B" w14:textId="77777777" w:rsidTr="00D2733E">
        <w:tc>
          <w:tcPr>
            <w:tcW w:w="4086" w:type="dxa"/>
          </w:tcPr>
          <w:p w14:paraId="1EADF4B4" w14:textId="77777777" w:rsidR="008A3907" w:rsidRPr="00704B44" w:rsidRDefault="008A3907" w:rsidP="00D2733E">
            <w:pPr>
              <w:rPr>
                <w:rFonts w:ascii="Arial" w:hAnsi="Arial" w:cs="Arial"/>
                <w:sz w:val="22"/>
                <w:szCs w:val="22"/>
                <w:lang w:val="de-DE"/>
              </w:rPr>
            </w:pPr>
            <w:r w:rsidRPr="00704B44">
              <w:rPr>
                <w:rFonts w:ascii="Arial" w:hAnsi="Arial" w:cs="Arial"/>
                <w:sz w:val="22"/>
                <w:szCs w:val="22"/>
                <w:lang w:val="de-DE"/>
              </w:rPr>
              <w:t>WEEE</w:t>
            </w:r>
          </w:p>
        </w:tc>
        <w:tc>
          <w:tcPr>
            <w:tcW w:w="4086" w:type="dxa"/>
          </w:tcPr>
          <w:p w14:paraId="12915DD5" w14:textId="77777777" w:rsidR="008A3907" w:rsidRPr="00704B44" w:rsidRDefault="008A3907" w:rsidP="00D2733E">
            <w:pPr>
              <w:rPr>
                <w:rFonts w:ascii="Arial" w:hAnsi="Arial" w:cs="Arial"/>
                <w:sz w:val="22"/>
                <w:szCs w:val="22"/>
                <w:lang w:val="de-DE"/>
              </w:rPr>
            </w:pPr>
            <w:r w:rsidRPr="00704B44">
              <w:rPr>
                <w:rFonts w:ascii="Arial" w:hAnsi="Arial" w:cs="Arial"/>
                <w:sz w:val="22"/>
                <w:szCs w:val="22"/>
                <w:lang w:val="de-DE"/>
              </w:rPr>
              <w:t>0,7</w:t>
            </w:r>
            <w:r w:rsidR="0061390D" w:rsidRPr="00704B44">
              <w:rPr>
                <w:rFonts w:ascii="Arial" w:hAnsi="Arial" w:cs="Arial"/>
                <w:sz w:val="22"/>
                <w:szCs w:val="22"/>
                <w:lang w:val="de-DE"/>
              </w:rPr>
              <w:t>19</w:t>
            </w:r>
          </w:p>
        </w:tc>
        <w:tc>
          <w:tcPr>
            <w:tcW w:w="4087" w:type="dxa"/>
          </w:tcPr>
          <w:p w14:paraId="6DC96FF2" w14:textId="77777777" w:rsidR="008A3907" w:rsidRPr="00704B44" w:rsidRDefault="009548EB" w:rsidP="00D2733E">
            <w:pPr>
              <w:rPr>
                <w:rFonts w:ascii="Arial" w:hAnsi="Arial" w:cs="Arial"/>
                <w:sz w:val="22"/>
                <w:szCs w:val="22"/>
                <w:lang w:val="de-DE"/>
              </w:rPr>
            </w:pPr>
            <w:r w:rsidRPr="00704B44">
              <w:rPr>
                <w:rFonts w:ascii="Arial" w:hAnsi="Arial" w:cs="Arial"/>
                <w:sz w:val="22"/>
                <w:szCs w:val="22"/>
                <w:lang w:val="de-DE"/>
              </w:rPr>
              <w:t>0,822</w:t>
            </w:r>
          </w:p>
        </w:tc>
        <w:tc>
          <w:tcPr>
            <w:tcW w:w="4087" w:type="dxa"/>
          </w:tcPr>
          <w:p w14:paraId="63D88043" w14:textId="77777777" w:rsidR="008A3907" w:rsidRPr="00704B44" w:rsidRDefault="00C062F8" w:rsidP="00D2733E">
            <w:pPr>
              <w:rPr>
                <w:rFonts w:ascii="Arial" w:hAnsi="Arial" w:cs="Arial"/>
                <w:sz w:val="22"/>
                <w:szCs w:val="22"/>
                <w:lang w:val="de-DE"/>
              </w:rPr>
            </w:pPr>
            <w:r w:rsidRPr="00704B44">
              <w:rPr>
                <w:rFonts w:ascii="Arial" w:hAnsi="Arial" w:cs="Arial"/>
                <w:sz w:val="22"/>
                <w:szCs w:val="22"/>
                <w:lang w:val="de-DE"/>
              </w:rPr>
              <w:t>0,804</w:t>
            </w:r>
          </w:p>
        </w:tc>
      </w:tr>
    </w:tbl>
    <w:p w14:paraId="41406FA0" w14:textId="77777777" w:rsidR="003C6DDA" w:rsidRPr="00704B44" w:rsidRDefault="003C6DDA" w:rsidP="00A84E6C">
      <w:pPr>
        <w:rPr>
          <w:rFonts w:ascii="Arial" w:hAnsi="Arial" w:cs="Arial"/>
          <w:sz w:val="22"/>
          <w:szCs w:val="22"/>
          <w:lang w:val="de-DE"/>
        </w:rPr>
      </w:pPr>
    </w:p>
    <w:p w14:paraId="2CACC90E" w14:textId="6B51EEBB" w:rsidR="00A84E6C" w:rsidRPr="00704B44" w:rsidRDefault="00A84E6C" w:rsidP="00A84E6C">
      <w:pPr>
        <w:rPr>
          <w:rFonts w:ascii="Arial" w:hAnsi="Arial" w:cs="Arial"/>
          <w:sz w:val="22"/>
          <w:szCs w:val="22"/>
          <w:lang w:val="de-DE"/>
        </w:rPr>
      </w:pPr>
      <w:r w:rsidRPr="00704B44">
        <w:rPr>
          <w:rFonts w:ascii="Arial" w:hAnsi="Arial" w:cs="Arial"/>
          <w:sz w:val="22"/>
          <w:szCs w:val="22"/>
          <w:lang w:val="de-DE"/>
        </w:rPr>
        <w:t>Approach:</w:t>
      </w:r>
    </w:p>
    <w:p w14:paraId="7BA9DC0C" w14:textId="77777777" w:rsidR="00A84E6C" w:rsidRPr="00704B44" w:rsidRDefault="00A84E6C" w:rsidP="00A84E6C">
      <w:pPr>
        <w:rPr>
          <w:rFonts w:ascii="Arial" w:hAnsi="Arial" w:cs="Arial"/>
          <w:sz w:val="22"/>
          <w:szCs w:val="22"/>
        </w:rPr>
      </w:pPr>
      <w:r w:rsidRPr="00704B44">
        <w:rPr>
          <w:rFonts w:ascii="Arial" w:hAnsi="Arial" w:cs="Arial"/>
          <w:sz w:val="22"/>
          <w:szCs w:val="22"/>
        </w:rPr>
        <w:t>Multi-Criteria Decision Analysis (MCDA) + Analytic Hierarchy Process (AHP)</w:t>
      </w:r>
    </w:p>
    <w:p w14:paraId="3E6BC0E1" w14:textId="77777777" w:rsidR="00A84E6C" w:rsidRPr="00704B44" w:rsidRDefault="00A84E6C" w:rsidP="00A84E6C">
      <w:pPr>
        <w:rPr>
          <w:rFonts w:ascii="Arial" w:hAnsi="Arial" w:cs="Arial"/>
          <w:sz w:val="22"/>
          <w:szCs w:val="22"/>
        </w:rPr>
      </w:pPr>
      <w:r w:rsidRPr="00704B44">
        <w:rPr>
          <w:rFonts w:ascii="Arial" w:hAnsi="Arial" w:cs="Arial"/>
          <w:sz w:val="22"/>
          <w:szCs w:val="22"/>
        </w:rPr>
        <w:t>Sources that show that this makes sense:</w:t>
      </w:r>
    </w:p>
    <w:p w14:paraId="46D34FC7" w14:textId="77777777" w:rsidR="00A84E6C" w:rsidRPr="00704B44" w:rsidRDefault="00A84E6C" w:rsidP="00A84E6C">
      <w:pPr>
        <w:pStyle w:val="ListParagraph"/>
        <w:numPr>
          <w:ilvl w:val="0"/>
          <w:numId w:val="1"/>
        </w:numPr>
        <w:rPr>
          <w:rFonts w:ascii="Arial" w:hAnsi="Arial" w:cs="Arial"/>
          <w:sz w:val="22"/>
          <w:szCs w:val="22"/>
        </w:rPr>
      </w:pPr>
      <w:r w:rsidRPr="00704B44">
        <w:rPr>
          <w:rFonts w:ascii="Arial" w:hAnsi="Arial" w:cs="Arial"/>
          <w:sz w:val="22"/>
          <w:szCs w:val="22"/>
          <w:lang w:val="de-DE"/>
        </w:rPr>
        <w:t>MCDA:</w:t>
      </w:r>
      <w:r w:rsidRPr="00704B44">
        <w:rPr>
          <w:rFonts w:ascii="Arial" w:hAnsi="Arial" w:cs="Arial"/>
          <w:color w:val="222222"/>
          <w:shd w:val="clear" w:color="auto" w:fill="FFFFFF"/>
          <w:lang w:val="de-DE"/>
        </w:rPr>
        <w:t xml:space="preserve"> </w:t>
      </w:r>
      <w:r w:rsidRPr="00704B44">
        <w:rPr>
          <w:rFonts w:ascii="Arial" w:hAnsi="Arial" w:cs="Arial"/>
          <w:sz w:val="22"/>
          <w:szCs w:val="22"/>
          <w:lang w:val="de-DE"/>
        </w:rPr>
        <w:t xml:space="preserve">Belton V, Stewart TJ. </w:t>
      </w:r>
      <w:r w:rsidRPr="00704B44">
        <w:rPr>
          <w:rFonts w:ascii="Arial" w:hAnsi="Arial" w:cs="Arial"/>
          <w:sz w:val="22"/>
          <w:szCs w:val="22"/>
        </w:rPr>
        <w:t xml:space="preserve">Multiple criteria decision analysis: an integrated approach. </w:t>
      </w:r>
      <w:r w:rsidRPr="00704B44">
        <w:rPr>
          <w:rFonts w:ascii="Arial" w:hAnsi="Arial" w:cs="Arial"/>
          <w:sz w:val="22"/>
          <w:szCs w:val="22"/>
          <w:lang w:val="de-DE"/>
        </w:rPr>
        <w:t xml:space="preserve">2002. Boston: Kluwer Academic Publ. </w:t>
      </w:r>
      <w:r w:rsidRPr="00704B44">
        <w:rPr>
          <w:rFonts w:ascii="Arial" w:hAnsi="Arial" w:cs="Arial"/>
          <w:sz w:val="22"/>
          <w:szCs w:val="22"/>
        </w:rPr>
        <w:t xml:space="preserve">XVIII, 372 S.; </w:t>
      </w:r>
      <w:r w:rsidRPr="00704B44">
        <w:rPr>
          <w:rFonts w:ascii="Arial" w:hAnsi="Arial" w:cs="Arial"/>
          <w:sz w:val="22"/>
          <w:szCs w:val="22"/>
        </w:rPr>
        <w:br/>
        <w:t xml:space="preserve"> </w:t>
      </w:r>
      <w:hyperlink r:id="rId10" w:history="1">
        <w:r w:rsidRPr="00704B44">
          <w:rPr>
            <w:rStyle w:val="Hyperlink"/>
            <w:rFonts w:ascii="Arial" w:hAnsi="Arial" w:cs="Arial"/>
            <w:sz w:val="22"/>
            <w:szCs w:val="22"/>
          </w:rPr>
          <w:t>https://link.springer.com/article/10.1007/s40273-014-0135-0</w:t>
        </w:r>
      </w:hyperlink>
      <w:r w:rsidRPr="00704B44">
        <w:rPr>
          <w:rFonts w:ascii="Arial" w:hAnsi="Arial" w:cs="Arial"/>
          <w:sz w:val="22"/>
          <w:szCs w:val="22"/>
        </w:rPr>
        <w:t xml:space="preserve">; </w:t>
      </w:r>
      <w:hyperlink r:id="rId11" w:history="1">
        <w:r w:rsidRPr="00704B44">
          <w:rPr>
            <w:rStyle w:val="Hyperlink"/>
            <w:rFonts w:ascii="Arial" w:hAnsi="Arial" w:cs="Arial"/>
            <w:sz w:val="22"/>
            <w:szCs w:val="22"/>
          </w:rPr>
          <w:t>https://pubmed.ncbi.nlm.nih.gov/26797229/</w:t>
        </w:r>
      </w:hyperlink>
      <w:r w:rsidRPr="00704B44">
        <w:rPr>
          <w:rFonts w:ascii="Arial" w:hAnsi="Arial" w:cs="Arial"/>
          <w:sz w:val="22"/>
          <w:szCs w:val="22"/>
        </w:rPr>
        <w:t xml:space="preserve">; </w:t>
      </w:r>
      <w:hyperlink r:id="rId12" w:history="1">
        <w:r w:rsidRPr="00704B44">
          <w:rPr>
            <w:rStyle w:val="Hyperlink"/>
            <w:rFonts w:ascii="Arial" w:hAnsi="Arial" w:cs="Arial"/>
            <w:sz w:val="22"/>
            <w:szCs w:val="22"/>
          </w:rPr>
          <w:t>https://link.springer.com/article/10.1007/s40258-015-0203-4</w:t>
        </w:r>
      </w:hyperlink>
      <w:r w:rsidRPr="00704B44">
        <w:rPr>
          <w:rFonts w:ascii="Arial" w:hAnsi="Arial" w:cs="Arial"/>
          <w:sz w:val="22"/>
          <w:szCs w:val="22"/>
        </w:rPr>
        <w:t xml:space="preserve"> </w:t>
      </w:r>
      <w:r w:rsidRPr="00704B44">
        <w:rPr>
          <w:rFonts w:ascii="Arial" w:hAnsi="Arial" w:cs="Arial"/>
          <w:sz w:val="22"/>
          <w:szCs w:val="22"/>
        </w:rPr>
        <w:br/>
        <w:t xml:space="preserve">Here, MCDA is used directly to derive a “benefit–risk” value  similar to our quotient: </w:t>
      </w:r>
      <w:hyperlink r:id="rId13" w:history="1">
        <w:r w:rsidRPr="00704B44">
          <w:rPr>
            <w:rStyle w:val="Hyperlink"/>
            <w:rFonts w:ascii="Arial" w:hAnsi="Arial" w:cs="Arial"/>
            <w:sz w:val="22"/>
            <w:szCs w:val="22"/>
          </w:rPr>
          <w:t>https://www.ema.europa.eu/en/documents/regulatory-procedural-guideline/report-chmp-working-group-benefit-risk-assessment-models-and-methods_en.pdf</w:t>
        </w:r>
      </w:hyperlink>
    </w:p>
    <w:p w14:paraId="33A86F8B" w14:textId="77777777" w:rsidR="00A84E6C" w:rsidRPr="00704B44" w:rsidRDefault="00A84E6C" w:rsidP="00A84E6C">
      <w:pPr>
        <w:pStyle w:val="ListParagraph"/>
        <w:numPr>
          <w:ilvl w:val="0"/>
          <w:numId w:val="1"/>
        </w:numPr>
        <w:rPr>
          <w:rFonts w:ascii="Arial" w:hAnsi="Arial" w:cs="Arial"/>
          <w:sz w:val="22"/>
          <w:szCs w:val="22"/>
          <w:lang w:val="de-DE"/>
        </w:rPr>
      </w:pPr>
      <w:r w:rsidRPr="00704B44">
        <w:rPr>
          <w:rFonts w:ascii="Arial" w:hAnsi="Arial" w:cs="Arial"/>
          <w:sz w:val="22"/>
          <w:szCs w:val="22"/>
        </w:rPr>
        <w:t xml:space="preserve">AHP: Mühlbacher AC, Kaczynski A. The Analytic Hierarchy Process (AHP): a method for decision support in healthcare. </w:t>
      </w:r>
      <w:proofErr w:type="spellStart"/>
      <w:r w:rsidRPr="00704B44">
        <w:rPr>
          <w:rFonts w:ascii="Arial" w:hAnsi="Arial" w:cs="Arial"/>
          <w:sz w:val="22"/>
          <w:szCs w:val="22"/>
        </w:rPr>
        <w:t>PharmacoEcon</w:t>
      </w:r>
      <w:proofErr w:type="spellEnd"/>
      <w:r w:rsidRPr="00704B44">
        <w:rPr>
          <w:rFonts w:ascii="Arial" w:hAnsi="Arial" w:cs="Arial"/>
          <w:sz w:val="22"/>
          <w:szCs w:val="22"/>
        </w:rPr>
        <w:t xml:space="preserve"> Ger Res </w:t>
      </w:r>
      <w:proofErr w:type="spellStart"/>
      <w:r w:rsidRPr="00704B44">
        <w:rPr>
          <w:rFonts w:ascii="Arial" w:hAnsi="Arial" w:cs="Arial"/>
          <w:sz w:val="22"/>
          <w:szCs w:val="22"/>
        </w:rPr>
        <w:t>Artic</w:t>
      </w:r>
      <w:proofErr w:type="spellEnd"/>
      <w:r w:rsidRPr="00704B44">
        <w:rPr>
          <w:rFonts w:ascii="Arial" w:hAnsi="Arial" w:cs="Arial"/>
          <w:sz w:val="22"/>
          <w:szCs w:val="22"/>
        </w:rPr>
        <w:t>. 2014;11(2):119–32.</w:t>
      </w:r>
    </w:p>
    <w:p w14:paraId="73782E78" w14:textId="77777777" w:rsidR="00704B44" w:rsidRPr="00704B44" w:rsidRDefault="00704B44">
      <w:pPr>
        <w:rPr>
          <w:rFonts w:asciiTheme="majorHAnsi" w:eastAsiaTheme="majorEastAsia" w:hAnsiTheme="majorHAnsi" w:cstheme="majorBidi"/>
          <w:color w:val="0F4761" w:themeColor="accent1" w:themeShade="BF"/>
          <w:sz w:val="36"/>
          <w:szCs w:val="36"/>
          <w:lang w:val="de-DE"/>
        </w:rPr>
      </w:pPr>
      <w:r w:rsidRPr="00704B44">
        <w:rPr>
          <w:sz w:val="22"/>
          <w:szCs w:val="22"/>
          <w:lang w:val="de-DE"/>
        </w:rPr>
        <w:br w:type="page"/>
      </w:r>
    </w:p>
    <w:p w14:paraId="5FCBF0B3" w14:textId="3ECDAD25" w:rsidR="00A84E6C" w:rsidRPr="00704B44" w:rsidRDefault="00A84E6C" w:rsidP="003C6DDA">
      <w:pPr>
        <w:pStyle w:val="Heading1"/>
        <w:rPr>
          <w:sz w:val="36"/>
          <w:szCs w:val="36"/>
        </w:rPr>
      </w:pPr>
      <w:r w:rsidRPr="00704B44">
        <w:rPr>
          <w:sz w:val="36"/>
          <w:szCs w:val="36"/>
        </w:rPr>
        <w:lastRenderedPageBreak/>
        <w:t>Structure (MCDA):</w:t>
      </w:r>
    </w:p>
    <w:p w14:paraId="361843AC" w14:textId="77777777" w:rsidR="00A84E6C" w:rsidRPr="00704B44" w:rsidRDefault="00A84E6C" w:rsidP="00A84E6C">
      <w:pPr>
        <w:rPr>
          <w:rFonts w:ascii="Arial" w:hAnsi="Arial" w:cs="Arial"/>
          <w:b/>
          <w:bCs/>
          <w:sz w:val="22"/>
          <w:szCs w:val="22"/>
        </w:rPr>
      </w:pPr>
      <w:r w:rsidRPr="00704B44">
        <w:rPr>
          <w:rFonts w:ascii="Arial" w:hAnsi="Arial" w:cs="Arial"/>
          <w:b/>
          <w:bCs/>
          <w:sz w:val="22"/>
          <w:szCs w:val="22"/>
        </w:rPr>
        <w:t>1) Define the decision problem</w:t>
      </w:r>
    </w:p>
    <w:p w14:paraId="5BE8E544" w14:textId="77777777" w:rsidR="00A84E6C" w:rsidRPr="00704B44" w:rsidRDefault="00A84E6C" w:rsidP="00A84E6C">
      <w:pPr>
        <w:rPr>
          <w:rFonts w:ascii="Arial" w:hAnsi="Arial" w:cs="Arial"/>
          <w:sz w:val="22"/>
          <w:szCs w:val="22"/>
        </w:rPr>
      </w:pPr>
      <w:r w:rsidRPr="00704B44">
        <w:rPr>
          <w:rFonts w:ascii="Arial" w:hAnsi="Arial" w:cs="Arial"/>
          <w:sz w:val="22"/>
          <w:szCs w:val="22"/>
        </w:rPr>
        <w:t xml:space="preserve">Goal: For each regulation considered, calculate a circularity-impact quotient </w:t>
      </w:r>
      <m:oMath>
        <m:r>
          <w:rPr>
            <w:rFonts w:ascii="Cambria Math" w:hAnsi="Cambria Math" w:cs="Arial"/>
            <w:sz w:val="22"/>
            <w:szCs w:val="22"/>
          </w:rPr>
          <m:t>Q∈[0,1]</m:t>
        </m:r>
      </m:oMath>
      <w:r w:rsidRPr="00704B44">
        <w:rPr>
          <w:rFonts w:ascii="Arial" w:hAnsi="Arial" w:cs="Arial"/>
          <w:sz w:val="22"/>
          <w:szCs w:val="22"/>
        </w:rPr>
        <w:t xml:space="preserve">where 0 = strongly blocking and 1 = strongly enabling. – relative to the EU </w:t>
      </w:r>
      <w:proofErr w:type="gramStart"/>
      <w:r w:rsidRPr="00704B44">
        <w:rPr>
          <w:rFonts w:ascii="Arial" w:hAnsi="Arial" w:cs="Arial"/>
          <w:sz w:val="22"/>
          <w:szCs w:val="22"/>
        </w:rPr>
        <w:t>regulations  Since</w:t>
      </w:r>
      <w:proofErr w:type="gramEnd"/>
      <w:r w:rsidRPr="00704B44">
        <w:rPr>
          <w:rFonts w:ascii="Arial" w:hAnsi="Arial" w:cs="Arial"/>
          <w:sz w:val="22"/>
          <w:szCs w:val="22"/>
        </w:rPr>
        <w:t xml:space="preserve"> all countries are affected here, these are disregarded</w:t>
      </w:r>
    </w:p>
    <w:p w14:paraId="10B03BFF" w14:textId="77777777" w:rsidR="00A84E6C" w:rsidRPr="00704B44" w:rsidRDefault="00A84E6C" w:rsidP="00A84E6C">
      <w:pPr>
        <w:rPr>
          <w:rFonts w:ascii="Arial" w:hAnsi="Arial" w:cs="Arial"/>
          <w:sz w:val="22"/>
          <w:szCs w:val="22"/>
        </w:rPr>
      </w:pPr>
      <w:r w:rsidRPr="00704B44">
        <w:rPr>
          <w:rFonts w:ascii="Arial" w:hAnsi="Arial" w:cs="Arial"/>
          <w:sz w:val="22"/>
          <w:szCs w:val="22"/>
        </w:rPr>
        <w:t xml:space="preserve">2) </w:t>
      </w:r>
      <w:r w:rsidRPr="00704B44">
        <w:rPr>
          <w:rFonts w:ascii="Arial" w:hAnsi="Arial" w:cs="Arial"/>
          <w:b/>
          <w:bCs/>
          <w:sz w:val="22"/>
          <w:szCs w:val="22"/>
        </w:rPr>
        <w:t>Alternatives</w:t>
      </w:r>
      <w:r w:rsidRPr="00704B44">
        <w:rPr>
          <w:rFonts w:ascii="Arial" w:hAnsi="Arial" w:cs="Arial"/>
          <w:sz w:val="22"/>
          <w:szCs w:val="22"/>
        </w:rPr>
        <w:t xml:space="preserve"> (A): For each medical device, the individual regulations by country</w:t>
      </w:r>
    </w:p>
    <w:p w14:paraId="53FA5464" w14:textId="77777777" w:rsidR="00A84E6C" w:rsidRPr="00704B44" w:rsidRDefault="00A84E6C" w:rsidP="00A84E6C">
      <w:pPr>
        <w:rPr>
          <w:rFonts w:ascii="Arial" w:hAnsi="Arial" w:cs="Arial"/>
          <w:sz w:val="22"/>
          <w:szCs w:val="22"/>
          <w:lang w:val="de-DE"/>
        </w:rPr>
      </w:pPr>
      <w:r w:rsidRPr="00704B44">
        <w:rPr>
          <w:rFonts w:ascii="Arial" w:hAnsi="Arial" w:cs="Arial"/>
          <w:sz w:val="22"/>
          <w:szCs w:val="22"/>
          <w:lang w:val="de-DE"/>
        </w:rPr>
        <w:t xml:space="preserve">3) </w:t>
      </w:r>
      <w:r w:rsidRPr="00704B44">
        <w:rPr>
          <w:rFonts w:ascii="Arial" w:hAnsi="Arial" w:cs="Arial"/>
          <w:b/>
          <w:bCs/>
          <w:sz w:val="22"/>
          <w:szCs w:val="22"/>
          <w:lang w:val="de-DE"/>
        </w:rPr>
        <w:t xml:space="preserve">Define </w:t>
      </w:r>
      <w:proofErr w:type="spellStart"/>
      <w:r w:rsidRPr="00704B44">
        <w:rPr>
          <w:rFonts w:ascii="Arial" w:hAnsi="Arial" w:cs="Arial"/>
          <w:b/>
          <w:bCs/>
          <w:sz w:val="22"/>
          <w:szCs w:val="22"/>
          <w:lang w:val="de-DE"/>
        </w:rPr>
        <w:t>the</w:t>
      </w:r>
      <w:proofErr w:type="spellEnd"/>
      <w:r w:rsidRPr="00704B44">
        <w:rPr>
          <w:rFonts w:ascii="Arial" w:hAnsi="Arial" w:cs="Arial"/>
          <w:b/>
          <w:bCs/>
          <w:sz w:val="22"/>
          <w:szCs w:val="22"/>
          <w:lang w:val="de-DE"/>
        </w:rPr>
        <w:t xml:space="preserve"> </w:t>
      </w:r>
      <w:proofErr w:type="spellStart"/>
      <w:r w:rsidRPr="00704B44">
        <w:rPr>
          <w:rFonts w:ascii="Arial" w:hAnsi="Arial" w:cs="Arial"/>
          <w:b/>
          <w:bCs/>
          <w:sz w:val="22"/>
          <w:szCs w:val="22"/>
          <w:lang w:val="de-DE"/>
        </w:rPr>
        <w:t>criteria</w:t>
      </w:r>
      <w:proofErr w:type="spellEnd"/>
      <w:r w:rsidRPr="00704B44">
        <w:rPr>
          <w:rFonts w:ascii="Arial" w:hAnsi="Arial" w:cs="Arial"/>
          <w:b/>
          <w:bCs/>
          <w:sz w:val="22"/>
          <w:szCs w:val="22"/>
          <w:lang w:val="de-DE"/>
        </w:rPr>
        <w:t xml:space="preserve"> </w:t>
      </w:r>
      <w:proofErr w:type="spellStart"/>
      <w:r w:rsidRPr="00704B44">
        <w:rPr>
          <w:rFonts w:ascii="Arial" w:hAnsi="Arial" w:cs="Arial"/>
          <w:b/>
          <w:bCs/>
          <w:sz w:val="22"/>
          <w:szCs w:val="22"/>
          <w:lang w:val="de-DE"/>
        </w:rPr>
        <w:t>model</w:t>
      </w:r>
      <w:proofErr w:type="spellEnd"/>
      <w:r w:rsidRPr="00704B44">
        <w:rPr>
          <w:rFonts w:ascii="Arial" w:hAnsi="Arial" w:cs="Arial"/>
          <w:sz w:val="22"/>
          <w:szCs w:val="22"/>
          <w:lang w:val="de-DE"/>
        </w:rPr>
        <w:t xml:space="preserve">: </w:t>
      </w:r>
    </w:p>
    <w:p w14:paraId="4584675B" w14:textId="77777777" w:rsidR="00A84E6C" w:rsidRPr="00704B44" w:rsidRDefault="00A84E6C" w:rsidP="00A84E6C">
      <w:pPr>
        <w:pStyle w:val="ListParagraph"/>
        <w:numPr>
          <w:ilvl w:val="0"/>
          <w:numId w:val="2"/>
        </w:numPr>
        <w:rPr>
          <w:rFonts w:ascii="Arial" w:hAnsi="Arial" w:cs="Arial"/>
          <w:sz w:val="22"/>
          <w:szCs w:val="22"/>
        </w:rPr>
      </w:pPr>
      <w:r w:rsidRPr="00704B44">
        <w:rPr>
          <w:rFonts w:ascii="Arial" w:hAnsi="Arial" w:cs="Arial"/>
          <w:sz w:val="22"/>
          <w:szCs w:val="22"/>
        </w:rPr>
        <w:t>Legal clarity &amp; permissibility of circular pathways (Is reuse/repair/refurb/reprocess legally clearly permitted/definable?)</w:t>
      </w:r>
    </w:p>
    <w:p w14:paraId="037DDE89" w14:textId="77777777" w:rsidR="00A84E6C" w:rsidRPr="00704B44" w:rsidRDefault="00A84E6C" w:rsidP="00A84E6C">
      <w:pPr>
        <w:pStyle w:val="ListParagraph"/>
        <w:numPr>
          <w:ilvl w:val="0"/>
          <w:numId w:val="2"/>
        </w:numPr>
        <w:rPr>
          <w:rFonts w:ascii="Arial" w:hAnsi="Arial" w:cs="Arial"/>
          <w:sz w:val="22"/>
          <w:szCs w:val="22"/>
          <w:lang w:val="de-DE"/>
        </w:rPr>
      </w:pPr>
      <w:r w:rsidRPr="00704B44">
        <w:rPr>
          <w:rFonts w:ascii="Arial" w:hAnsi="Arial" w:cs="Arial"/>
          <w:sz w:val="22"/>
          <w:szCs w:val="22"/>
        </w:rPr>
        <w:t xml:space="preserve">Additional compliance burden for circular actors (inverted) (How much do duties/costs/risks increase for </w:t>
      </w:r>
      <w:proofErr w:type="spellStart"/>
      <w:r w:rsidRPr="00704B44">
        <w:rPr>
          <w:rFonts w:ascii="Arial" w:hAnsi="Arial" w:cs="Arial"/>
          <w:sz w:val="22"/>
          <w:szCs w:val="22"/>
        </w:rPr>
        <w:t>reprocessors</w:t>
      </w:r>
      <w:proofErr w:type="spellEnd"/>
      <w:r w:rsidRPr="00704B44">
        <w:rPr>
          <w:rFonts w:ascii="Arial" w:hAnsi="Arial" w:cs="Arial"/>
          <w:sz w:val="22"/>
          <w:szCs w:val="22"/>
        </w:rPr>
        <w:t>/</w:t>
      </w:r>
      <w:proofErr w:type="spellStart"/>
      <w:r w:rsidRPr="00704B44">
        <w:rPr>
          <w:rFonts w:ascii="Arial" w:hAnsi="Arial" w:cs="Arial"/>
          <w:sz w:val="22"/>
          <w:szCs w:val="22"/>
        </w:rPr>
        <w:t>refurbishers</w:t>
      </w:r>
      <w:proofErr w:type="spellEnd"/>
      <w:r w:rsidRPr="00704B44">
        <w:rPr>
          <w:rFonts w:ascii="Arial" w:hAnsi="Arial" w:cs="Arial"/>
          <w:sz w:val="22"/>
          <w:szCs w:val="22"/>
        </w:rPr>
        <w:t xml:space="preserve">/operators? </w:t>
      </w:r>
      <w:r w:rsidRPr="00704B44">
        <w:rPr>
          <w:rFonts w:ascii="Arial" w:hAnsi="Arial" w:cs="Arial"/>
          <w:sz w:val="22"/>
          <w:szCs w:val="22"/>
          <w:lang w:val="de-DE"/>
        </w:rPr>
        <w:t xml:space="preserve">The </w:t>
      </w:r>
      <w:proofErr w:type="spellStart"/>
      <w:r w:rsidRPr="00704B44">
        <w:rPr>
          <w:rFonts w:ascii="Arial" w:hAnsi="Arial" w:cs="Arial"/>
          <w:sz w:val="22"/>
          <w:szCs w:val="22"/>
          <w:lang w:val="de-DE"/>
        </w:rPr>
        <w:t>lower</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the</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better</w:t>
      </w:r>
      <w:proofErr w:type="spellEnd"/>
      <w:r w:rsidRPr="00704B44">
        <w:rPr>
          <w:rFonts w:ascii="Arial" w:hAnsi="Arial" w:cs="Arial"/>
          <w:sz w:val="22"/>
          <w:szCs w:val="22"/>
          <w:lang w:val="de-DE"/>
        </w:rPr>
        <w:t>.)</w:t>
      </w:r>
    </w:p>
    <w:p w14:paraId="0ECEE465" w14:textId="77777777" w:rsidR="00A84E6C" w:rsidRPr="00704B44" w:rsidRDefault="00A84E6C" w:rsidP="00A84E6C">
      <w:pPr>
        <w:pStyle w:val="ListParagraph"/>
        <w:numPr>
          <w:ilvl w:val="0"/>
          <w:numId w:val="2"/>
        </w:numPr>
        <w:rPr>
          <w:rFonts w:ascii="Arial" w:hAnsi="Arial" w:cs="Arial"/>
          <w:sz w:val="22"/>
          <w:szCs w:val="22"/>
        </w:rPr>
      </w:pPr>
      <w:r w:rsidRPr="00704B44">
        <w:rPr>
          <w:rFonts w:ascii="Arial" w:hAnsi="Arial" w:cs="Arial"/>
          <w:sz w:val="22"/>
          <w:szCs w:val="22"/>
        </w:rPr>
        <w:t>Incentive and demand impact (Does the rule create economic/market-side incentives? e.g., EPR costs, fee logic, procurement levers.)</w:t>
      </w:r>
    </w:p>
    <w:p w14:paraId="321CBA21" w14:textId="77777777" w:rsidR="00A84E6C" w:rsidRPr="00704B44" w:rsidRDefault="00A84E6C" w:rsidP="00A84E6C">
      <w:pPr>
        <w:pStyle w:val="ListParagraph"/>
        <w:numPr>
          <w:ilvl w:val="0"/>
          <w:numId w:val="2"/>
        </w:numPr>
        <w:rPr>
          <w:rFonts w:ascii="Arial" w:hAnsi="Arial" w:cs="Arial"/>
          <w:sz w:val="22"/>
          <w:szCs w:val="22"/>
        </w:rPr>
      </w:pPr>
      <w:r w:rsidRPr="00704B44">
        <w:rPr>
          <w:rFonts w:ascii="Arial" w:hAnsi="Arial" w:cs="Arial"/>
          <w:sz w:val="22"/>
          <w:szCs w:val="22"/>
        </w:rPr>
        <w:t>Data, traceability and information impact (Does the rule generate data/transparency that makes circular processes possible in the first place? e.g., UDI, registers, information obligations for treatment/reprocessing.)</w:t>
      </w:r>
    </w:p>
    <w:p w14:paraId="131D49C0" w14:textId="77777777" w:rsidR="00A84E6C" w:rsidRPr="00704B44" w:rsidRDefault="00A84E6C" w:rsidP="00A84E6C">
      <w:pPr>
        <w:pStyle w:val="ListParagraph"/>
        <w:numPr>
          <w:ilvl w:val="0"/>
          <w:numId w:val="2"/>
        </w:numPr>
        <w:rPr>
          <w:rFonts w:ascii="Arial" w:hAnsi="Arial" w:cs="Arial"/>
          <w:sz w:val="22"/>
          <w:szCs w:val="22"/>
        </w:rPr>
      </w:pPr>
      <w:r w:rsidRPr="00704B44">
        <w:rPr>
          <w:rFonts w:ascii="Arial" w:hAnsi="Arial" w:cs="Arial"/>
          <w:sz w:val="22"/>
          <w:szCs w:val="22"/>
        </w:rPr>
        <w:t xml:space="preserve">Operationalizability / Practical </w:t>
      </w:r>
      <w:proofErr w:type="spellStart"/>
      <w:r w:rsidRPr="00704B44">
        <w:rPr>
          <w:rFonts w:ascii="Arial" w:hAnsi="Arial" w:cs="Arial"/>
          <w:sz w:val="22"/>
          <w:szCs w:val="22"/>
        </w:rPr>
        <w:t>implementability</w:t>
      </w:r>
      <w:proofErr w:type="spellEnd"/>
      <w:r w:rsidRPr="00704B44">
        <w:rPr>
          <w:rFonts w:ascii="Arial" w:hAnsi="Arial" w:cs="Arial"/>
          <w:sz w:val="22"/>
          <w:szCs w:val="22"/>
        </w:rPr>
        <w:t xml:space="preserve"> (Are there clear processes/standards/institutions that enable implementation – or does it remain only “on paper”</w:t>
      </w:r>
      <w:proofErr w:type="gramStart"/>
      <w:r w:rsidRPr="00704B44">
        <w:rPr>
          <w:rFonts w:ascii="Arial" w:hAnsi="Arial" w:cs="Arial"/>
          <w:sz w:val="22"/>
          <w:szCs w:val="22"/>
        </w:rPr>
        <w:t>? )</w:t>
      </w:r>
      <w:proofErr w:type="gramEnd"/>
    </w:p>
    <w:p w14:paraId="65A30258" w14:textId="77777777" w:rsidR="00A84E6C" w:rsidRPr="00704B44" w:rsidRDefault="00A84E6C" w:rsidP="00A84E6C">
      <w:pPr>
        <w:rPr>
          <w:rFonts w:ascii="Arial" w:hAnsi="Arial" w:cs="Arial"/>
          <w:sz w:val="22"/>
          <w:szCs w:val="22"/>
        </w:rPr>
      </w:pPr>
      <w:r w:rsidRPr="00704B44">
        <w:rPr>
          <w:rFonts w:ascii="Arial" w:hAnsi="Arial" w:cs="Arial"/>
          <w:sz w:val="22"/>
          <w:szCs w:val="22"/>
        </w:rPr>
        <w:t xml:space="preserve">Neutral rule: If a legal act does not address a criterion, 0.5 is assigned (not “0”) to avoid distorting “not applicable” as “blocking”. (This follows the logic of clean index construction: defined coding rules + consistent interpretation.) (Similar to: </w:t>
      </w:r>
      <w:hyperlink r:id="rId14" w:history="1">
        <w:r w:rsidRPr="00704B44">
          <w:rPr>
            <w:rStyle w:val="Hyperlink"/>
            <w:rFonts w:ascii="Arial" w:hAnsi="Arial" w:cs="Arial"/>
            <w:sz w:val="22"/>
            <w:szCs w:val="22"/>
          </w:rPr>
          <w:t>https://www.oecd.org/content/dam/oecd/en/publications/reports/2005/08/handbook-on-constructing-composite-indicators_g17a16e3/533411815016.pdf</w:t>
        </w:r>
      </w:hyperlink>
      <w:r w:rsidRPr="00704B44">
        <w:rPr>
          <w:rFonts w:ascii="Arial" w:hAnsi="Arial" w:cs="Arial"/>
          <w:sz w:val="22"/>
          <w:szCs w:val="22"/>
        </w:rPr>
        <w:t>)</w:t>
      </w:r>
    </w:p>
    <w:p w14:paraId="399DE1A1" w14:textId="77777777" w:rsidR="00A84E6C" w:rsidRPr="00704B44" w:rsidRDefault="00A84E6C" w:rsidP="00A84E6C">
      <w:pPr>
        <w:rPr>
          <w:rFonts w:ascii="Arial" w:hAnsi="Arial" w:cs="Arial"/>
          <w:sz w:val="22"/>
          <w:szCs w:val="22"/>
        </w:rPr>
      </w:pPr>
    </w:p>
    <w:p w14:paraId="78E5BA65" w14:textId="769F2AE5" w:rsidR="00A84E6C" w:rsidRPr="00704B44" w:rsidRDefault="00A84E6C" w:rsidP="00A84E6C">
      <w:pPr>
        <w:rPr>
          <w:rFonts w:ascii="Arial" w:hAnsi="Arial" w:cs="Arial"/>
          <w:sz w:val="22"/>
          <w:szCs w:val="22"/>
        </w:rPr>
      </w:pPr>
      <w:r w:rsidRPr="00704B44">
        <w:rPr>
          <w:rFonts w:ascii="Arial" w:hAnsi="Arial" w:cs="Arial"/>
          <w:sz w:val="22"/>
          <w:szCs w:val="22"/>
        </w:rPr>
        <w:t xml:space="preserve">4) </w:t>
      </w:r>
      <w:r w:rsidR="003C6DDA" w:rsidRPr="00704B44">
        <w:rPr>
          <w:rFonts w:ascii="Arial" w:hAnsi="Arial" w:cs="Arial"/>
          <w:b/>
          <w:bCs/>
          <w:sz w:val="22"/>
          <w:szCs w:val="22"/>
        </w:rPr>
        <w:t>Create</w:t>
      </w:r>
      <w:r w:rsidR="003C6DDA" w:rsidRPr="00704B44">
        <w:rPr>
          <w:rFonts w:ascii="Arial" w:hAnsi="Arial" w:cs="Arial"/>
          <w:sz w:val="22"/>
          <w:szCs w:val="22"/>
        </w:rPr>
        <w:t xml:space="preserve"> </w:t>
      </w:r>
      <w:r w:rsidRPr="00704B44">
        <w:rPr>
          <w:rFonts w:ascii="Arial" w:hAnsi="Arial" w:cs="Arial"/>
          <w:b/>
          <w:bCs/>
          <w:sz w:val="22"/>
          <w:szCs w:val="22"/>
        </w:rPr>
        <w:t>Scoring Codebook (and assess the regulations):</w:t>
      </w:r>
      <w:r w:rsidRPr="00704B44">
        <w:rPr>
          <w:rFonts w:ascii="Arial" w:hAnsi="Arial" w:cs="Arial"/>
          <w:sz w:val="22"/>
          <w:szCs w:val="22"/>
        </w:rPr>
        <w:br/>
        <w:t xml:space="preserve">For each criterion, a definition that specifies, for the value range 0–1, the criteria for scoring. </w:t>
      </w:r>
    </w:p>
    <w:p w14:paraId="202CBDE3" w14:textId="77777777" w:rsidR="00A84E6C" w:rsidRPr="00704B44" w:rsidRDefault="00A84E6C" w:rsidP="00A84E6C">
      <w:pPr>
        <w:rPr>
          <w:rFonts w:ascii="Arial" w:hAnsi="Arial" w:cs="Arial"/>
          <w:sz w:val="22"/>
          <w:szCs w:val="22"/>
        </w:rPr>
      </w:pPr>
      <w:r w:rsidRPr="00704B44">
        <w:rPr>
          <w:rFonts w:ascii="Arial" w:hAnsi="Arial" w:cs="Arial"/>
          <w:sz w:val="22"/>
          <w:szCs w:val="22"/>
        </w:rPr>
        <w:t xml:space="preserve">General scale: </w:t>
      </w:r>
    </w:p>
    <w:p w14:paraId="6F7D776B" w14:textId="77777777" w:rsidR="00A84E6C" w:rsidRPr="00704B44" w:rsidRDefault="00A84E6C" w:rsidP="00A84E6C">
      <w:pPr>
        <w:rPr>
          <w:rFonts w:ascii="Arial" w:hAnsi="Arial" w:cs="Arial"/>
          <w:sz w:val="22"/>
          <w:szCs w:val="22"/>
        </w:rPr>
      </w:pPr>
      <w:r w:rsidRPr="00704B44">
        <w:rPr>
          <w:rFonts w:ascii="Arial" w:hAnsi="Arial" w:cs="Arial"/>
          <w:b/>
          <w:bCs/>
          <w:sz w:val="22"/>
          <w:szCs w:val="22"/>
        </w:rPr>
        <w:t>Scale (the same for all criteria):</w:t>
      </w:r>
    </w:p>
    <w:p w14:paraId="3B5B286D" w14:textId="3D0F9329" w:rsidR="00A84E6C" w:rsidRPr="00704B44" w:rsidRDefault="00A84E6C" w:rsidP="00A84E6C">
      <w:pPr>
        <w:numPr>
          <w:ilvl w:val="0"/>
          <w:numId w:val="3"/>
        </w:numPr>
        <w:rPr>
          <w:rFonts w:ascii="Arial" w:hAnsi="Arial" w:cs="Arial"/>
          <w:sz w:val="22"/>
          <w:szCs w:val="22"/>
        </w:rPr>
      </w:pPr>
      <w:r w:rsidRPr="00704B44">
        <w:rPr>
          <w:rFonts w:ascii="Arial" w:hAnsi="Arial" w:cs="Arial"/>
          <w:b/>
          <w:bCs/>
          <w:sz w:val="22"/>
          <w:szCs w:val="22"/>
        </w:rPr>
        <w:t>0.00</w:t>
      </w:r>
      <w:r w:rsidRPr="00704B44">
        <w:rPr>
          <w:rFonts w:ascii="Arial" w:hAnsi="Arial" w:cs="Arial"/>
          <w:sz w:val="22"/>
          <w:szCs w:val="22"/>
        </w:rPr>
        <w:t xml:space="preserve"> = </w:t>
      </w:r>
      <w:r w:rsidR="003C6DDA" w:rsidRPr="00704B44">
        <w:rPr>
          <w:rFonts w:ascii="Arial" w:hAnsi="Arial" w:cs="Arial"/>
          <w:sz w:val="22"/>
          <w:szCs w:val="22"/>
        </w:rPr>
        <w:t>strongly</w:t>
      </w:r>
      <w:r w:rsidRPr="00704B44">
        <w:rPr>
          <w:rFonts w:ascii="Arial" w:hAnsi="Arial" w:cs="Arial"/>
          <w:sz w:val="22"/>
          <w:szCs w:val="22"/>
        </w:rPr>
        <w:t xml:space="preserve"> </w:t>
      </w:r>
      <w:r w:rsidR="003C6DDA" w:rsidRPr="00704B44">
        <w:rPr>
          <w:rFonts w:ascii="Arial" w:hAnsi="Arial" w:cs="Arial"/>
          <w:sz w:val="22"/>
          <w:szCs w:val="22"/>
        </w:rPr>
        <w:t>blocking</w:t>
      </w:r>
    </w:p>
    <w:p w14:paraId="332AAE72" w14:textId="2435E861" w:rsidR="00A84E6C" w:rsidRPr="00704B44" w:rsidRDefault="00A84E6C" w:rsidP="00A84E6C">
      <w:pPr>
        <w:numPr>
          <w:ilvl w:val="0"/>
          <w:numId w:val="3"/>
        </w:numPr>
        <w:rPr>
          <w:rFonts w:ascii="Arial" w:hAnsi="Arial" w:cs="Arial"/>
          <w:sz w:val="22"/>
          <w:szCs w:val="22"/>
        </w:rPr>
      </w:pPr>
      <w:r w:rsidRPr="00704B44">
        <w:rPr>
          <w:rFonts w:ascii="Arial" w:hAnsi="Arial" w:cs="Arial"/>
          <w:b/>
          <w:bCs/>
          <w:sz w:val="22"/>
          <w:szCs w:val="22"/>
        </w:rPr>
        <w:t>0.25</w:t>
      </w:r>
      <w:r w:rsidRPr="00704B44">
        <w:rPr>
          <w:rFonts w:ascii="Arial" w:hAnsi="Arial" w:cs="Arial"/>
          <w:sz w:val="22"/>
          <w:szCs w:val="22"/>
        </w:rPr>
        <w:t xml:space="preserve"> = </w:t>
      </w:r>
      <w:r w:rsidR="003C6DDA" w:rsidRPr="00704B44">
        <w:rPr>
          <w:rFonts w:ascii="Arial" w:hAnsi="Arial" w:cs="Arial"/>
          <w:sz w:val="22"/>
          <w:szCs w:val="22"/>
        </w:rPr>
        <w:t>rather blocking</w:t>
      </w:r>
      <w:r w:rsidRPr="00704B44">
        <w:rPr>
          <w:rFonts w:ascii="Arial" w:hAnsi="Arial" w:cs="Arial"/>
          <w:sz w:val="22"/>
          <w:szCs w:val="22"/>
        </w:rPr>
        <w:t xml:space="preserve"> </w:t>
      </w:r>
    </w:p>
    <w:p w14:paraId="077324E2" w14:textId="77777777" w:rsidR="00A84E6C" w:rsidRPr="00704B44" w:rsidRDefault="00A84E6C" w:rsidP="00A84E6C">
      <w:pPr>
        <w:numPr>
          <w:ilvl w:val="0"/>
          <w:numId w:val="3"/>
        </w:numPr>
        <w:rPr>
          <w:rFonts w:ascii="Arial" w:hAnsi="Arial" w:cs="Arial"/>
          <w:sz w:val="22"/>
          <w:szCs w:val="22"/>
        </w:rPr>
      </w:pPr>
      <w:r w:rsidRPr="00704B44">
        <w:rPr>
          <w:rFonts w:ascii="Arial" w:hAnsi="Arial" w:cs="Arial"/>
          <w:b/>
          <w:bCs/>
          <w:sz w:val="22"/>
          <w:szCs w:val="22"/>
        </w:rPr>
        <w:t>0.50</w:t>
      </w:r>
      <w:r w:rsidRPr="00704B44">
        <w:rPr>
          <w:rFonts w:ascii="Arial" w:hAnsi="Arial" w:cs="Arial"/>
          <w:sz w:val="22"/>
          <w:szCs w:val="22"/>
        </w:rPr>
        <w:t xml:space="preserve"> = neutral / not addressed / ambiguous</w:t>
      </w:r>
    </w:p>
    <w:p w14:paraId="675AA0EE" w14:textId="77777777" w:rsidR="00A84E6C" w:rsidRPr="00704B44" w:rsidRDefault="00A84E6C" w:rsidP="00A84E6C">
      <w:pPr>
        <w:numPr>
          <w:ilvl w:val="0"/>
          <w:numId w:val="3"/>
        </w:numPr>
        <w:rPr>
          <w:rFonts w:ascii="Arial" w:hAnsi="Arial" w:cs="Arial"/>
          <w:sz w:val="22"/>
          <w:szCs w:val="22"/>
        </w:rPr>
      </w:pPr>
      <w:r w:rsidRPr="00704B44">
        <w:rPr>
          <w:rFonts w:ascii="Arial" w:hAnsi="Arial" w:cs="Arial"/>
          <w:b/>
          <w:bCs/>
          <w:sz w:val="22"/>
          <w:szCs w:val="22"/>
        </w:rPr>
        <w:t>0.75</w:t>
      </w:r>
      <w:r w:rsidRPr="00704B44">
        <w:rPr>
          <w:rFonts w:ascii="Arial" w:hAnsi="Arial" w:cs="Arial"/>
          <w:sz w:val="22"/>
          <w:szCs w:val="22"/>
        </w:rPr>
        <w:t xml:space="preserve"> = rather enabling</w:t>
      </w:r>
    </w:p>
    <w:p w14:paraId="1ADCB875" w14:textId="77777777" w:rsidR="00A84E6C" w:rsidRPr="00704B44" w:rsidRDefault="00A84E6C" w:rsidP="00A84E6C">
      <w:pPr>
        <w:numPr>
          <w:ilvl w:val="0"/>
          <w:numId w:val="3"/>
        </w:numPr>
        <w:rPr>
          <w:rFonts w:ascii="Arial" w:hAnsi="Arial" w:cs="Arial"/>
          <w:sz w:val="22"/>
          <w:szCs w:val="22"/>
        </w:rPr>
      </w:pPr>
      <w:r w:rsidRPr="00704B44">
        <w:rPr>
          <w:rFonts w:ascii="Arial" w:hAnsi="Arial" w:cs="Arial"/>
          <w:b/>
          <w:bCs/>
          <w:sz w:val="22"/>
          <w:szCs w:val="22"/>
        </w:rPr>
        <w:t>1.00</w:t>
      </w:r>
      <w:r w:rsidRPr="00704B44">
        <w:rPr>
          <w:rFonts w:ascii="Arial" w:hAnsi="Arial" w:cs="Arial"/>
          <w:sz w:val="22"/>
          <w:szCs w:val="22"/>
        </w:rPr>
        <w:t xml:space="preserve"> = strongly enabling</w:t>
      </w:r>
    </w:p>
    <w:p w14:paraId="48CEAAEB" w14:textId="77777777" w:rsidR="00A84E6C" w:rsidRPr="00704B44" w:rsidRDefault="00A84E6C" w:rsidP="00A84E6C">
      <w:pPr>
        <w:pStyle w:val="ListParagraph"/>
        <w:numPr>
          <w:ilvl w:val="0"/>
          <w:numId w:val="5"/>
        </w:numPr>
        <w:rPr>
          <w:rFonts w:ascii="Arial" w:hAnsi="Arial" w:cs="Arial"/>
          <w:sz w:val="22"/>
          <w:szCs w:val="22"/>
        </w:rPr>
      </w:pPr>
      <w:r w:rsidRPr="00704B44">
        <w:rPr>
          <w:rFonts w:ascii="Arial" w:hAnsi="Arial" w:cs="Arial"/>
          <w:sz w:val="22"/>
          <w:szCs w:val="22"/>
        </w:rPr>
        <w:t>Legal clarity &amp; permissibility for circular pathways:</w:t>
      </w:r>
    </w:p>
    <w:tbl>
      <w:tblPr>
        <w:tblStyle w:val="TableGridLight"/>
        <w:tblW w:w="0" w:type="auto"/>
        <w:tblLook w:val="04A0" w:firstRow="1" w:lastRow="0" w:firstColumn="1" w:lastColumn="0" w:noHBand="0" w:noVBand="1"/>
      </w:tblPr>
      <w:tblGrid>
        <w:gridCol w:w="1548"/>
        <w:gridCol w:w="8188"/>
      </w:tblGrid>
      <w:tr w:rsidR="00A84E6C" w:rsidRPr="00704B44" w14:paraId="1112EA20" w14:textId="77777777" w:rsidTr="00D2733E">
        <w:tc>
          <w:tcPr>
            <w:tcW w:w="0" w:type="auto"/>
            <w:hideMark/>
          </w:tcPr>
          <w:p w14:paraId="3B7FDFA6" w14:textId="77777777" w:rsidR="00A84E6C" w:rsidRPr="00704B44" w:rsidRDefault="00A84E6C" w:rsidP="00D2733E">
            <w:pPr>
              <w:pStyle w:val="ListParagraph"/>
              <w:spacing w:after="160" w:line="278" w:lineRule="auto"/>
              <w:rPr>
                <w:rFonts w:ascii="Arial" w:hAnsi="Arial" w:cs="Arial"/>
                <w:b/>
                <w:bCs/>
                <w:sz w:val="22"/>
                <w:szCs w:val="22"/>
              </w:rPr>
            </w:pPr>
            <w:r w:rsidRPr="00704B44">
              <w:rPr>
                <w:rFonts w:ascii="Arial" w:hAnsi="Arial" w:cs="Arial"/>
                <w:b/>
                <w:bCs/>
                <w:sz w:val="22"/>
                <w:szCs w:val="22"/>
              </w:rPr>
              <w:t>Score</w:t>
            </w:r>
          </w:p>
        </w:tc>
        <w:tc>
          <w:tcPr>
            <w:tcW w:w="0" w:type="auto"/>
            <w:hideMark/>
          </w:tcPr>
          <w:p w14:paraId="33B3BAD2" w14:textId="77777777" w:rsidR="00A84E6C" w:rsidRPr="00704B44" w:rsidRDefault="00A84E6C" w:rsidP="00D2733E">
            <w:pPr>
              <w:pStyle w:val="ListParagraph"/>
              <w:spacing w:after="160" w:line="278" w:lineRule="auto"/>
              <w:rPr>
                <w:rFonts w:ascii="Arial" w:hAnsi="Arial" w:cs="Arial"/>
                <w:b/>
                <w:bCs/>
                <w:sz w:val="22"/>
                <w:szCs w:val="22"/>
                <w:lang w:val="de-DE"/>
              </w:rPr>
            </w:pPr>
            <w:r w:rsidRPr="00704B44">
              <w:rPr>
                <w:rFonts w:ascii="Arial" w:hAnsi="Arial" w:cs="Arial"/>
                <w:b/>
                <w:bCs/>
                <w:sz w:val="22"/>
                <w:szCs w:val="22"/>
                <w:lang w:val="de-DE"/>
              </w:rPr>
              <w:t xml:space="preserve">Anchor </w:t>
            </w:r>
            <w:proofErr w:type="spellStart"/>
            <w:r w:rsidRPr="00704B44">
              <w:rPr>
                <w:rFonts w:ascii="Arial" w:hAnsi="Arial" w:cs="Arial"/>
                <w:b/>
                <w:bCs/>
                <w:sz w:val="22"/>
                <w:szCs w:val="22"/>
                <w:lang w:val="de-DE"/>
              </w:rPr>
              <w:t>text</w:t>
            </w:r>
            <w:proofErr w:type="spellEnd"/>
            <w:r w:rsidRPr="00704B44">
              <w:rPr>
                <w:rFonts w:ascii="Arial" w:hAnsi="Arial" w:cs="Arial"/>
                <w:b/>
                <w:bCs/>
                <w:sz w:val="22"/>
                <w:szCs w:val="22"/>
                <w:lang w:val="de-DE"/>
              </w:rPr>
              <w:t xml:space="preserve"> </w:t>
            </w:r>
          </w:p>
        </w:tc>
      </w:tr>
      <w:tr w:rsidR="00A84E6C" w:rsidRPr="00704B44" w14:paraId="08D18878" w14:textId="77777777" w:rsidTr="00D2733E">
        <w:tc>
          <w:tcPr>
            <w:tcW w:w="0" w:type="auto"/>
            <w:hideMark/>
          </w:tcPr>
          <w:p w14:paraId="1DAC8D51" w14:textId="77777777" w:rsidR="00A84E6C" w:rsidRPr="00704B44" w:rsidRDefault="00A84E6C" w:rsidP="00D2733E">
            <w:pPr>
              <w:pStyle w:val="ListParagraph"/>
              <w:spacing w:after="160" w:line="278" w:lineRule="auto"/>
              <w:rPr>
                <w:rFonts w:ascii="Arial" w:hAnsi="Arial" w:cs="Arial"/>
                <w:sz w:val="22"/>
                <w:szCs w:val="22"/>
              </w:rPr>
            </w:pPr>
            <w:r w:rsidRPr="00704B44">
              <w:rPr>
                <w:rFonts w:ascii="Arial" w:hAnsi="Arial" w:cs="Arial"/>
                <w:b/>
                <w:bCs/>
                <w:sz w:val="22"/>
                <w:szCs w:val="22"/>
              </w:rPr>
              <w:lastRenderedPageBreak/>
              <w:t>1.00</w:t>
            </w:r>
          </w:p>
        </w:tc>
        <w:tc>
          <w:tcPr>
            <w:tcW w:w="0" w:type="auto"/>
            <w:hideMark/>
          </w:tcPr>
          <w:p w14:paraId="7FB61F09" w14:textId="71E9561F" w:rsidR="00A84E6C" w:rsidRPr="00704B44" w:rsidRDefault="00A84E6C" w:rsidP="00D2733E">
            <w:pPr>
              <w:pStyle w:val="ListParagraph"/>
              <w:spacing w:after="160" w:line="278" w:lineRule="auto"/>
              <w:rPr>
                <w:rFonts w:ascii="Arial" w:hAnsi="Arial" w:cs="Arial"/>
                <w:sz w:val="22"/>
                <w:szCs w:val="22"/>
              </w:rPr>
            </w:pPr>
            <w:r w:rsidRPr="00704B44">
              <w:rPr>
                <w:rFonts w:ascii="Arial" w:hAnsi="Arial" w:cs="Arial"/>
                <w:sz w:val="22"/>
                <w:szCs w:val="22"/>
              </w:rPr>
              <w:t xml:space="preserve">Circular pathways are </w:t>
            </w:r>
            <w:r w:rsidR="00FE164D" w:rsidRPr="00704B44">
              <w:rPr>
                <w:rFonts w:ascii="Arial" w:hAnsi="Arial" w:cs="Arial"/>
                <w:b/>
                <w:bCs/>
                <w:sz w:val="22"/>
                <w:szCs w:val="22"/>
              </w:rPr>
              <w:t>explicitly</w:t>
            </w:r>
            <w:r w:rsidRPr="00704B44">
              <w:rPr>
                <w:rFonts w:ascii="Arial" w:hAnsi="Arial" w:cs="Arial"/>
                <w:b/>
                <w:bCs/>
                <w:sz w:val="22"/>
                <w:szCs w:val="22"/>
              </w:rPr>
              <w:t xml:space="preserve"> </w:t>
            </w:r>
            <w:r w:rsidR="00FE164D" w:rsidRPr="00704B44">
              <w:rPr>
                <w:rFonts w:ascii="Arial" w:hAnsi="Arial" w:cs="Arial"/>
                <w:b/>
                <w:bCs/>
                <w:sz w:val="22"/>
                <w:szCs w:val="22"/>
              </w:rPr>
              <w:t xml:space="preserve">permitted </w:t>
            </w:r>
            <w:r w:rsidRPr="00704B44">
              <w:rPr>
                <w:rFonts w:ascii="Arial" w:hAnsi="Arial" w:cs="Arial"/>
                <w:sz w:val="22"/>
                <w:szCs w:val="22"/>
              </w:rPr>
              <w:t>(or required</w:t>
            </w:r>
            <w:proofErr w:type="gramStart"/>
            <w:r w:rsidRPr="00704B44">
              <w:rPr>
                <w:rFonts w:ascii="Arial" w:hAnsi="Arial" w:cs="Arial"/>
                <w:sz w:val="22"/>
                <w:szCs w:val="22"/>
              </w:rPr>
              <w:t>)</w:t>
            </w:r>
            <w:proofErr w:type="gramEnd"/>
            <w:r w:rsidRPr="00704B44">
              <w:rPr>
                <w:rFonts w:ascii="Arial" w:hAnsi="Arial" w:cs="Arial"/>
                <w:sz w:val="22"/>
                <w:szCs w:val="22"/>
              </w:rPr>
              <w:t xml:space="preserve"> </w:t>
            </w:r>
            <w:r w:rsidRPr="00704B44">
              <w:rPr>
                <w:rFonts w:ascii="Arial" w:hAnsi="Arial" w:cs="Arial"/>
                <w:b/>
                <w:bCs/>
                <w:sz w:val="22"/>
                <w:szCs w:val="22"/>
              </w:rPr>
              <w:t>and</w:t>
            </w:r>
            <w:r w:rsidRPr="00704B44">
              <w:rPr>
                <w:rFonts w:ascii="Arial" w:hAnsi="Arial" w:cs="Arial"/>
                <w:sz w:val="22"/>
                <w:szCs w:val="22"/>
              </w:rPr>
              <w:t xml:space="preserve"> prerequisites/delineations are clear </w:t>
            </w:r>
          </w:p>
        </w:tc>
      </w:tr>
      <w:tr w:rsidR="00A84E6C" w:rsidRPr="00704B44" w14:paraId="77A72BD2" w14:textId="77777777" w:rsidTr="00D2733E">
        <w:tc>
          <w:tcPr>
            <w:tcW w:w="0" w:type="auto"/>
            <w:hideMark/>
          </w:tcPr>
          <w:p w14:paraId="696D2228" w14:textId="77777777" w:rsidR="00A84E6C" w:rsidRPr="00704B44" w:rsidRDefault="00A84E6C" w:rsidP="00D2733E">
            <w:pPr>
              <w:pStyle w:val="ListParagraph"/>
              <w:spacing w:after="160" w:line="278" w:lineRule="auto"/>
              <w:rPr>
                <w:rFonts w:ascii="Arial" w:hAnsi="Arial" w:cs="Arial"/>
                <w:sz w:val="22"/>
                <w:szCs w:val="22"/>
              </w:rPr>
            </w:pPr>
            <w:r w:rsidRPr="00704B44">
              <w:rPr>
                <w:rFonts w:ascii="Arial" w:hAnsi="Arial" w:cs="Arial"/>
                <w:b/>
                <w:bCs/>
                <w:sz w:val="22"/>
                <w:szCs w:val="22"/>
              </w:rPr>
              <w:t>0.75</w:t>
            </w:r>
          </w:p>
        </w:tc>
        <w:tc>
          <w:tcPr>
            <w:tcW w:w="0" w:type="auto"/>
            <w:hideMark/>
          </w:tcPr>
          <w:p w14:paraId="1AC44C13" w14:textId="77777777" w:rsidR="00A84E6C" w:rsidRPr="00704B44" w:rsidRDefault="00A84E6C" w:rsidP="00D2733E">
            <w:pPr>
              <w:pStyle w:val="ListParagraph"/>
              <w:spacing w:after="160" w:line="278" w:lineRule="auto"/>
              <w:rPr>
                <w:rFonts w:ascii="Arial" w:hAnsi="Arial" w:cs="Arial"/>
                <w:sz w:val="22"/>
                <w:szCs w:val="22"/>
              </w:rPr>
            </w:pPr>
            <w:r w:rsidRPr="00704B44">
              <w:rPr>
                <w:rFonts w:ascii="Arial" w:hAnsi="Arial" w:cs="Arial"/>
                <w:sz w:val="22"/>
                <w:szCs w:val="22"/>
              </w:rPr>
              <w:t xml:space="preserve">Circular pathways are </w:t>
            </w:r>
            <w:r w:rsidRPr="00704B44">
              <w:rPr>
                <w:rFonts w:ascii="Arial" w:hAnsi="Arial" w:cs="Arial"/>
                <w:b/>
                <w:bCs/>
                <w:sz w:val="22"/>
                <w:szCs w:val="22"/>
              </w:rPr>
              <w:t>implicitly possible</w:t>
            </w:r>
            <w:r w:rsidRPr="00704B44">
              <w:rPr>
                <w:rFonts w:ascii="Arial" w:hAnsi="Arial" w:cs="Arial"/>
                <w:sz w:val="22"/>
                <w:szCs w:val="22"/>
              </w:rPr>
              <w:t xml:space="preserve"> or partly explicitly regulated, but with minor </w:t>
            </w:r>
            <w:proofErr w:type="spellStart"/>
            <w:r w:rsidRPr="00704B44">
              <w:rPr>
                <w:rFonts w:ascii="Arial" w:hAnsi="Arial" w:cs="Arial"/>
                <w:sz w:val="22"/>
                <w:szCs w:val="22"/>
              </w:rPr>
              <w:t>Unklarheiten</w:t>
            </w:r>
            <w:proofErr w:type="spellEnd"/>
          </w:p>
        </w:tc>
      </w:tr>
      <w:tr w:rsidR="00A84E6C" w:rsidRPr="00704B44" w14:paraId="2FA636D3" w14:textId="77777777" w:rsidTr="00D2733E">
        <w:tc>
          <w:tcPr>
            <w:tcW w:w="0" w:type="auto"/>
            <w:hideMark/>
          </w:tcPr>
          <w:p w14:paraId="63491CF6" w14:textId="77777777" w:rsidR="00A84E6C" w:rsidRPr="00704B44" w:rsidRDefault="00A84E6C" w:rsidP="00D2733E">
            <w:pPr>
              <w:pStyle w:val="ListParagraph"/>
              <w:spacing w:after="160" w:line="278" w:lineRule="auto"/>
              <w:rPr>
                <w:rFonts w:ascii="Arial" w:hAnsi="Arial" w:cs="Arial"/>
                <w:sz w:val="22"/>
                <w:szCs w:val="22"/>
              </w:rPr>
            </w:pPr>
            <w:r w:rsidRPr="00704B44">
              <w:rPr>
                <w:rFonts w:ascii="Arial" w:hAnsi="Arial" w:cs="Arial"/>
                <w:b/>
                <w:bCs/>
                <w:sz w:val="22"/>
                <w:szCs w:val="22"/>
              </w:rPr>
              <w:t>0.50</w:t>
            </w:r>
          </w:p>
        </w:tc>
        <w:tc>
          <w:tcPr>
            <w:tcW w:w="0" w:type="auto"/>
            <w:hideMark/>
          </w:tcPr>
          <w:p w14:paraId="06E8E502" w14:textId="77777777" w:rsidR="00A84E6C" w:rsidRPr="00704B44" w:rsidRDefault="00A84E6C" w:rsidP="00D2733E">
            <w:pPr>
              <w:pStyle w:val="ListParagraph"/>
              <w:spacing w:after="160" w:line="278" w:lineRule="auto"/>
              <w:rPr>
                <w:rFonts w:ascii="Arial" w:hAnsi="Arial" w:cs="Arial"/>
                <w:sz w:val="22"/>
                <w:szCs w:val="22"/>
              </w:rPr>
            </w:pPr>
            <w:r w:rsidRPr="00704B44">
              <w:rPr>
                <w:rFonts w:ascii="Arial" w:hAnsi="Arial" w:cs="Arial"/>
                <w:sz w:val="22"/>
                <w:szCs w:val="22"/>
              </w:rPr>
              <w:t xml:space="preserve">The legal act is </w:t>
            </w:r>
            <w:r w:rsidRPr="00704B44">
              <w:rPr>
                <w:rFonts w:ascii="Arial" w:hAnsi="Arial" w:cs="Arial"/>
                <w:b/>
                <w:bCs/>
                <w:sz w:val="22"/>
                <w:szCs w:val="22"/>
              </w:rPr>
              <w:t>neutral</w:t>
            </w:r>
            <w:r w:rsidRPr="00704B44">
              <w:rPr>
                <w:rFonts w:ascii="Arial" w:hAnsi="Arial" w:cs="Arial"/>
                <w:sz w:val="22"/>
                <w:szCs w:val="22"/>
              </w:rPr>
              <w:t>: addresses circularity little or not at all; permissibility is at most indirect</w:t>
            </w:r>
          </w:p>
        </w:tc>
      </w:tr>
      <w:tr w:rsidR="00A84E6C" w:rsidRPr="00704B44" w14:paraId="101450D4" w14:textId="77777777" w:rsidTr="00D2733E">
        <w:tc>
          <w:tcPr>
            <w:tcW w:w="0" w:type="auto"/>
            <w:hideMark/>
          </w:tcPr>
          <w:p w14:paraId="1691FFDE" w14:textId="77777777" w:rsidR="00A84E6C" w:rsidRPr="00704B44" w:rsidRDefault="00A84E6C" w:rsidP="00D2733E">
            <w:pPr>
              <w:pStyle w:val="ListParagraph"/>
              <w:spacing w:after="160" w:line="278" w:lineRule="auto"/>
              <w:rPr>
                <w:rFonts w:ascii="Arial" w:hAnsi="Arial" w:cs="Arial"/>
                <w:sz w:val="22"/>
                <w:szCs w:val="22"/>
              </w:rPr>
            </w:pPr>
            <w:r w:rsidRPr="00704B44">
              <w:rPr>
                <w:rFonts w:ascii="Arial" w:hAnsi="Arial" w:cs="Arial"/>
                <w:b/>
                <w:bCs/>
                <w:sz w:val="22"/>
                <w:szCs w:val="22"/>
              </w:rPr>
              <w:t>0.25</w:t>
            </w:r>
          </w:p>
        </w:tc>
        <w:tc>
          <w:tcPr>
            <w:tcW w:w="0" w:type="auto"/>
            <w:hideMark/>
          </w:tcPr>
          <w:p w14:paraId="7A119880" w14:textId="77777777" w:rsidR="00A84E6C" w:rsidRPr="00704B44" w:rsidRDefault="00A84E6C" w:rsidP="00D2733E">
            <w:pPr>
              <w:pStyle w:val="ListParagraph"/>
              <w:spacing w:after="160" w:line="278" w:lineRule="auto"/>
              <w:rPr>
                <w:rFonts w:ascii="Arial" w:hAnsi="Arial" w:cs="Arial"/>
                <w:sz w:val="22"/>
                <w:szCs w:val="22"/>
              </w:rPr>
            </w:pPr>
            <w:r w:rsidRPr="00704B44">
              <w:rPr>
                <w:rFonts w:ascii="Arial" w:hAnsi="Arial" w:cs="Arial"/>
                <w:sz w:val="22"/>
                <w:szCs w:val="22"/>
              </w:rPr>
              <w:t xml:space="preserve">Circular pathways are </w:t>
            </w:r>
            <w:r w:rsidRPr="00704B44">
              <w:rPr>
                <w:rFonts w:ascii="Arial" w:hAnsi="Arial" w:cs="Arial"/>
                <w:b/>
                <w:bCs/>
                <w:sz w:val="22"/>
                <w:szCs w:val="22"/>
              </w:rPr>
              <w:t>legally possible, but strongly restricted/uncertain</w:t>
            </w:r>
            <w:r w:rsidRPr="00704B44">
              <w:rPr>
                <w:rFonts w:ascii="Arial" w:hAnsi="Arial" w:cs="Arial"/>
                <w:sz w:val="22"/>
                <w:szCs w:val="22"/>
              </w:rPr>
              <w:t xml:space="preserve"> </w:t>
            </w:r>
          </w:p>
        </w:tc>
      </w:tr>
      <w:tr w:rsidR="00A84E6C" w:rsidRPr="00704B44" w14:paraId="5866CBF3" w14:textId="77777777" w:rsidTr="00D2733E">
        <w:tc>
          <w:tcPr>
            <w:tcW w:w="0" w:type="auto"/>
            <w:hideMark/>
          </w:tcPr>
          <w:p w14:paraId="766D7EE6" w14:textId="77777777" w:rsidR="00A84E6C" w:rsidRPr="00704B44" w:rsidRDefault="00A84E6C" w:rsidP="00D2733E">
            <w:pPr>
              <w:pStyle w:val="ListParagraph"/>
              <w:spacing w:after="160" w:line="278" w:lineRule="auto"/>
              <w:rPr>
                <w:rFonts w:ascii="Arial" w:hAnsi="Arial" w:cs="Arial"/>
                <w:sz w:val="22"/>
                <w:szCs w:val="22"/>
              </w:rPr>
            </w:pPr>
            <w:r w:rsidRPr="00704B44">
              <w:rPr>
                <w:rFonts w:ascii="Arial" w:hAnsi="Arial" w:cs="Arial"/>
                <w:b/>
                <w:bCs/>
                <w:sz w:val="22"/>
                <w:szCs w:val="22"/>
              </w:rPr>
              <w:t>0.00</w:t>
            </w:r>
          </w:p>
        </w:tc>
        <w:tc>
          <w:tcPr>
            <w:tcW w:w="0" w:type="auto"/>
            <w:hideMark/>
          </w:tcPr>
          <w:p w14:paraId="61AA2BFF" w14:textId="44CFAD8C" w:rsidR="00A84E6C" w:rsidRPr="00704B44" w:rsidRDefault="00A84E6C" w:rsidP="00D2733E">
            <w:pPr>
              <w:pStyle w:val="ListParagraph"/>
              <w:spacing w:after="160" w:line="278" w:lineRule="auto"/>
              <w:rPr>
                <w:rFonts w:ascii="Arial" w:hAnsi="Arial" w:cs="Arial"/>
                <w:sz w:val="22"/>
                <w:szCs w:val="22"/>
              </w:rPr>
            </w:pPr>
            <w:r w:rsidRPr="00704B44">
              <w:rPr>
                <w:rFonts w:ascii="Arial" w:hAnsi="Arial" w:cs="Arial"/>
                <w:sz w:val="22"/>
                <w:szCs w:val="22"/>
              </w:rPr>
              <w:t xml:space="preserve">Circular pathways are </w:t>
            </w:r>
            <w:r w:rsidR="00FE164D" w:rsidRPr="00704B44">
              <w:rPr>
                <w:rFonts w:ascii="Arial" w:hAnsi="Arial" w:cs="Arial"/>
                <w:b/>
                <w:bCs/>
                <w:sz w:val="22"/>
                <w:szCs w:val="22"/>
              </w:rPr>
              <w:t>explicitly</w:t>
            </w:r>
            <w:r w:rsidRPr="00704B44">
              <w:rPr>
                <w:rFonts w:ascii="Arial" w:hAnsi="Arial" w:cs="Arial"/>
                <w:b/>
                <w:bCs/>
                <w:sz w:val="22"/>
                <w:szCs w:val="22"/>
              </w:rPr>
              <w:t xml:space="preserve"> </w:t>
            </w:r>
            <w:r w:rsidR="00FE164D" w:rsidRPr="00704B44">
              <w:rPr>
                <w:rFonts w:ascii="Arial" w:hAnsi="Arial" w:cs="Arial"/>
                <w:b/>
                <w:bCs/>
                <w:sz w:val="22"/>
                <w:szCs w:val="22"/>
              </w:rPr>
              <w:t>prohibited</w:t>
            </w:r>
            <w:r w:rsidRPr="00704B44">
              <w:rPr>
                <w:rFonts w:ascii="Arial" w:hAnsi="Arial" w:cs="Arial"/>
                <w:sz w:val="22"/>
                <w:szCs w:val="22"/>
              </w:rPr>
              <w:t xml:space="preserve"> or made practically impossible </w:t>
            </w:r>
          </w:p>
        </w:tc>
      </w:tr>
    </w:tbl>
    <w:p w14:paraId="7AAAFBD8" w14:textId="77777777" w:rsidR="00A84E6C" w:rsidRPr="00704B44" w:rsidRDefault="00A84E6C" w:rsidP="00A84E6C">
      <w:pPr>
        <w:rPr>
          <w:rFonts w:ascii="Arial" w:hAnsi="Arial" w:cs="Arial"/>
          <w:sz w:val="22"/>
          <w:szCs w:val="22"/>
        </w:rPr>
      </w:pPr>
    </w:p>
    <w:p w14:paraId="0C8C941E" w14:textId="4129F459" w:rsidR="00A84E6C" w:rsidRPr="00704B44" w:rsidRDefault="00A84E6C" w:rsidP="00A84E6C">
      <w:pPr>
        <w:pStyle w:val="ListParagraph"/>
        <w:numPr>
          <w:ilvl w:val="0"/>
          <w:numId w:val="5"/>
        </w:numPr>
        <w:rPr>
          <w:rFonts w:ascii="Arial" w:hAnsi="Arial" w:cs="Arial"/>
          <w:sz w:val="22"/>
          <w:szCs w:val="22"/>
          <w:lang w:val="de-DE"/>
        </w:rPr>
      </w:pPr>
      <w:r w:rsidRPr="00704B44">
        <w:rPr>
          <w:rFonts w:ascii="Arial" w:hAnsi="Arial" w:cs="Arial"/>
          <w:sz w:val="22"/>
          <w:szCs w:val="22"/>
          <w:lang w:val="de-DE"/>
        </w:rPr>
        <w:t xml:space="preserve">Additional </w:t>
      </w:r>
      <w:proofErr w:type="spellStart"/>
      <w:r w:rsidRPr="00704B44">
        <w:rPr>
          <w:rFonts w:ascii="Arial" w:hAnsi="Arial" w:cs="Arial"/>
          <w:sz w:val="22"/>
          <w:szCs w:val="22"/>
          <w:lang w:val="de-DE"/>
        </w:rPr>
        <w:t>compliance</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burden</w:t>
      </w:r>
      <w:proofErr w:type="spellEnd"/>
      <w:r w:rsidRPr="00704B44">
        <w:rPr>
          <w:rFonts w:ascii="Arial" w:hAnsi="Arial" w:cs="Arial"/>
          <w:sz w:val="22"/>
          <w:szCs w:val="22"/>
          <w:lang w:val="de-DE"/>
        </w:rPr>
        <w:t>:</w:t>
      </w:r>
    </w:p>
    <w:tbl>
      <w:tblPr>
        <w:tblStyle w:val="TableGridLight"/>
        <w:tblW w:w="0" w:type="auto"/>
        <w:tblLook w:val="04A0" w:firstRow="1" w:lastRow="0" w:firstColumn="1" w:lastColumn="0" w:noHBand="0" w:noVBand="1"/>
      </w:tblPr>
      <w:tblGrid>
        <w:gridCol w:w="828"/>
        <w:gridCol w:w="8908"/>
      </w:tblGrid>
      <w:tr w:rsidR="00A84E6C" w:rsidRPr="00704B44" w14:paraId="4247BB4A" w14:textId="77777777" w:rsidTr="00D2733E">
        <w:tc>
          <w:tcPr>
            <w:tcW w:w="0" w:type="auto"/>
            <w:hideMark/>
          </w:tcPr>
          <w:p w14:paraId="081B061D"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Score</w:t>
            </w:r>
          </w:p>
        </w:tc>
        <w:tc>
          <w:tcPr>
            <w:tcW w:w="0" w:type="auto"/>
            <w:hideMark/>
          </w:tcPr>
          <w:p w14:paraId="0FC63764"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Anchor text</w:t>
            </w:r>
          </w:p>
        </w:tc>
      </w:tr>
      <w:tr w:rsidR="00A84E6C" w:rsidRPr="00704B44" w14:paraId="64636E3B" w14:textId="77777777" w:rsidTr="00D2733E">
        <w:tc>
          <w:tcPr>
            <w:tcW w:w="0" w:type="auto"/>
            <w:hideMark/>
          </w:tcPr>
          <w:p w14:paraId="54E8D60E"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1.00</w:t>
            </w:r>
          </w:p>
        </w:tc>
        <w:tc>
          <w:tcPr>
            <w:tcW w:w="0" w:type="auto"/>
            <w:hideMark/>
          </w:tcPr>
          <w:p w14:paraId="0368BE91" w14:textId="595012AC" w:rsidR="00A84E6C" w:rsidRPr="00704B44" w:rsidRDefault="00FE164D" w:rsidP="00D2733E">
            <w:pPr>
              <w:spacing w:after="160" w:line="278" w:lineRule="auto"/>
              <w:rPr>
                <w:rFonts w:ascii="Arial" w:hAnsi="Arial" w:cs="Arial"/>
                <w:sz w:val="22"/>
                <w:szCs w:val="22"/>
              </w:rPr>
            </w:pPr>
            <w:r w:rsidRPr="00704B44">
              <w:rPr>
                <w:rFonts w:ascii="Arial" w:hAnsi="Arial" w:cs="Arial"/>
                <w:b/>
                <w:bCs/>
                <w:sz w:val="22"/>
                <w:szCs w:val="22"/>
              </w:rPr>
              <w:t xml:space="preserve">No </w:t>
            </w:r>
            <w:proofErr w:type="gramStart"/>
            <w:r w:rsidRPr="00704B44">
              <w:rPr>
                <w:rFonts w:ascii="Arial" w:hAnsi="Arial" w:cs="Arial"/>
                <w:b/>
                <w:bCs/>
                <w:sz w:val="22"/>
                <w:szCs w:val="22"/>
              </w:rPr>
              <w:t>additional  burden</w:t>
            </w:r>
            <w:proofErr w:type="gramEnd"/>
            <w:r w:rsidR="00A84E6C" w:rsidRPr="00704B44">
              <w:rPr>
                <w:rFonts w:ascii="Arial" w:hAnsi="Arial" w:cs="Arial"/>
                <w:sz w:val="22"/>
                <w:szCs w:val="22"/>
              </w:rPr>
              <w:t xml:space="preserve"> for circular actors; requirements are proportionate, clear, and allow entry also for smaller actors </w:t>
            </w:r>
          </w:p>
        </w:tc>
      </w:tr>
      <w:tr w:rsidR="00A84E6C" w:rsidRPr="00704B44" w14:paraId="0A753859" w14:textId="77777777" w:rsidTr="00D2733E">
        <w:tc>
          <w:tcPr>
            <w:tcW w:w="0" w:type="auto"/>
            <w:hideMark/>
          </w:tcPr>
          <w:p w14:paraId="5588B80E"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0.75</w:t>
            </w:r>
          </w:p>
        </w:tc>
        <w:tc>
          <w:tcPr>
            <w:tcW w:w="0" w:type="auto"/>
            <w:hideMark/>
          </w:tcPr>
          <w:p w14:paraId="7909DD21" w14:textId="169D6F3F" w:rsidR="00A84E6C" w:rsidRPr="00704B44" w:rsidRDefault="00FE164D" w:rsidP="00D2733E">
            <w:pPr>
              <w:spacing w:after="160" w:line="278" w:lineRule="auto"/>
              <w:rPr>
                <w:rFonts w:ascii="Arial" w:hAnsi="Arial" w:cs="Arial"/>
                <w:sz w:val="22"/>
                <w:szCs w:val="22"/>
              </w:rPr>
            </w:pPr>
            <w:r w:rsidRPr="00704B44">
              <w:rPr>
                <w:rFonts w:ascii="Arial" w:hAnsi="Arial" w:cs="Arial"/>
                <w:b/>
                <w:bCs/>
                <w:sz w:val="22"/>
                <w:szCs w:val="22"/>
              </w:rPr>
              <w:t>Small additional burden</w:t>
            </w:r>
            <w:r w:rsidR="00A84E6C" w:rsidRPr="00704B44">
              <w:rPr>
                <w:rFonts w:ascii="Arial" w:hAnsi="Arial" w:cs="Arial"/>
                <w:sz w:val="22"/>
                <w:szCs w:val="22"/>
              </w:rPr>
              <w:t>, but manageable (e.g., documentation obligations, but without “full manufacturer status” or without notified body compulsion)</w:t>
            </w:r>
          </w:p>
        </w:tc>
      </w:tr>
      <w:tr w:rsidR="00A84E6C" w:rsidRPr="00704B44" w14:paraId="270B2DBF" w14:textId="77777777" w:rsidTr="00D2733E">
        <w:tc>
          <w:tcPr>
            <w:tcW w:w="0" w:type="auto"/>
            <w:hideMark/>
          </w:tcPr>
          <w:p w14:paraId="4DFF5D76"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0.50</w:t>
            </w:r>
          </w:p>
        </w:tc>
        <w:tc>
          <w:tcPr>
            <w:tcW w:w="0" w:type="auto"/>
            <w:hideMark/>
          </w:tcPr>
          <w:p w14:paraId="58B15B5F" w14:textId="5914280C"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Neutral/</w:t>
            </w:r>
            <w:r w:rsidR="00FE164D" w:rsidRPr="00704B44">
              <w:rPr>
                <w:rFonts w:ascii="Arial" w:hAnsi="Arial" w:cs="Arial"/>
                <w:b/>
                <w:bCs/>
                <w:sz w:val="22"/>
                <w:szCs w:val="22"/>
              </w:rPr>
              <w:t xml:space="preserve">normal </w:t>
            </w:r>
            <w:proofErr w:type="gramStart"/>
            <w:r w:rsidR="00FE164D" w:rsidRPr="00704B44">
              <w:rPr>
                <w:rFonts w:ascii="Arial" w:hAnsi="Arial" w:cs="Arial"/>
                <w:b/>
                <w:bCs/>
                <w:sz w:val="22"/>
                <w:szCs w:val="22"/>
              </w:rPr>
              <w:t>burden</w:t>
            </w:r>
            <w:r w:rsidRPr="00704B44">
              <w:rPr>
                <w:rFonts w:ascii="Arial" w:hAnsi="Arial" w:cs="Arial"/>
                <w:sz w:val="22"/>
                <w:szCs w:val="22"/>
              </w:rPr>
              <w:t>:</w:t>
            </w:r>
            <w:proofErr w:type="gramEnd"/>
            <w:r w:rsidRPr="00704B44">
              <w:rPr>
                <w:rFonts w:ascii="Arial" w:hAnsi="Arial" w:cs="Arial"/>
                <w:sz w:val="22"/>
                <w:szCs w:val="22"/>
              </w:rPr>
              <w:t xml:space="preserve"> corresponds to what is required anyway for market access/safety</w:t>
            </w:r>
            <w:r w:rsidR="008A3907" w:rsidRPr="00704B44">
              <w:rPr>
                <w:rFonts w:ascii="Arial" w:hAnsi="Arial" w:cs="Arial"/>
                <w:sz w:val="22"/>
                <w:szCs w:val="22"/>
              </w:rPr>
              <w:t xml:space="preserve"> – all actors are treated equally</w:t>
            </w:r>
            <w:r w:rsidRPr="00704B44">
              <w:rPr>
                <w:rFonts w:ascii="Arial" w:hAnsi="Arial" w:cs="Arial"/>
                <w:sz w:val="22"/>
                <w:szCs w:val="22"/>
              </w:rPr>
              <w:t xml:space="preserve">; </w:t>
            </w:r>
          </w:p>
        </w:tc>
      </w:tr>
      <w:tr w:rsidR="00A84E6C" w:rsidRPr="00704B44" w14:paraId="41245D25" w14:textId="77777777" w:rsidTr="00D2733E">
        <w:tc>
          <w:tcPr>
            <w:tcW w:w="0" w:type="auto"/>
            <w:hideMark/>
          </w:tcPr>
          <w:p w14:paraId="72E6B0E1"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0.25</w:t>
            </w:r>
          </w:p>
        </w:tc>
        <w:tc>
          <w:tcPr>
            <w:tcW w:w="0" w:type="auto"/>
            <w:hideMark/>
          </w:tcPr>
          <w:p w14:paraId="171CA64C" w14:textId="58A83DCE" w:rsidR="00A84E6C" w:rsidRPr="00704B44" w:rsidRDefault="00FE164D" w:rsidP="00D2733E">
            <w:pPr>
              <w:spacing w:after="160" w:line="278" w:lineRule="auto"/>
              <w:rPr>
                <w:rFonts w:ascii="Arial" w:hAnsi="Arial" w:cs="Arial"/>
                <w:sz w:val="22"/>
                <w:szCs w:val="22"/>
              </w:rPr>
            </w:pPr>
            <w:r w:rsidRPr="00704B44">
              <w:rPr>
                <w:rFonts w:ascii="Arial" w:hAnsi="Arial" w:cs="Arial"/>
                <w:b/>
                <w:bCs/>
                <w:sz w:val="22"/>
                <w:szCs w:val="22"/>
              </w:rPr>
              <w:t>High</w:t>
            </w:r>
            <w:r w:rsidR="00A84E6C" w:rsidRPr="00704B44">
              <w:rPr>
                <w:rFonts w:ascii="Arial" w:hAnsi="Arial" w:cs="Arial"/>
                <w:b/>
                <w:bCs/>
                <w:sz w:val="22"/>
                <w:szCs w:val="22"/>
              </w:rPr>
              <w:t xml:space="preserve"> </w:t>
            </w:r>
            <w:r w:rsidRPr="00704B44">
              <w:rPr>
                <w:rFonts w:ascii="Arial" w:hAnsi="Arial" w:cs="Arial"/>
                <w:b/>
                <w:bCs/>
                <w:sz w:val="22"/>
                <w:szCs w:val="22"/>
              </w:rPr>
              <w:t>additional burden</w:t>
            </w:r>
            <w:r w:rsidR="00A84E6C" w:rsidRPr="00704B44">
              <w:rPr>
                <w:rFonts w:ascii="Arial" w:hAnsi="Arial" w:cs="Arial"/>
                <w:sz w:val="22"/>
                <w:szCs w:val="22"/>
              </w:rPr>
              <w:t>: substantial documentation, high hurdles for non-OEMs; circular actors must assume large parts of the manufacturer obligations.</w:t>
            </w:r>
          </w:p>
        </w:tc>
      </w:tr>
      <w:tr w:rsidR="00A84E6C" w:rsidRPr="00704B44" w14:paraId="06652F8A" w14:textId="77777777" w:rsidTr="00D2733E">
        <w:tc>
          <w:tcPr>
            <w:tcW w:w="0" w:type="auto"/>
            <w:hideMark/>
          </w:tcPr>
          <w:p w14:paraId="2B161C60"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0.00</w:t>
            </w:r>
          </w:p>
        </w:tc>
        <w:tc>
          <w:tcPr>
            <w:tcW w:w="0" w:type="auto"/>
            <w:hideMark/>
          </w:tcPr>
          <w:p w14:paraId="0A4B50BE" w14:textId="57B970BB" w:rsidR="00A84E6C" w:rsidRPr="00704B44" w:rsidRDefault="00FE164D" w:rsidP="00D2733E">
            <w:pPr>
              <w:spacing w:after="160" w:line="278" w:lineRule="auto"/>
              <w:rPr>
                <w:rFonts w:ascii="Arial" w:hAnsi="Arial" w:cs="Arial"/>
                <w:sz w:val="22"/>
                <w:szCs w:val="22"/>
              </w:rPr>
            </w:pPr>
            <w:r w:rsidRPr="00704B44">
              <w:rPr>
                <w:rFonts w:ascii="Arial" w:hAnsi="Arial" w:cs="Arial"/>
                <w:b/>
                <w:bCs/>
                <w:sz w:val="22"/>
                <w:szCs w:val="22"/>
              </w:rPr>
              <w:t>Very high additional burden</w:t>
            </w:r>
            <w:r w:rsidR="00A84E6C" w:rsidRPr="00704B44">
              <w:rPr>
                <w:rFonts w:ascii="Arial" w:hAnsi="Arial" w:cs="Arial"/>
                <w:sz w:val="22"/>
                <w:szCs w:val="22"/>
              </w:rPr>
              <w:t xml:space="preserve">: circular actors are treated practically like full manufacturers </w:t>
            </w:r>
            <w:r w:rsidR="00A84E6C" w:rsidRPr="00704B44">
              <w:rPr>
                <w:rFonts w:ascii="Arial" w:hAnsi="Arial" w:cs="Arial"/>
                <w:i/>
                <w:iCs/>
                <w:sz w:val="22"/>
                <w:szCs w:val="22"/>
              </w:rPr>
              <w:t>plus</w:t>
            </w:r>
            <w:r w:rsidR="00A84E6C" w:rsidRPr="00704B44">
              <w:rPr>
                <w:rFonts w:ascii="Arial" w:hAnsi="Arial" w:cs="Arial"/>
                <w:sz w:val="22"/>
                <w:szCs w:val="22"/>
              </w:rPr>
              <w:t xml:space="preserve"> additional testing/approval/liability risks that effectively close the market.</w:t>
            </w:r>
          </w:p>
        </w:tc>
      </w:tr>
    </w:tbl>
    <w:p w14:paraId="72DD828B" w14:textId="396839CC" w:rsidR="003C6DDA" w:rsidRPr="00704B44" w:rsidRDefault="003C6DDA" w:rsidP="00A84E6C">
      <w:pPr>
        <w:rPr>
          <w:rFonts w:ascii="Arial" w:hAnsi="Arial" w:cs="Arial"/>
          <w:sz w:val="22"/>
          <w:szCs w:val="22"/>
        </w:rPr>
      </w:pPr>
    </w:p>
    <w:p w14:paraId="05A37819" w14:textId="77777777" w:rsidR="00704B44" w:rsidRPr="00704B44" w:rsidRDefault="00704B44">
      <w:pPr>
        <w:rPr>
          <w:rFonts w:ascii="Arial" w:hAnsi="Arial" w:cs="Arial"/>
          <w:sz w:val="22"/>
          <w:szCs w:val="22"/>
          <w:lang w:val="de-DE"/>
        </w:rPr>
      </w:pPr>
      <w:r w:rsidRPr="00704B44">
        <w:rPr>
          <w:rFonts w:ascii="Arial" w:hAnsi="Arial" w:cs="Arial"/>
          <w:sz w:val="22"/>
          <w:szCs w:val="22"/>
          <w:lang w:val="de-DE"/>
        </w:rPr>
        <w:br w:type="page"/>
      </w:r>
    </w:p>
    <w:p w14:paraId="36E5FE4A" w14:textId="40E7548D" w:rsidR="00A84E6C" w:rsidRPr="00704B44" w:rsidRDefault="00FE164D" w:rsidP="00A84E6C">
      <w:pPr>
        <w:pStyle w:val="ListParagraph"/>
        <w:numPr>
          <w:ilvl w:val="0"/>
          <w:numId w:val="5"/>
        </w:numPr>
        <w:rPr>
          <w:rFonts w:ascii="Arial" w:hAnsi="Arial" w:cs="Arial"/>
          <w:sz w:val="22"/>
          <w:szCs w:val="22"/>
          <w:lang w:val="de-DE"/>
        </w:rPr>
      </w:pPr>
      <w:r w:rsidRPr="00704B44">
        <w:rPr>
          <w:rFonts w:ascii="Arial" w:hAnsi="Arial" w:cs="Arial"/>
          <w:sz w:val="22"/>
          <w:szCs w:val="22"/>
          <w:lang w:val="de-DE"/>
        </w:rPr>
        <w:lastRenderedPageBreak/>
        <w:t>Incentives</w:t>
      </w:r>
      <w:r w:rsidR="00A84E6C" w:rsidRPr="00704B44">
        <w:rPr>
          <w:rFonts w:ascii="Arial" w:hAnsi="Arial" w:cs="Arial"/>
          <w:sz w:val="22"/>
          <w:szCs w:val="22"/>
          <w:lang w:val="de-DE"/>
        </w:rPr>
        <w:t>:</w:t>
      </w:r>
    </w:p>
    <w:tbl>
      <w:tblPr>
        <w:tblStyle w:val="TableGridLight"/>
        <w:tblW w:w="0" w:type="auto"/>
        <w:tblLook w:val="04A0" w:firstRow="1" w:lastRow="0" w:firstColumn="1" w:lastColumn="0" w:noHBand="0" w:noVBand="1"/>
      </w:tblPr>
      <w:tblGrid>
        <w:gridCol w:w="828"/>
        <w:gridCol w:w="8908"/>
      </w:tblGrid>
      <w:tr w:rsidR="00A84E6C" w:rsidRPr="00704B44" w14:paraId="5367C0B1" w14:textId="77777777" w:rsidTr="00D2733E">
        <w:tc>
          <w:tcPr>
            <w:tcW w:w="0" w:type="auto"/>
            <w:hideMark/>
          </w:tcPr>
          <w:p w14:paraId="30593706"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Score</w:t>
            </w:r>
          </w:p>
        </w:tc>
        <w:tc>
          <w:tcPr>
            <w:tcW w:w="0" w:type="auto"/>
            <w:hideMark/>
          </w:tcPr>
          <w:p w14:paraId="69A0A85C"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Anchor text</w:t>
            </w:r>
          </w:p>
        </w:tc>
      </w:tr>
      <w:tr w:rsidR="00A84E6C" w:rsidRPr="00704B44" w14:paraId="707A85E6" w14:textId="77777777" w:rsidTr="00D2733E">
        <w:tc>
          <w:tcPr>
            <w:tcW w:w="0" w:type="auto"/>
            <w:hideMark/>
          </w:tcPr>
          <w:p w14:paraId="4E581606"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1.00</w:t>
            </w:r>
          </w:p>
        </w:tc>
        <w:tc>
          <w:tcPr>
            <w:tcW w:w="0" w:type="auto"/>
            <w:hideMark/>
          </w:tcPr>
          <w:p w14:paraId="2451C836" w14:textId="3905BB3D" w:rsidR="00A84E6C" w:rsidRPr="00704B44" w:rsidRDefault="00FE164D" w:rsidP="00D2733E">
            <w:pPr>
              <w:spacing w:after="160" w:line="278" w:lineRule="auto"/>
              <w:rPr>
                <w:rFonts w:ascii="Arial" w:hAnsi="Arial" w:cs="Arial"/>
                <w:sz w:val="22"/>
                <w:szCs w:val="22"/>
              </w:rPr>
            </w:pPr>
            <w:r w:rsidRPr="00704B44">
              <w:rPr>
                <w:rFonts w:ascii="Arial" w:hAnsi="Arial" w:cs="Arial"/>
                <w:sz w:val="22"/>
                <w:szCs w:val="22"/>
              </w:rPr>
              <w:t>Strong</w:t>
            </w:r>
            <w:r w:rsidR="00A84E6C" w:rsidRPr="00704B44">
              <w:rPr>
                <w:rFonts w:ascii="Arial" w:hAnsi="Arial" w:cs="Arial"/>
                <w:sz w:val="22"/>
                <w:szCs w:val="22"/>
              </w:rPr>
              <w:t xml:space="preserve">, </w:t>
            </w:r>
            <w:r w:rsidRPr="00704B44">
              <w:rPr>
                <w:rFonts w:ascii="Arial" w:hAnsi="Arial" w:cs="Arial"/>
                <w:b/>
                <w:bCs/>
                <w:sz w:val="22"/>
                <w:szCs w:val="22"/>
              </w:rPr>
              <w:t>direct incentives</w:t>
            </w:r>
            <w:r w:rsidR="00A84E6C" w:rsidRPr="00704B44">
              <w:rPr>
                <w:rFonts w:ascii="Arial" w:hAnsi="Arial" w:cs="Arial"/>
                <w:sz w:val="22"/>
                <w:szCs w:val="22"/>
              </w:rPr>
              <w:t xml:space="preserve">: financial mechanisms or mandatory criteria that systematically favor circular options </w:t>
            </w:r>
          </w:p>
        </w:tc>
      </w:tr>
      <w:tr w:rsidR="00A84E6C" w:rsidRPr="00704B44" w14:paraId="6B19BDD5" w14:textId="77777777" w:rsidTr="00D2733E">
        <w:tc>
          <w:tcPr>
            <w:tcW w:w="0" w:type="auto"/>
            <w:hideMark/>
          </w:tcPr>
          <w:p w14:paraId="276FB0EE"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0.75</w:t>
            </w:r>
          </w:p>
        </w:tc>
        <w:tc>
          <w:tcPr>
            <w:tcW w:w="0" w:type="auto"/>
            <w:hideMark/>
          </w:tcPr>
          <w:p w14:paraId="02E3755A" w14:textId="4DDD4000" w:rsidR="00A84E6C" w:rsidRPr="00704B44" w:rsidRDefault="00FE164D" w:rsidP="00D2733E">
            <w:pPr>
              <w:spacing w:after="160" w:line="278" w:lineRule="auto"/>
              <w:rPr>
                <w:rFonts w:ascii="Arial" w:hAnsi="Arial" w:cs="Arial"/>
                <w:sz w:val="22"/>
                <w:szCs w:val="22"/>
              </w:rPr>
            </w:pPr>
            <w:r w:rsidRPr="00704B44">
              <w:rPr>
                <w:rFonts w:ascii="Arial" w:hAnsi="Arial" w:cs="Arial"/>
                <w:b/>
                <w:bCs/>
                <w:sz w:val="22"/>
                <w:szCs w:val="22"/>
              </w:rPr>
              <w:t>Indirect incentives</w:t>
            </w:r>
            <w:r w:rsidR="00A84E6C" w:rsidRPr="00704B44">
              <w:rPr>
                <w:rFonts w:ascii="Arial" w:hAnsi="Arial" w:cs="Arial"/>
                <w:sz w:val="22"/>
                <w:szCs w:val="22"/>
              </w:rPr>
              <w:t>: the framework creates noticeable cost pressure/market mechanisms, but without explicit bonus/malus logic</w:t>
            </w:r>
          </w:p>
        </w:tc>
      </w:tr>
      <w:tr w:rsidR="00A84E6C" w:rsidRPr="00704B44" w14:paraId="482F7C06" w14:textId="77777777" w:rsidTr="00D2733E">
        <w:tc>
          <w:tcPr>
            <w:tcW w:w="0" w:type="auto"/>
            <w:hideMark/>
          </w:tcPr>
          <w:p w14:paraId="559480CD"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0.50</w:t>
            </w:r>
          </w:p>
        </w:tc>
        <w:tc>
          <w:tcPr>
            <w:tcW w:w="0" w:type="auto"/>
            <w:hideMark/>
          </w:tcPr>
          <w:p w14:paraId="3D1E22F2"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Neutral</w:t>
            </w:r>
            <w:r w:rsidRPr="00704B44">
              <w:rPr>
                <w:rFonts w:ascii="Arial" w:hAnsi="Arial" w:cs="Arial"/>
                <w:sz w:val="22"/>
                <w:szCs w:val="22"/>
              </w:rPr>
              <w:t>: little or no economic incentives; rather a “safety/market surveillance” logic.</w:t>
            </w:r>
          </w:p>
        </w:tc>
      </w:tr>
      <w:tr w:rsidR="00A84E6C" w:rsidRPr="00704B44" w14:paraId="50BA35ED" w14:textId="77777777" w:rsidTr="00D2733E">
        <w:tc>
          <w:tcPr>
            <w:tcW w:w="0" w:type="auto"/>
            <w:hideMark/>
          </w:tcPr>
          <w:p w14:paraId="60B5D169"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0.25</w:t>
            </w:r>
          </w:p>
        </w:tc>
        <w:tc>
          <w:tcPr>
            <w:tcW w:w="0" w:type="auto"/>
            <w:hideMark/>
          </w:tcPr>
          <w:p w14:paraId="3A2FA42D"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Negative incentive</w:t>
            </w:r>
            <w:r w:rsidRPr="00704B44">
              <w:rPr>
                <w:rFonts w:ascii="Arial" w:hAnsi="Arial" w:cs="Arial"/>
                <w:sz w:val="22"/>
                <w:szCs w:val="22"/>
              </w:rPr>
              <w:t xml:space="preserve">: the framework creates costs/uncertainty that make circular solutions economically less attractive, without countermeasures </w:t>
            </w:r>
          </w:p>
        </w:tc>
      </w:tr>
      <w:tr w:rsidR="00A84E6C" w:rsidRPr="00704B44" w14:paraId="34A652E6" w14:textId="77777777" w:rsidTr="00D2733E">
        <w:tc>
          <w:tcPr>
            <w:tcW w:w="0" w:type="auto"/>
            <w:hideMark/>
          </w:tcPr>
          <w:p w14:paraId="12B3AE4D"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0.00</w:t>
            </w:r>
          </w:p>
        </w:tc>
        <w:tc>
          <w:tcPr>
            <w:tcW w:w="0" w:type="auto"/>
            <w:hideMark/>
          </w:tcPr>
          <w:p w14:paraId="1232745A" w14:textId="7FBCBFEB" w:rsidR="00A84E6C" w:rsidRPr="00704B44" w:rsidRDefault="00FE164D" w:rsidP="00D2733E">
            <w:pPr>
              <w:spacing w:after="160" w:line="278" w:lineRule="auto"/>
              <w:rPr>
                <w:rFonts w:ascii="Arial" w:hAnsi="Arial" w:cs="Arial"/>
                <w:sz w:val="22"/>
                <w:szCs w:val="22"/>
              </w:rPr>
            </w:pPr>
            <w:r w:rsidRPr="00704B44">
              <w:rPr>
                <w:rFonts w:ascii="Arial" w:hAnsi="Arial" w:cs="Arial"/>
                <w:sz w:val="22"/>
                <w:szCs w:val="22"/>
              </w:rPr>
              <w:t>Strong</w:t>
            </w:r>
            <w:r w:rsidR="00A84E6C" w:rsidRPr="00704B44">
              <w:rPr>
                <w:rFonts w:ascii="Arial" w:hAnsi="Arial" w:cs="Arial"/>
                <w:sz w:val="22"/>
                <w:szCs w:val="22"/>
              </w:rPr>
              <w:t xml:space="preserve"> </w:t>
            </w:r>
            <w:r w:rsidR="00A84E6C" w:rsidRPr="00704B44">
              <w:rPr>
                <w:rFonts w:ascii="Arial" w:hAnsi="Arial" w:cs="Arial"/>
                <w:b/>
                <w:bCs/>
                <w:sz w:val="22"/>
                <w:szCs w:val="22"/>
              </w:rPr>
              <w:t>Market dampener</w:t>
            </w:r>
            <w:r w:rsidR="00A84E6C" w:rsidRPr="00704B44">
              <w:rPr>
                <w:rFonts w:ascii="Arial" w:hAnsi="Arial" w:cs="Arial"/>
                <w:sz w:val="22"/>
                <w:szCs w:val="22"/>
              </w:rPr>
              <w:t>: the framework creates financial/structural incentives that consistently push toward linear single-use/new-purchase logic.</w:t>
            </w:r>
          </w:p>
        </w:tc>
      </w:tr>
    </w:tbl>
    <w:p w14:paraId="6CB8A032" w14:textId="6B430682" w:rsidR="00704B44" w:rsidRPr="00704B44" w:rsidRDefault="00704B44">
      <w:pPr>
        <w:rPr>
          <w:rFonts w:ascii="Arial" w:hAnsi="Arial" w:cs="Arial"/>
          <w:sz w:val="22"/>
          <w:szCs w:val="22"/>
          <w:lang w:val="de-DE"/>
        </w:rPr>
      </w:pPr>
    </w:p>
    <w:p w14:paraId="4EB81747" w14:textId="6C46A1C3" w:rsidR="00A84E6C" w:rsidRPr="00704B44" w:rsidRDefault="00A84E6C" w:rsidP="00A84E6C">
      <w:pPr>
        <w:pStyle w:val="ListParagraph"/>
        <w:numPr>
          <w:ilvl w:val="0"/>
          <w:numId w:val="5"/>
        </w:numPr>
        <w:rPr>
          <w:rFonts w:ascii="Arial" w:hAnsi="Arial" w:cs="Arial"/>
          <w:sz w:val="22"/>
          <w:szCs w:val="22"/>
        </w:rPr>
      </w:pPr>
      <w:r w:rsidRPr="00704B44">
        <w:rPr>
          <w:rFonts w:ascii="Arial" w:hAnsi="Arial" w:cs="Arial"/>
          <w:sz w:val="22"/>
          <w:szCs w:val="22"/>
        </w:rPr>
        <w:t>Data, traceability and information impact</w:t>
      </w:r>
    </w:p>
    <w:tbl>
      <w:tblPr>
        <w:tblStyle w:val="TableGridLight"/>
        <w:tblW w:w="0" w:type="auto"/>
        <w:tblLook w:val="04A0" w:firstRow="1" w:lastRow="0" w:firstColumn="1" w:lastColumn="0" w:noHBand="0" w:noVBand="1"/>
      </w:tblPr>
      <w:tblGrid>
        <w:gridCol w:w="828"/>
        <w:gridCol w:w="8908"/>
      </w:tblGrid>
      <w:tr w:rsidR="00A84E6C" w:rsidRPr="00704B44" w14:paraId="5445C054" w14:textId="77777777" w:rsidTr="00D2733E">
        <w:tc>
          <w:tcPr>
            <w:tcW w:w="0" w:type="auto"/>
            <w:hideMark/>
          </w:tcPr>
          <w:p w14:paraId="0761ED04"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Score</w:t>
            </w:r>
          </w:p>
        </w:tc>
        <w:tc>
          <w:tcPr>
            <w:tcW w:w="0" w:type="auto"/>
            <w:hideMark/>
          </w:tcPr>
          <w:p w14:paraId="52CE6D59"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Anchor text</w:t>
            </w:r>
          </w:p>
        </w:tc>
      </w:tr>
      <w:tr w:rsidR="00A84E6C" w:rsidRPr="00704B44" w14:paraId="5ACB9188" w14:textId="77777777" w:rsidTr="00D2733E">
        <w:tc>
          <w:tcPr>
            <w:tcW w:w="0" w:type="auto"/>
            <w:hideMark/>
          </w:tcPr>
          <w:p w14:paraId="12F03DEB"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1.00</w:t>
            </w:r>
          </w:p>
        </w:tc>
        <w:tc>
          <w:tcPr>
            <w:tcW w:w="0" w:type="auto"/>
            <w:hideMark/>
          </w:tcPr>
          <w:p w14:paraId="25842D53" w14:textId="075EB982" w:rsidR="00A84E6C" w:rsidRPr="00704B44" w:rsidRDefault="00FE164D" w:rsidP="00D2733E">
            <w:pPr>
              <w:spacing w:after="160" w:line="278" w:lineRule="auto"/>
              <w:rPr>
                <w:rFonts w:ascii="Arial" w:hAnsi="Arial" w:cs="Arial"/>
                <w:sz w:val="22"/>
                <w:szCs w:val="22"/>
              </w:rPr>
            </w:pPr>
            <w:r w:rsidRPr="00704B44">
              <w:rPr>
                <w:rFonts w:ascii="Arial" w:hAnsi="Arial" w:cs="Arial"/>
                <w:sz w:val="22"/>
                <w:szCs w:val="22"/>
              </w:rPr>
              <w:t>Strong</w:t>
            </w:r>
            <w:r w:rsidR="00A84E6C" w:rsidRPr="00704B44">
              <w:rPr>
                <w:rFonts w:ascii="Arial" w:hAnsi="Arial" w:cs="Arial"/>
                <w:sz w:val="22"/>
                <w:szCs w:val="22"/>
              </w:rPr>
              <w:t xml:space="preserve">, </w:t>
            </w:r>
            <w:proofErr w:type="spellStart"/>
            <w:r w:rsidR="00A84E6C" w:rsidRPr="00704B44">
              <w:rPr>
                <w:rFonts w:ascii="Arial" w:hAnsi="Arial" w:cs="Arial"/>
                <w:b/>
                <w:bCs/>
                <w:sz w:val="22"/>
                <w:szCs w:val="22"/>
              </w:rPr>
              <w:t>strukturierte</w:t>
            </w:r>
            <w:proofErr w:type="spellEnd"/>
            <w:r w:rsidR="00A84E6C" w:rsidRPr="00704B44">
              <w:rPr>
                <w:rFonts w:ascii="Arial" w:hAnsi="Arial" w:cs="Arial"/>
                <w:b/>
                <w:bCs/>
                <w:sz w:val="22"/>
                <w:szCs w:val="22"/>
              </w:rPr>
              <w:t xml:space="preserve"> </w:t>
            </w:r>
            <w:proofErr w:type="spellStart"/>
            <w:r w:rsidR="00A84E6C" w:rsidRPr="00704B44">
              <w:rPr>
                <w:rFonts w:ascii="Arial" w:hAnsi="Arial" w:cs="Arial"/>
                <w:b/>
                <w:bCs/>
                <w:sz w:val="22"/>
                <w:szCs w:val="22"/>
              </w:rPr>
              <w:t>Datenanforderungen</w:t>
            </w:r>
            <w:proofErr w:type="spellEnd"/>
            <w:r w:rsidR="00A84E6C" w:rsidRPr="00704B44">
              <w:rPr>
                <w:rFonts w:ascii="Arial" w:hAnsi="Arial" w:cs="Arial"/>
                <w:sz w:val="22"/>
                <w:szCs w:val="22"/>
              </w:rPr>
              <w:t xml:space="preserve">, that practically enable circular loops (e.g., mandatory, easily accessible registers/UDI processes + clear information to </w:t>
            </w:r>
            <w:proofErr w:type="spellStart"/>
            <w:r w:rsidR="00A84E6C" w:rsidRPr="00704B44">
              <w:rPr>
                <w:rFonts w:ascii="Arial" w:hAnsi="Arial" w:cs="Arial"/>
                <w:sz w:val="22"/>
                <w:szCs w:val="22"/>
              </w:rPr>
              <w:t>reprocessors</w:t>
            </w:r>
            <w:proofErr w:type="spellEnd"/>
            <w:r w:rsidR="00A84E6C" w:rsidRPr="00704B44">
              <w:rPr>
                <w:rFonts w:ascii="Arial" w:hAnsi="Arial" w:cs="Arial"/>
                <w:sz w:val="22"/>
                <w:szCs w:val="22"/>
              </w:rPr>
              <w:t>/recyclers + traceability across the life cycle).</w:t>
            </w:r>
          </w:p>
        </w:tc>
      </w:tr>
      <w:tr w:rsidR="00A84E6C" w:rsidRPr="00704B44" w14:paraId="7262DB50" w14:textId="77777777" w:rsidTr="00D2733E">
        <w:tc>
          <w:tcPr>
            <w:tcW w:w="0" w:type="auto"/>
            <w:hideMark/>
          </w:tcPr>
          <w:p w14:paraId="4E9AFA14"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0.75</w:t>
            </w:r>
          </w:p>
        </w:tc>
        <w:tc>
          <w:tcPr>
            <w:tcW w:w="0" w:type="auto"/>
            <w:hideMark/>
          </w:tcPr>
          <w:p w14:paraId="2A78ABC8"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Good data requirements, but with gaps (e.g., register yes, but limited access; information obligations exist, but are not fully standardized).</w:t>
            </w:r>
          </w:p>
        </w:tc>
      </w:tr>
      <w:tr w:rsidR="00A84E6C" w:rsidRPr="00704B44" w14:paraId="0E3D2ECE" w14:textId="77777777" w:rsidTr="00D2733E">
        <w:tc>
          <w:tcPr>
            <w:tcW w:w="0" w:type="auto"/>
            <w:hideMark/>
          </w:tcPr>
          <w:p w14:paraId="55848D17"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0.50</w:t>
            </w:r>
          </w:p>
        </w:tc>
        <w:tc>
          <w:tcPr>
            <w:tcW w:w="0" w:type="auto"/>
            <w:hideMark/>
          </w:tcPr>
          <w:p w14:paraId="59257D1A"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Neutral: data/traceability plays little role or remains general</w:t>
            </w:r>
          </w:p>
        </w:tc>
      </w:tr>
      <w:tr w:rsidR="00A84E6C" w:rsidRPr="00704B44" w14:paraId="23F24EAB" w14:textId="77777777" w:rsidTr="00D2733E">
        <w:tc>
          <w:tcPr>
            <w:tcW w:w="0" w:type="auto"/>
            <w:hideMark/>
          </w:tcPr>
          <w:p w14:paraId="5C395EF0"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0.25</w:t>
            </w:r>
          </w:p>
        </w:tc>
        <w:tc>
          <w:tcPr>
            <w:tcW w:w="0" w:type="auto"/>
            <w:hideMark/>
          </w:tcPr>
          <w:p w14:paraId="1FFC0FAE"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Data are available, but </w:t>
            </w:r>
            <w:proofErr w:type="spellStart"/>
            <w:r w:rsidRPr="00704B44">
              <w:rPr>
                <w:rFonts w:ascii="Arial" w:hAnsi="Arial" w:cs="Arial"/>
                <w:b/>
                <w:bCs/>
                <w:sz w:val="22"/>
                <w:szCs w:val="22"/>
              </w:rPr>
              <w:t>behindern</w:t>
            </w:r>
            <w:proofErr w:type="spellEnd"/>
            <w:r w:rsidRPr="00704B44">
              <w:rPr>
                <w:rFonts w:ascii="Arial" w:hAnsi="Arial" w:cs="Arial"/>
                <w:sz w:val="22"/>
                <w:szCs w:val="22"/>
              </w:rPr>
              <w:t xml:space="preserve"> circular loops (e.g., unclear/excessive documentation without a standard, hard to access, leading to opacity/uncertainty).</w:t>
            </w:r>
          </w:p>
        </w:tc>
      </w:tr>
      <w:tr w:rsidR="00A84E6C" w:rsidRPr="00704B44" w14:paraId="2E8194D0" w14:textId="77777777" w:rsidTr="00D2733E">
        <w:tc>
          <w:tcPr>
            <w:tcW w:w="0" w:type="auto"/>
            <w:hideMark/>
          </w:tcPr>
          <w:p w14:paraId="21C0C266"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0.00</w:t>
            </w:r>
          </w:p>
        </w:tc>
        <w:tc>
          <w:tcPr>
            <w:tcW w:w="0" w:type="auto"/>
            <w:hideMark/>
          </w:tcPr>
          <w:p w14:paraId="7AEE9972"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Missing or counterproductive data situation: no meaningful traceability/information to safeguard circular pathways; high opacity.</w:t>
            </w:r>
          </w:p>
        </w:tc>
      </w:tr>
    </w:tbl>
    <w:p w14:paraId="3C36C6B4" w14:textId="77777777" w:rsidR="00A84E6C" w:rsidRPr="00704B44" w:rsidRDefault="00A84E6C" w:rsidP="00A84E6C">
      <w:pPr>
        <w:rPr>
          <w:rFonts w:ascii="Arial" w:hAnsi="Arial" w:cs="Arial"/>
          <w:sz w:val="22"/>
          <w:szCs w:val="22"/>
        </w:rPr>
      </w:pPr>
    </w:p>
    <w:p w14:paraId="751A140D" w14:textId="77777777" w:rsidR="00704B44" w:rsidRPr="00704B44" w:rsidRDefault="00704B44">
      <w:pPr>
        <w:rPr>
          <w:rFonts w:ascii="Arial" w:hAnsi="Arial" w:cs="Arial"/>
          <w:sz w:val="22"/>
          <w:szCs w:val="22"/>
          <w:lang w:val="de-DE"/>
        </w:rPr>
      </w:pPr>
      <w:r w:rsidRPr="00704B44">
        <w:rPr>
          <w:rFonts w:ascii="Arial" w:hAnsi="Arial" w:cs="Arial"/>
          <w:sz w:val="22"/>
          <w:szCs w:val="22"/>
          <w:lang w:val="de-DE"/>
        </w:rPr>
        <w:br w:type="page"/>
      </w:r>
    </w:p>
    <w:p w14:paraId="1C71CABF" w14:textId="055DA89C" w:rsidR="00A84E6C" w:rsidRPr="00704B44" w:rsidRDefault="00A84E6C" w:rsidP="00A84E6C">
      <w:pPr>
        <w:pStyle w:val="ListParagraph"/>
        <w:numPr>
          <w:ilvl w:val="0"/>
          <w:numId w:val="5"/>
        </w:numPr>
        <w:rPr>
          <w:rFonts w:ascii="Arial" w:hAnsi="Arial" w:cs="Arial"/>
          <w:sz w:val="22"/>
          <w:szCs w:val="22"/>
          <w:lang w:val="de-DE"/>
        </w:rPr>
      </w:pPr>
      <w:proofErr w:type="spellStart"/>
      <w:r w:rsidRPr="00704B44">
        <w:rPr>
          <w:rFonts w:ascii="Arial" w:hAnsi="Arial" w:cs="Arial"/>
          <w:sz w:val="22"/>
          <w:szCs w:val="22"/>
          <w:lang w:val="de-DE"/>
        </w:rPr>
        <w:lastRenderedPageBreak/>
        <w:t>Operationalizability</w:t>
      </w:r>
      <w:proofErr w:type="spellEnd"/>
      <w:r w:rsidRPr="00704B44">
        <w:rPr>
          <w:rFonts w:ascii="Arial" w:hAnsi="Arial" w:cs="Arial"/>
          <w:sz w:val="22"/>
          <w:szCs w:val="22"/>
          <w:lang w:val="de-DE"/>
        </w:rPr>
        <w:t xml:space="preserve"> / </w:t>
      </w:r>
      <w:proofErr w:type="spellStart"/>
      <w:r w:rsidRPr="00704B44">
        <w:rPr>
          <w:rFonts w:ascii="Arial" w:hAnsi="Arial" w:cs="Arial"/>
          <w:sz w:val="22"/>
          <w:szCs w:val="22"/>
          <w:lang w:val="de-DE"/>
        </w:rPr>
        <w:t>Practical</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implementability</w:t>
      </w:r>
      <w:proofErr w:type="spellEnd"/>
      <w:r w:rsidRPr="00704B44">
        <w:rPr>
          <w:rFonts w:ascii="Arial" w:hAnsi="Arial" w:cs="Arial"/>
          <w:sz w:val="22"/>
          <w:szCs w:val="22"/>
          <w:lang w:val="de-DE"/>
        </w:rPr>
        <w:t xml:space="preserve"> </w:t>
      </w:r>
    </w:p>
    <w:tbl>
      <w:tblPr>
        <w:tblStyle w:val="TableGridLight"/>
        <w:tblW w:w="0" w:type="auto"/>
        <w:tblLook w:val="04A0" w:firstRow="1" w:lastRow="0" w:firstColumn="1" w:lastColumn="0" w:noHBand="0" w:noVBand="1"/>
      </w:tblPr>
      <w:tblGrid>
        <w:gridCol w:w="828"/>
        <w:gridCol w:w="8908"/>
      </w:tblGrid>
      <w:tr w:rsidR="00A84E6C" w:rsidRPr="00704B44" w14:paraId="6DD8E380" w14:textId="77777777" w:rsidTr="00D2733E">
        <w:tc>
          <w:tcPr>
            <w:tcW w:w="0" w:type="auto"/>
            <w:hideMark/>
          </w:tcPr>
          <w:p w14:paraId="547BD5AE"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Score</w:t>
            </w:r>
          </w:p>
        </w:tc>
        <w:tc>
          <w:tcPr>
            <w:tcW w:w="0" w:type="auto"/>
            <w:hideMark/>
          </w:tcPr>
          <w:p w14:paraId="2DC15B50"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Anchor text</w:t>
            </w:r>
          </w:p>
        </w:tc>
      </w:tr>
      <w:tr w:rsidR="00A84E6C" w:rsidRPr="00704B44" w14:paraId="56E6EA5D" w14:textId="77777777" w:rsidTr="00D2733E">
        <w:tc>
          <w:tcPr>
            <w:tcW w:w="0" w:type="auto"/>
            <w:hideMark/>
          </w:tcPr>
          <w:p w14:paraId="349CA4BB"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1.00</w:t>
            </w:r>
          </w:p>
        </w:tc>
        <w:tc>
          <w:tcPr>
            <w:tcW w:w="0" w:type="auto"/>
            <w:hideMark/>
          </w:tcPr>
          <w:p w14:paraId="78685DE4"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Clear processes, responsibilities, deadlines, roles, enforcement; there are “implementable” requirements (standardized evidence, clear enforcement, little room for interpretation).</w:t>
            </w:r>
          </w:p>
        </w:tc>
      </w:tr>
      <w:tr w:rsidR="00A84E6C" w:rsidRPr="00704B44" w14:paraId="2D06A988" w14:textId="77777777" w:rsidTr="00D2733E">
        <w:tc>
          <w:tcPr>
            <w:tcW w:w="0" w:type="auto"/>
            <w:hideMark/>
          </w:tcPr>
          <w:p w14:paraId="73B9D968"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0.75</w:t>
            </w:r>
          </w:p>
        </w:tc>
        <w:tc>
          <w:tcPr>
            <w:tcW w:w="0" w:type="auto"/>
            <w:hideMark/>
          </w:tcPr>
          <w:p w14:paraId="3BD67300"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Largely implementable, but with some operational gaps (e.g., certain details delegated to guidance/standards; implementation requires </w:t>
            </w:r>
            <w:proofErr w:type="gramStart"/>
            <w:r w:rsidRPr="00704B44">
              <w:rPr>
                <w:rFonts w:ascii="Arial" w:hAnsi="Arial" w:cs="Arial"/>
                <w:sz w:val="22"/>
                <w:szCs w:val="22"/>
              </w:rPr>
              <w:t>moderate additional</w:t>
            </w:r>
            <w:proofErr w:type="gramEnd"/>
            <w:r w:rsidRPr="00704B44">
              <w:rPr>
                <w:rFonts w:ascii="Arial" w:hAnsi="Arial" w:cs="Arial"/>
                <w:sz w:val="22"/>
                <w:szCs w:val="22"/>
              </w:rPr>
              <w:t xml:space="preserve"> resources).</w:t>
            </w:r>
          </w:p>
        </w:tc>
      </w:tr>
      <w:tr w:rsidR="00A84E6C" w:rsidRPr="00704B44" w14:paraId="08BFAF66" w14:textId="77777777" w:rsidTr="00D2733E">
        <w:tc>
          <w:tcPr>
            <w:tcW w:w="0" w:type="auto"/>
            <w:hideMark/>
          </w:tcPr>
          <w:p w14:paraId="73A29AC6"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0.50</w:t>
            </w:r>
          </w:p>
        </w:tc>
        <w:tc>
          <w:tcPr>
            <w:tcW w:w="0" w:type="auto"/>
            <w:hideMark/>
          </w:tcPr>
          <w:p w14:paraId="40188C00"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Neutral: regulation is general/framework-like; leaves much open without clearly blocking it.</w:t>
            </w:r>
          </w:p>
        </w:tc>
      </w:tr>
      <w:tr w:rsidR="00A84E6C" w:rsidRPr="00704B44" w14:paraId="208DCF5D" w14:textId="77777777" w:rsidTr="00D2733E">
        <w:tc>
          <w:tcPr>
            <w:tcW w:w="0" w:type="auto"/>
            <w:hideMark/>
          </w:tcPr>
          <w:p w14:paraId="3CB895E6"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0.25</w:t>
            </w:r>
          </w:p>
        </w:tc>
        <w:tc>
          <w:tcPr>
            <w:tcW w:w="0" w:type="auto"/>
            <w:hideMark/>
          </w:tcPr>
          <w:p w14:paraId="105B7B17"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Weakly operationalized: many open questions, complicated chains of responsibility, missing practical guardrails → high implementation uncertainty.</w:t>
            </w:r>
          </w:p>
        </w:tc>
      </w:tr>
      <w:tr w:rsidR="00A84E6C" w:rsidRPr="00704B44" w14:paraId="3E04ECF5" w14:textId="77777777" w:rsidTr="00D2733E">
        <w:tc>
          <w:tcPr>
            <w:tcW w:w="0" w:type="auto"/>
            <w:hideMark/>
          </w:tcPr>
          <w:p w14:paraId="7B58EA7D"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0.00</w:t>
            </w:r>
          </w:p>
        </w:tc>
        <w:tc>
          <w:tcPr>
            <w:tcW w:w="0" w:type="auto"/>
            <w:hideMark/>
          </w:tcPr>
          <w:p w14:paraId="1D28B719"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Practically not implementable: contradictory/incomplete, or requirements are so unclear/complex that real implementation is unlikely.</w:t>
            </w:r>
          </w:p>
        </w:tc>
      </w:tr>
    </w:tbl>
    <w:p w14:paraId="174F63F8" w14:textId="77777777" w:rsidR="00704B44" w:rsidRPr="00704B44" w:rsidRDefault="00704B44" w:rsidP="00A84E6C">
      <w:pPr>
        <w:rPr>
          <w:rFonts w:ascii="Arial" w:hAnsi="Arial" w:cs="Arial"/>
          <w:sz w:val="22"/>
          <w:szCs w:val="22"/>
        </w:rPr>
      </w:pPr>
    </w:p>
    <w:p w14:paraId="41F769FA" w14:textId="4465FAB2" w:rsidR="00A84E6C" w:rsidRPr="00704B44" w:rsidRDefault="00A84E6C" w:rsidP="00A84E6C">
      <w:pPr>
        <w:rPr>
          <w:rFonts w:ascii="Arial" w:hAnsi="Arial" w:cs="Arial"/>
          <w:sz w:val="22"/>
          <w:szCs w:val="22"/>
        </w:rPr>
      </w:pPr>
      <w:r w:rsidRPr="00704B44">
        <w:rPr>
          <w:rFonts w:ascii="Arial" w:hAnsi="Arial" w:cs="Arial"/>
          <w:sz w:val="22"/>
          <w:szCs w:val="22"/>
        </w:rPr>
        <w:t xml:space="preserve">5) </w:t>
      </w:r>
      <w:r w:rsidRPr="00704B44">
        <w:rPr>
          <w:rFonts w:ascii="Arial" w:hAnsi="Arial" w:cs="Arial"/>
          <w:b/>
          <w:bCs/>
          <w:sz w:val="22"/>
          <w:szCs w:val="22"/>
        </w:rPr>
        <w:t>Weighting the criteria – We use AHP for this</w:t>
      </w:r>
      <w:r w:rsidRPr="00704B44">
        <w:rPr>
          <w:rFonts w:ascii="Arial" w:hAnsi="Arial" w:cs="Arial"/>
          <w:sz w:val="22"/>
          <w:szCs w:val="22"/>
        </w:rPr>
        <w:t>:</w:t>
      </w:r>
    </w:p>
    <w:p w14:paraId="4BA963C0" w14:textId="77777777" w:rsidR="00A84E6C" w:rsidRPr="00704B44" w:rsidRDefault="00A84E6C" w:rsidP="00A84E6C">
      <w:pPr>
        <w:rPr>
          <w:rFonts w:ascii="Arial" w:hAnsi="Arial" w:cs="Arial"/>
          <w:sz w:val="22"/>
          <w:szCs w:val="22"/>
        </w:rPr>
      </w:pPr>
      <w:r w:rsidRPr="00704B44">
        <w:rPr>
          <w:rFonts w:ascii="Arial" w:hAnsi="Arial" w:cs="Arial"/>
          <w:sz w:val="22"/>
          <w:szCs w:val="22"/>
        </w:rPr>
        <w:t xml:space="preserve">Weights for the 5 criteria to </w:t>
      </w:r>
      <w:proofErr w:type="spellStart"/>
      <w:r w:rsidRPr="00704B44">
        <w:rPr>
          <w:rFonts w:ascii="Arial" w:hAnsi="Arial" w:cs="Arial"/>
          <w:sz w:val="22"/>
          <w:szCs w:val="22"/>
        </w:rPr>
        <w:t>beare</w:t>
      </w:r>
      <w:proofErr w:type="spellEnd"/>
      <w:r w:rsidRPr="00704B44">
        <w:rPr>
          <w:rFonts w:ascii="Arial" w:hAnsi="Arial" w:cs="Arial"/>
          <w:sz w:val="22"/>
          <w:szCs w:val="22"/>
        </w:rPr>
        <w:t xml:space="preserve"> determined using AHP to establish which criteria are most important</w:t>
      </w:r>
    </w:p>
    <w:p w14:paraId="3C64A4FA" w14:textId="77777777" w:rsidR="00A84E6C" w:rsidRPr="00704B44" w:rsidRDefault="00A84E6C" w:rsidP="00A84E6C">
      <w:pPr>
        <w:rPr>
          <w:rFonts w:ascii="Arial" w:hAnsi="Arial" w:cs="Arial"/>
          <w:sz w:val="22"/>
          <w:szCs w:val="22"/>
        </w:rPr>
      </w:pPr>
      <w:r w:rsidRPr="00704B44">
        <w:rPr>
          <w:rFonts w:ascii="Arial" w:hAnsi="Arial" w:cs="Arial"/>
          <w:sz w:val="22"/>
          <w:szCs w:val="22"/>
        </w:rPr>
        <w:t xml:space="preserve">AHP procedure: Each pair is compared on a scale of 1–9. Here, 1 means equal weight and 9 means the first item compared is extremely </w:t>
      </w:r>
      <w:proofErr w:type="gramStart"/>
      <w:r w:rsidRPr="00704B44">
        <w:rPr>
          <w:rFonts w:ascii="Arial" w:hAnsi="Arial" w:cs="Arial"/>
          <w:sz w:val="22"/>
          <w:szCs w:val="22"/>
        </w:rPr>
        <w:t>more important</w:t>
      </w:r>
      <w:proofErr w:type="gramEnd"/>
      <w:r w:rsidRPr="00704B44">
        <w:rPr>
          <w:rFonts w:ascii="Arial" w:hAnsi="Arial" w:cs="Arial"/>
          <w:sz w:val="22"/>
          <w:szCs w:val="22"/>
        </w:rPr>
        <w:t xml:space="preserve"> than the second; then the weights are calculated and a consistency check is performed.</w:t>
      </w:r>
    </w:p>
    <w:tbl>
      <w:tblPr>
        <w:tblStyle w:val="TableGrid"/>
        <w:tblW w:w="0" w:type="auto"/>
        <w:tblLook w:val="04A0" w:firstRow="1" w:lastRow="0" w:firstColumn="1" w:lastColumn="0" w:noHBand="0" w:noVBand="1"/>
      </w:tblPr>
      <w:tblGrid>
        <w:gridCol w:w="1891"/>
        <w:gridCol w:w="522"/>
        <w:gridCol w:w="522"/>
        <w:gridCol w:w="498"/>
        <w:gridCol w:w="522"/>
        <w:gridCol w:w="522"/>
      </w:tblGrid>
      <w:tr w:rsidR="00A84E6C" w:rsidRPr="00704B44" w14:paraId="258BA966" w14:textId="77777777" w:rsidTr="00D2733E">
        <w:tc>
          <w:tcPr>
            <w:tcW w:w="0" w:type="auto"/>
          </w:tcPr>
          <w:p w14:paraId="7C19D7B2"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Erster\     Zweiter</w:t>
            </w:r>
          </w:p>
        </w:tc>
        <w:tc>
          <w:tcPr>
            <w:tcW w:w="0" w:type="auto"/>
          </w:tcPr>
          <w:p w14:paraId="0674AF72"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C1</w:t>
            </w:r>
          </w:p>
        </w:tc>
        <w:tc>
          <w:tcPr>
            <w:tcW w:w="0" w:type="auto"/>
          </w:tcPr>
          <w:p w14:paraId="457B4B8E"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C2</w:t>
            </w:r>
          </w:p>
        </w:tc>
        <w:tc>
          <w:tcPr>
            <w:tcW w:w="0" w:type="auto"/>
          </w:tcPr>
          <w:p w14:paraId="260E67B2"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C3</w:t>
            </w:r>
          </w:p>
        </w:tc>
        <w:tc>
          <w:tcPr>
            <w:tcW w:w="0" w:type="auto"/>
          </w:tcPr>
          <w:p w14:paraId="11ACDABA"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C4</w:t>
            </w:r>
          </w:p>
        </w:tc>
        <w:tc>
          <w:tcPr>
            <w:tcW w:w="0" w:type="auto"/>
          </w:tcPr>
          <w:p w14:paraId="2F4FDADA"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C5</w:t>
            </w:r>
          </w:p>
        </w:tc>
      </w:tr>
      <w:tr w:rsidR="00A84E6C" w:rsidRPr="00704B44" w14:paraId="2ADDDF83" w14:textId="77777777" w:rsidTr="00D2733E">
        <w:tc>
          <w:tcPr>
            <w:tcW w:w="0" w:type="auto"/>
          </w:tcPr>
          <w:p w14:paraId="79EE7D7A"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 xml:space="preserve"> C1</w:t>
            </w:r>
          </w:p>
        </w:tc>
        <w:tc>
          <w:tcPr>
            <w:tcW w:w="0" w:type="auto"/>
          </w:tcPr>
          <w:p w14:paraId="4D509FD7"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w:t>
            </w:r>
          </w:p>
        </w:tc>
        <w:tc>
          <w:tcPr>
            <w:tcW w:w="0" w:type="auto"/>
          </w:tcPr>
          <w:p w14:paraId="2910D1F3"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3</w:t>
            </w:r>
          </w:p>
        </w:tc>
        <w:tc>
          <w:tcPr>
            <w:tcW w:w="0" w:type="auto"/>
          </w:tcPr>
          <w:p w14:paraId="05531EC3"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4</w:t>
            </w:r>
          </w:p>
        </w:tc>
        <w:tc>
          <w:tcPr>
            <w:tcW w:w="0" w:type="auto"/>
          </w:tcPr>
          <w:p w14:paraId="60CFDD41"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3</w:t>
            </w:r>
          </w:p>
        </w:tc>
        <w:tc>
          <w:tcPr>
            <w:tcW w:w="0" w:type="auto"/>
          </w:tcPr>
          <w:p w14:paraId="2167EC38"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w:t>
            </w:r>
          </w:p>
        </w:tc>
      </w:tr>
      <w:tr w:rsidR="00A84E6C" w:rsidRPr="00704B44" w14:paraId="1B137B61" w14:textId="77777777" w:rsidTr="00D2733E">
        <w:tc>
          <w:tcPr>
            <w:tcW w:w="0" w:type="auto"/>
          </w:tcPr>
          <w:p w14:paraId="1CD45CCA"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C2</w:t>
            </w:r>
          </w:p>
        </w:tc>
        <w:tc>
          <w:tcPr>
            <w:tcW w:w="0" w:type="auto"/>
          </w:tcPr>
          <w:p w14:paraId="19F86DB4"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1/3</w:t>
            </w:r>
          </w:p>
        </w:tc>
        <w:tc>
          <w:tcPr>
            <w:tcW w:w="0" w:type="auto"/>
          </w:tcPr>
          <w:p w14:paraId="6A954E55"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w:t>
            </w:r>
          </w:p>
        </w:tc>
        <w:tc>
          <w:tcPr>
            <w:tcW w:w="0" w:type="auto"/>
          </w:tcPr>
          <w:p w14:paraId="7CEAF8B4"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2</w:t>
            </w:r>
          </w:p>
        </w:tc>
        <w:tc>
          <w:tcPr>
            <w:tcW w:w="0" w:type="auto"/>
          </w:tcPr>
          <w:p w14:paraId="5D540BD2"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w:t>
            </w:r>
          </w:p>
        </w:tc>
        <w:tc>
          <w:tcPr>
            <w:tcW w:w="0" w:type="auto"/>
          </w:tcPr>
          <w:p w14:paraId="7C566FFF"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1/3</w:t>
            </w:r>
          </w:p>
        </w:tc>
      </w:tr>
      <w:tr w:rsidR="00A84E6C" w:rsidRPr="00704B44" w14:paraId="57384765" w14:textId="77777777" w:rsidTr="00D2733E">
        <w:tc>
          <w:tcPr>
            <w:tcW w:w="0" w:type="auto"/>
          </w:tcPr>
          <w:p w14:paraId="557107E3"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C3</w:t>
            </w:r>
          </w:p>
        </w:tc>
        <w:tc>
          <w:tcPr>
            <w:tcW w:w="0" w:type="auto"/>
          </w:tcPr>
          <w:p w14:paraId="6C486C86"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1/4</w:t>
            </w:r>
          </w:p>
        </w:tc>
        <w:tc>
          <w:tcPr>
            <w:tcW w:w="0" w:type="auto"/>
          </w:tcPr>
          <w:p w14:paraId="31784173"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1/2</w:t>
            </w:r>
          </w:p>
        </w:tc>
        <w:tc>
          <w:tcPr>
            <w:tcW w:w="0" w:type="auto"/>
          </w:tcPr>
          <w:p w14:paraId="6D739A7D"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w:t>
            </w:r>
          </w:p>
        </w:tc>
        <w:tc>
          <w:tcPr>
            <w:tcW w:w="0" w:type="auto"/>
          </w:tcPr>
          <w:p w14:paraId="06FA92B8"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1/2</w:t>
            </w:r>
          </w:p>
        </w:tc>
        <w:tc>
          <w:tcPr>
            <w:tcW w:w="0" w:type="auto"/>
          </w:tcPr>
          <w:p w14:paraId="55DB4022"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1/4</w:t>
            </w:r>
          </w:p>
        </w:tc>
      </w:tr>
      <w:tr w:rsidR="00A84E6C" w:rsidRPr="00704B44" w14:paraId="44DD93AA" w14:textId="77777777" w:rsidTr="00D2733E">
        <w:tc>
          <w:tcPr>
            <w:tcW w:w="0" w:type="auto"/>
          </w:tcPr>
          <w:p w14:paraId="2517CEE0"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C4</w:t>
            </w:r>
          </w:p>
        </w:tc>
        <w:tc>
          <w:tcPr>
            <w:tcW w:w="0" w:type="auto"/>
          </w:tcPr>
          <w:p w14:paraId="1D683168"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1/2</w:t>
            </w:r>
          </w:p>
        </w:tc>
        <w:tc>
          <w:tcPr>
            <w:tcW w:w="0" w:type="auto"/>
          </w:tcPr>
          <w:p w14:paraId="413C27F1"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2</w:t>
            </w:r>
          </w:p>
        </w:tc>
        <w:tc>
          <w:tcPr>
            <w:tcW w:w="0" w:type="auto"/>
          </w:tcPr>
          <w:p w14:paraId="3BD51521"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2</w:t>
            </w:r>
          </w:p>
        </w:tc>
        <w:tc>
          <w:tcPr>
            <w:tcW w:w="0" w:type="auto"/>
          </w:tcPr>
          <w:p w14:paraId="78985EE3"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w:t>
            </w:r>
          </w:p>
        </w:tc>
        <w:tc>
          <w:tcPr>
            <w:tcW w:w="0" w:type="auto"/>
          </w:tcPr>
          <w:p w14:paraId="087D2ABF"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1/3</w:t>
            </w:r>
          </w:p>
        </w:tc>
      </w:tr>
      <w:tr w:rsidR="00A84E6C" w:rsidRPr="00704B44" w14:paraId="0392C7C5" w14:textId="77777777" w:rsidTr="00D2733E">
        <w:tc>
          <w:tcPr>
            <w:tcW w:w="0" w:type="auto"/>
          </w:tcPr>
          <w:p w14:paraId="0376B608"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C5</w:t>
            </w:r>
          </w:p>
        </w:tc>
        <w:tc>
          <w:tcPr>
            <w:tcW w:w="0" w:type="auto"/>
          </w:tcPr>
          <w:p w14:paraId="7C31F924"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w:t>
            </w:r>
          </w:p>
        </w:tc>
        <w:tc>
          <w:tcPr>
            <w:tcW w:w="0" w:type="auto"/>
          </w:tcPr>
          <w:p w14:paraId="242FC8AD"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3</w:t>
            </w:r>
          </w:p>
        </w:tc>
        <w:tc>
          <w:tcPr>
            <w:tcW w:w="0" w:type="auto"/>
          </w:tcPr>
          <w:p w14:paraId="58324C38"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4</w:t>
            </w:r>
          </w:p>
        </w:tc>
        <w:tc>
          <w:tcPr>
            <w:tcW w:w="0" w:type="auto"/>
          </w:tcPr>
          <w:p w14:paraId="1CA2E31A"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3</w:t>
            </w:r>
          </w:p>
        </w:tc>
        <w:tc>
          <w:tcPr>
            <w:tcW w:w="0" w:type="auto"/>
          </w:tcPr>
          <w:p w14:paraId="2FEF1F5C"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1</w:t>
            </w:r>
          </w:p>
        </w:tc>
      </w:tr>
    </w:tbl>
    <w:p w14:paraId="31067EA6" w14:textId="77777777" w:rsidR="00A84E6C" w:rsidRPr="00704B44" w:rsidRDefault="00A84E6C" w:rsidP="00A84E6C">
      <w:pPr>
        <w:rPr>
          <w:rFonts w:ascii="Arial" w:hAnsi="Arial" w:cs="Arial"/>
          <w:sz w:val="22"/>
          <w:szCs w:val="22"/>
        </w:rPr>
      </w:pPr>
    </w:p>
    <w:p w14:paraId="613574FA" w14:textId="77777777" w:rsidR="00A84E6C" w:rsidRPr="00704B44" w:rsidRDefault="00A84E6C" w:rsidP="00A84E6C">
      <w:pPr>
        <w:rPr>
          <w:rFonts w:ascii="Arial" w:hAnsi="Arial" w:cs="Arial"/>
          <w:sz w:val="22"/>
          <w:szCs w:val="22"/>
          <w:lang w:val="de-DE"/>
        </w:rPr>
      </w:pPr>
      <w:proofErr w:type="spellStart"/>
      <w:r w:rsidRPr="00704B44">
        <w:rPr>
          <w:rFonts w:ascii="Arial" w:hAnsi="Arial" w:cs="Arial"/>
          <w:sz w:val="22"/>
          <w:szCs w:val="22"/>
          <w:lang w:val="de-DE"/>
        </w:rPr>
        <w:t>Weighting</w:t>
      </w:r>
      <w:proofErr w:type="spellEnd"/>
      <w:r w:rsidRPr="00704B44">
        <w:rPr>
          <w:rFonts w:ascii="Arial" w:hAnsi="Arial" w:cs="Arial"/>
          <w:sz w:val="22"/>
          <w:szCs w:val="22"/>
          <w:lang w:val="de-DE"/>
        </w:rPr>
        <w:t>:</w:t>
      </w:r>
      <w:r w:rsidRPr="00704B44">
        <w:rPr>
          <w:rFonts w:ascii="Arial" w:eastAsia="Times New Roman" w:hAnsi="Arial" w:cs="Arial"/>
          <w:b/>
          <w:bCs/>
          <w:kern w:val="0"/>
          <w:sz w:val="22"/>
          <w:szCs w:val="22"/>
          <w:lang w:val="de-DE"/>
          <w14:ligatures w14:val="none"/>
        </w:rPr>
        <w:t xml:space="preserve"> </w:t>
      </w:r>
      <w:r w:rsidRPr="00704B44">
        <w:rPr>
          <w:rFonts w:ascii="Arial" w:hAnsi="Arial" w:cs="Arial"/>
          <w:sz w:val="22"/>
          <w:szCs w:val="22"/>
        </w:rPr>
        <w:t>Result:</w:t>
      </w:r>
    </w:p>
    <w:p w14:paraId="5AD59062" w14:textId="77777777" w:rsidR="00A84E6C" w:rsidRPr="00704B44" w:rsidRDefault="00A84E6C" w:rsidP="00A84E6C">
      <w:pPr>
        <w:numPr>
          <w:ilvl w:val="0"/>
          <w:numId w:val="6"/>
        </w:numPr>
        <w:rPr>
          <w:rFonts w:ascii="Arial" w:hAnsi="Arial" w:cs="Arial"/>
          <w:b/>
          <w:bCs/>
          <w:sz w:val="22"/>
          <w:szCs w:val="22"/>
        </w:rPr>
      </w:pPr>
      <w:r w:rsidRPr="00704B44">
        <w:rPr>
          <w:rFonts w:ascii="Arial" w:hAnsi="Arial" w:cs="Arial"/>
          <w:b/>
          <w:bCs/>
          <w:sz w:val="22"/>
          <w:szCs w:val="22"/>
        </w:rPr>
        <w:t>w(C1) = 0.3399</w:t>
      </w:r>
    </w:p>
    <w:p w14:paraId="4E10D937" w14:textId="77777777" w:rsidR="00A84E6C" w:rsidRPr="00704B44" w:rsidRDefault="00A84E6C" w:rsidP="00A84E6C">
      <w:pPr>
        <w:numPr>
          <w:ilvl w:val="0"/>
          <w:numId w:val="6"/>
        </w:numPr>
        <w:rPr>
          <w:rFonts w:ascii="Arial" w:hAnsi="Arial" w:cs="Arial"/>
          <w:b/>
          <w:bCs/>
          <w:sz w:val="22"/>
          <w:szCs w:val="22"/>
        </w:rPr>
      </w:pPr>
      <w:r w:rsidRPr="00704B44">
        <w:rPr>
          <w:rFonts w:ascii="Arial" w:hAnsi="Arial" w:cs="Arial"/>
          <w:b/>
          <w:bCs/>
          <w:sz w:val="22"/>
          <w:szCs w:val="22"/>
        </w:rPr>
        <w:t>w(C2) = 0.1235</w:t>
      </w:r>
    </w:p>
    <w:p w14:paraId="7769F61C" w14:textId="77777777" w:rsidR="00A84E6C" w:rsidRPr="00704B44" w:rsidRDefault="00A84E6C" w:rsidP="00A84E6C">
      <w:pPr>
        <w:numPr>
          <w:ilvl w:val="0"/>
          <w:numId w:val="6"/>
        </w:numPr>
        <w:rPr>
          <w:rFonts w:ascii="Arial" w:hAnsi="Arial" w:cs="Arial"/>
          <w:b/>
          <w:bCs/>
          <w:sz w:val="22"/>
          <w:szCs w:val="22"/>
        </w:rPr>
      </w:pPr>
      <w:r w:rsidRPr="00704B44">
        <w:rPr>
          <w:rFonts w:ascii="Arial" w:hAnsi="Arial" w:cs="Arial"/>
          <w:b/>
          <w:bCs/>
          <w:sz w:val="22"/>
          <w:szCs w:val="22"/>
        </w:rPr>
        <w:t>w(C3) = 0.0732</w:t>
      </w:r>
    </w:p>
    <w:p w14:paraId="371375ED" w14:textId="77777777" w:rsidR="00A84E6C" w:rsidRPr="00704B44" w:rsidRDefault="00A84E6C" w:rsidP="00A84E6C">
      <w:pPr>
        <w:numPr>
          <w:ilvl w:val="0"/>
          <w:numId w:val="6"/>
        </w:numPr>
        <w:rPr>
          <w:rFonts w:ascii="Arial" w:hAnsi="Arial" w:cs="Arial"/>
          <w:b/>
          <w:bCs/>
          <w:sz w:val="22"/>
          <w:szCs w:val="22"/>
        </w:rPr>
      </w:pPr>
      <w:r w:rsidRPr="00704B44">
        <w:rPr>
          <w:rFonts w:ascii="Arial" w:hAnsi="Arial" w:cs="Arial"/>
          <w:b/>
          <w:bCs/>
          <w:sz w:val="22"/>
          <w:szCs w:val="22"/>
        </w:rPr>
        <w:t>w(C4) = 0.1235</w:t>
      </w:r>
    </w:p>
    <w:p w14:paraId="0E558497" w14:textId="40BDF204" w:rsidR="00A84E6C" w:rsidRPr="00704B44" w:rsidRDefault="00A84E6C" w:rsidP="00A84E6C">
      <w:pPr>
        <w:numPr>
          <w:ilvl w:val="0"/>
          <w:numId w:val="6"/>
        </w:numPr>
        <w:rPr>
          <w:rFonts w:ascii="Arial" w:hAnsi="Arial" w:cs="Arial"/>
          <w:b/>
          <w:bCs/>
          <w:sz w:val="22"/>
          <w:szCs w:val="22"/>
        </w:rPr>
      </w:pPr>
      <w:r w:rsidRPr="00704B44">
        <w:rPr>
          <w:rFonts w:ascii="Arial" w:hAnsi="Arial" w:cs="Arial"/>
          <w:b/>
          <w:bCs/>
          <w:sz w:val="22"/>
          <w:szCs w:val="22"/>
        </w:rPr>
        <w:t>w(C5) = 0.3399</w:t>
      </w:r>
    </w:p>
    <w:p w14:paraId="01CC49AF" w14:textId="77777777" w:rsidR="00A84E6C" w:rsidRPr="00704B44" w:rsidRDefault="00A84E6C" w:rsidP="00A84E6C">
      <w:pPr>
        <w:rPr>
          <w:rFonts w:ascii="Arial" w:hAnsi="Arial" w:cs="Arial"/>
          <w:sz w:val="22"/>
          <w:szCs w:val="22"/>
        </w:rPr>
      </w:pPr>
      <w:r w:rsidRPr="00704B44">
        <w:rPr>
          <w:rFonts w:ascii="Arial" w:hAnsi="Arial" w:cs="Arial"/>
          <w:sz w:val="22"/>
          <w:szCs w:val="22"/>
        </w:rPr>
        <w:t>Consistency check (to see whether the values we entered manually also make logical sense):</w:t>
      </w:r>
    </w:p>
    <w:p w14:paraId="15337FBA" w14:textId="77777777" w:rsidR="00A84E6C" w:rsidRPr="00704B44" w:rsidRDefault="00A84E6C" w:rsidP="00A84E6C">
      <w:pPr>
        <w:rPr>
          <w:rFonts w:ascii="Arial" w:hAnsi="Arial" w:cs="Arial"/>
          <w:b/>
          <w:bCs/>
          <w:sz w:val="22"/>
          <w:szCs w:val="22"/>
        </w:rPr>
      </w:pPr>
      <w:r w:rsidRPr="00704B44">
        <w:rPr>
          <w:rFonts w:ascii="Arial" w:hAnsi="Arial" w:cs="Arial"/>
          <w:b/>
          <w:bCs/>
          <w:sz w:val="22"/>
          <w:szCs w:val="22"/>
        </w:rPr>
        <w:t xml:space="preserve">CR ≈ 0.0059 </w:t>
      </w:r>
    </w:p>
    <w:p w14:paraId="73B7C6CB" w14:textId="77777777" w:rsidR="00A84E6C" w:rsidRPr="00704B44" w:rsidRDefault="00A84E6C" w:rsidP="00A84E6C">
      <w:pPr>
        <w:rPr>
          <w:rFonts w:ascii="Arial" w:hAnsi="Arial" w:cs="Arial"/>
          <w:sz w:val="22"/>
          <w:szCs w:val="22"/>
        </w:rPr>
      </w:pPr>
      <w:r w:rsidRPr="00704B44">
        <w:rPr>
          <w:rFonts w:ascii="Arial" w:hAnsi="Arial" w:cs="Arial"/>
          <w:sz w:val="22"/>
          <w:szCs w:val="22"/>
        </w:rPr>
        <w:t xml:space="preserve">Rule of thumb is &lt; 0.10 </w:t>
      </w:r>
      <w:r w:rsidRPr="00704B44">
        <w:rPr>
          <w:rFonts w:ascii="Cambria Math" w:hAnsi="Cambria Math" w:cs="Cambria Math"/>
          <w:sz w:val="22"/>
          <w:szCs w:val="22"/>
        </w:rPr>
        <w:t>⇒</w:t>
      </w:r>
      <w:r w:rsidRPr="00704B44">
        <w:rPr>
          <w:rFonts w:ascii="Arial" w:hAnsi="Arial" w:cs="Arial"/>
          <w:sz w:val="22"/>
          <w:szCs w:val="22"/>
        </w:rPr>
        <w:t xml:space="preserve"> </w:t>
      </w:r>
      <w:proofErr w:type="spellStart"/>
      <w:r w:rsidRPr="00704B44">
        <w:rPr>
          <w:rFonts w:ascii="Arial" w:hAnsi="Arial" w:cs="Arial"/>
          <w:sz w:val="22"/>
          <w:szCs w:val="22"/>
        </w:rPr>
        <w:t>sehr</w:t>
      </w:r>
      <w:proofErr w:type="spellEnd"/>
      <w:r w:rsidRPr="00704B44">
        <w:rPr>
          <w:rFonts w:ascii="Arial" w:hAnsi="Arial" w:cs="Arial"/>
          <w:sz w:val="22"/>
          <w:szCs w:val="22"/>
        </w:rPr>
        <w:t xml:space="preserve"> </w:t>
      </w:r>
      <w:proofErr w:type="spellStart"/>
      <w:r w:rsidRPr="00704B44">
        <w:rPr>
          <w:rFonts w:ascii="Arial" w:hAnsi="Arial" w:cs="Arial"/>
          <w:sz w:val="22"/>
          <w:szCs w:val="22"/>
        </w:rPr>
        <w:t>konsistent</w:t>
      </w:r>
      <w:proofErr w:type="spellEnd"/>
    </w:p>
    <w:p w14:paraId="6C524621" w14:textId="77777777" w:rsidR="00A84E6C" w:rsidRPr="00704B44" w:rsidRDefault="00A84E6C" w:rsidP="00A84E6C">
      <w:pPr>
        <w:rPr>
          <w:rFonts w:ascii="Arial" w:hAnsi="Arial" w:cs="Arial"/>
          <w:sz w:val="22"/>
          <w:szCs w:val="22"/>
          <w:lang w:val="de-DE"/>
        </w:rPr>
      </w:pPr>
      <w:r w:rsidRPr="00704B44">
        <w:rPr>
          <w:rFonts w:ascii="Arial" w:hAnsi="Arial" w:cs="Arial"/>
          <w:sz w:val="22"/>
          <w:szCs w:val="22"/>
          <w:lang w:val="de-DE"/>
        </w:rPr>
        <w:lastRenderedPageBreak/>
        <w:t xml:space="preserve">Umsetzung siehe Excel – </w:t>
      </w:r>
      <w:proofErr w:type="spellStart"/>
      <w:r w:rsidRPr="00704B44">
        <w:rPr>
          <w:rFonts w:ascii="Arial" w:hAnsi="Arial" w:cs="Arial"/>
          <w:sz w:val="22"/>
          <w:szCs w:val="22"/>
          <w:lang w:val="de-DE"/>
        </w:rPr>
        <w:t>AHP_Gewichte_und_Konsistenzcheck</w:t>
      </w:r>
      <w:proofErr w:type="spellEnd"/>
    </w:p>
    <w:p w14:paraId="0BAAE02F" w14:textId="7442044C" w:rsidR="00A84E6C" w:rsidRPr="00704B44" w:rsidRDefault="00A84E6C" w:rsidP="00A84E6C">
      <w:pPr>
        <w:rPr>
          <w:rFonts w:ascii="Arial" w:hAnsi="Arial" w:cs="Arial"/>
          <w:sz w:val="22"/>
          <w:szCs w:val="22"/>
          <w:lang w:val="de-DE"/>
        </w:rPr>
      </w:pPr>
      <w:proofErr w:type="spellStart"/>
      <w:r w:rsidRPr="00704B44">
        <w:rPr>
          <w:rFonts w:ascii="Arial" w:hAnsi="Arial" w:cs="Arial"/>
          <w:sz w:val="22"/>
          <w:szCs w:val="22"/>
          <w:lang w:val="de-DE"/>
        </w:rPr>
        <w:t>Calculate</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quotients</w:t>
      </w:r>
      <w:proofErr w:type="spellEnd"/>
      <w:r w:rsidRPr="00704B44">
        <w:rPr>
          <w:rFonts w:ascii="Arial" w:hAnsi="Arial" w:cs="Arial"/>
          <w:sz w:val="22"/>
          <w:szCs w:val="22"/>
          <w:lang w:val="de-DE"/>
        </w:rPr>
        <w:t xml:space="preserve">: </w:t>
      </w:r>
    </w:p>
    <w:tbl>
      <w:tblPr>
        <w:tblStyle w:val="TableGridLight"/>
        <w:tblW w:w="4942" w:type="pct"/>
        <w:tblLook w:val="04A0" w:firstRow="1" w:lastRow="0" w:firstColumn="1" w:lastColumn="0" w:noHBand="0" w:noVBand="1"/>
      </w:tblPr>
      <w:tblGrid>
        <w:gridCol w:w="1478"/>
        <w:gridCol w:w="1134"/>
        <w:gridCol w:w="3457"/>
        <w:gridCol w:w="2029"/>
        <w:gridCol w:w="1525"/>
      </w:tblGrid>
      <w:tr w:rsidR="00A84E6C" w:rsidRPr="00704B44" w14:paraId="20ACFAE5" w14:textId="77777777" w:rsidTr="00D2733E">
        <w:tc>
          <w:tcPr>
            <w:tcW w:w="1054" w:type="pct"/>
            <w:hideMark/>
          </w:tcPr>
          <w:p w14:paraId="35672179"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 xml:space="preserve">Regulatory area </w:t>
            </w:r>
          </w:p>
        </w:tc>
        <w:tc>
          <w:tcPr>
            <w:tcW w:w="457" w:type="pct"/>
            <w:hideMark/>
          </w:tcPr>
          <w:p w14:paraId="507BF3DA"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 xml:space="preserve">EU legal act </w:t>
            </w:r>
          </w:p>
        </w:tc>
        <w:tc>
          <w:tcPr>
            <w:tcW w:w="1394" w:type="pct"/>
            <w:hideMark/>
          </w:tcPr>
          <w:p w14:paraId="3E46C451"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 xml:space="preserve">Germany </w:t>
            </w:r>
          </w:p>
        </w:tc>
        <w:tc>
          <w:tcPr>
            <w:tcW w:w="1340" w:type="pct"/>
            <w:hideMark/>
          </w:tcPr>
          <w:p w14:paraId="3BE63443"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 xml:space="preserve">Denmark </w:t>
            </w:r>
          </w:p>
        </w:tc>
        <w:tc>
          <w:tcPr>
            <w:tcW w:w="755" w:type="pct"/>
            <w:hideMark/>
          </w:tcPr>
          <w:p w14:paraId="096FCA35"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 xml:space="preserve">Croatia </w:t>
            </w:r>
          </w:p>
        </w:tc>
      </w:tr>
      <w:tr w:rsidR="00A84E6C" w:rsidRPr="00704B44" w14:paraId="7E8BE7F8" w14:textId="77777777" w:rsidTr="00D2733E">
        <w:tc>
          <w:tcPr>
            <w:tcW w:w="1054" w:type="pct"/>
            <w:hideMark/>
          </w:tcPr>
          <w:p w14:paraId="2721DA0A" w14:textId="77777777" w:rsidR="00A84E6C" w:rsidRPr="00704B44" w:rsidRDefault="00A84E6C" w:rsidP="00D2733E">
            <w:pPr>
              <w:spacing w:after="160" w:line="278" w:lineRule="auto"/>
              <w:rPr>
                <w:rFonts w:ascii="Arial" w:hAnsi="Arial" w:cs="Arial"/>
                <w:sz w:val="22"/>
                <w:szCs w:val="22"/>
                <w:lang w:val="de-DE"/>
              </w:rPr>
            </w:pPr>
            <w:r w:rsidRPr="00704B44">
              <w:rPr>
                <w:rFonts w:ascii="Arial" w:hAnsi="Arial" w:cs="Arial"/>
                <w:sz w:val="22"/>
                <w:szCs w:val="22"/>
                <w:lang w:val="de-DE"/>
              </w:rPr>
              <w:t xml:space="preserve">MDR-Produkte </w:t>
            </w:r>
          </w:p>
        </w:tc>
        <w:tc>
          <w:tcPr>
            <w:tcW w:w="457" w:type="pct"/>
            <w:hideMark/>
          </w:tcPr>
          <w:p w14:paraId="58B689F9"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MDR (EU) 2017/745 (</w:t>
            </w:r>
            <w:hyperlink r:id="rId15" w:tooltip="2017/745 - EN - Medical Device Regulation - EUR-Lex" w:history="1">
              <w:r w:rsidRPr="00704B44">
                <w:rPr>
                  <w:rStyle w:val="Hyperlink"/>
                  <w:rFonts w:ascii="Arial" w:hAnsi="Arial" w:cs="Arial"/>
                  <w:sz w:val="22"/>
                  <w:szCs w:val="22"/>
                </w:rPr>
                <w:t>EUR-Lex</w:t>
              </w:r>
            </w:hyperlink>
            <w:r w:rsidRPr="00704B44">
              <w:rPr>
                <w:rFonts w:ascii="Arial" w:hAnsi="Arial" w:cs="Arial"/>
                <w:sz w:val="22"/>
                <w:szCs w:val="22"/>
              </w:rPr>
              <w:t>)</w:t>
            </w:r>
          </w:p>
        </w:tc>
        <w:tc>
          <w:tcPr>
            <w:tcW w:w="1394" w:type="pct"/>
            <w:hideMark/>
          </w:tcPr>
          <w:p w14:paraId="6DD7F537"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MPDG (implementation/supplementation MDR/IVDR enforcement) (</w:t>
            </w:r>
            <w:hyperlink r:id="rId16" w:tooltip="MPDG - Gesetz zur Durchführung unionsrechtlicher ..." w:history="1">
              <w:r w:rsidRPr="00704B44">
                <w:rPr>
                  <w:rStyle w:val="Hyperlink"/>
                  <w:rFonts w:ascii="Arial" w:hAnsi="Arial" w:cs="Arial"/>
                  <w:sz w:val="22"/>
                  <w:szCs w:val="22"/>
                </w:rPr>
                <w:t>Laws on the Internet</w:t>
              </w:r>
            </w:hyperlink>
            <w:r w:rsidRPr="00704B44">
              <w:rPr>
                <w:rFonts w:ascii="Arial" w:hAnsi="Arial" w:cs="Arial"/>
                <w:sz w:val="22"/>
                <w:szCs w:val="22"/>
              </w:rPr>
              <w:t>)</w:t>
            </w:r>
          </w:p>
        </w:tc>
        <w:tc>
          <w:tcPr>
            <w:tcW w:w="1340" w:type="pct"/>
            <w:hideMark/>
          </w:tcPr>
          <w:p w14:paraId="10E71E11"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BEK nr 1731 of 08/12/2025 (“on medical devices etc.”, replaces earlier consolidated BEK; national implementation of MDR/IVDR) (</w:t>
            </w:r>
            <w:proofErr w:type="spellStart"/>
            <w:r w:rsidRPr="00704B44">
              <w:rPr>
                <w:rFonts w:ascii="Arial" w:hAnsi="Arial" w:cs="Arial"/>
                <w:sz w:val="22"/>
                <w:szCs w:val="22"/>
              </w:rPr>
              <w:fldChar w:fldCharType="begin"/>
            </w:r>
            <w:r w:rsidRPr="00704B44">
              <w:rPr>
                <w:rFonts w:ascii="Arial" w:hAnsi="Arial" w:cs="Arial"/>
                <w:sz w:val="22"/>
                <w:szCs w:val="22"/>
              </w:rPr>
              <w:instrText>HYPERLINK "https://www.lovtidende.dk/api/pdf/254211?utm_source=chatgpt.com" \o "Bekendtgørelse om medicinsk udstyr m.v."</w:instrText>
            </w:r>
            <w:r w:rsidRPr="00704B44">
              <w:rPr>
                <w:rFonts w:ascii="Arial" w:hAnsi="Arial" w:cs="Arial"/>
                <w:sz w:val="22"/>
                <w:szCs w:val="22"/>
              </w:rPr>
            </w:r>
            <w:r w:rsidRPr="00704B44">
              <w:rPr>
                <w:rFonts w:ascii="Arial" w:hAnsi="Arial" w:cs="Arial"/>
                <w:sz w:val="22"/>
                <w:szCs w:val="22"/>
              </w:rPr>
              <w:fldChar w:fldCharType="separate"/>
            </w:r>
            <w:r w:rsidRPr="00704B44">
              <w:rPr>
                <w:rStyle w:val="Hyperlink"/>
                <w:rFonts w:ascii="Arial" w:hAnsi="Arial" w:cs="Arial"/>
                <w:sz w:val="22"/>
                <w:szCs w:val="22"/>
              </w:rPr>
              <w:t>Lovtidende</w:t>
            </w:r>
            <w:proofErr w:type="spellEnd"/>
            <w:r w:rsidRPr="00704B44">
              <w:rPr>
                <w:rFonts w:ascii="Arial" w:hAnsi="Arial" w:cs="Arial"/>
                <w:sz w:val="22"/>
                <w:szCs w:val="22"/>
              </w:rPr>
              <w:fldChar w:fldCharType="end"/>
            </w:r>
            <w:r w:rsidRPr="00704B44">
              <w:rPr>
                <w:rFonts w:ascii="Arial" w:hAnsi="Arial" w:cs="Arial"/>
                <w:sz w:val="22"/>
                <w:szCs w:val="22"/>
              </w:rPr>
              <w:t>)</w:t>
            </w:r>
          </w:p>
        </w:tc>
        <w:tc>
          <w:tcPr>
            <w:tcW w:w="755" w:type="pct"/>
            <w:hideMark/>
          </w:tcPr>
          <w:p w14:paraId="0D7938FD"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Act implementing MDR/IVDR (NN 100/2018)</w:t>
            </w:r>
          </w:p>
        </w:tc>
      </w:tr>
    </w:tbl>
    <w:p w14:paraId="584F1FC9" w14:textId="77777777" w:rsidR="00A84E6C" w:rsidRPr="00704B44" w:rsidRDefault="00A84E6C" w:rsidP="00A84E6C">
      <w:pPr>
        <w:rPr>
          <w:rFonts w:ascii="Arial" w:hAnsi="Arial" w:cs="Arial"/>
          <w:sz w:val="22"/>
          <w:szCs w:val="22"/>
        </w:rPr>
      </w:pPr>
    </w:p>
    <w:p w14:paraId="46C208AB" w14:textId="77777777" w:rsidR="00704B44" w:rsidRPr="00704B44" w:rsidRDefault="00704B44">
      <w:pPr>
        <w:rPr>
          <w:rFonts w:ascii="Arial" w:hAnsi="Arial" w:cs="Arial"/>
          <w:sz w:val="22"/>
          <w:szCs w:val="22"/>
        </w:rPr>
      </w:pPr>
      <w:r w:rsidRPr="00704B44">
        <w:rPr>
          <w:rFonts w:ascii="Arial" w:hAnsi="Arial" w:cs="Arial"/>
          <w:sz w:val="22"/>
          <w:szCs w:val="22"/>
        </w:rPr>
        <w:br w:type="page"/>
      </w:r>
    </w:p>
    <w:p w14:paraId="3CDE2A1C" w14:textId="04803D73" w:rsidR="00A84E6C" w:rsidRPr="00704B44" w:rsidRDefault="00A84E6C" w:rsidP="00A84E6C">
      <w:pPr>
        <w:rPr>
          <w:rFonts w:ascii="Arial" w:hAnsi="Arial" w:cs="Arial"/>
          <w:sz w:val="22"/>
          <w:szCs w:val="22"/>
        </w:rPr>
      </w:pPr>
      <w:r w:rsidRPr="00704B44">
        <w:rPr>
          <w:rFonts w:ascii="Arial" w:hAnsi="Arial" w:cs="Arial"/>
          <w:sz w:val="22"/>
          <w:szCs w:val="22"/>
        </w:rPr>
        <w:lastRenderedPageBreak/>
        <w:t xml:space="preserve">1.: MPDG (implementation/supplementation MDR/IVDR enforcement):  </w:t>
      </w:r>
      <w:r w:rsidRPr="00704B44">
        <w:rPr>
          <w:rFonts w:ascii="Arial" w:hAnsi="Arial" w:cs="Arial"/>
          <w:b/>
          <w:bCs/>
          <w:sz w:val="22"/>
          <w:szCs w:val="22"/>
        </w:rPr>
        <w:t>Q = 0,669</w:t>
      </w:r>
      <w:r w:rsidRPr="00704B44">
        <w:rPr>
          <w:rFonts w:ascii="Arial" w:hAnsi="Arial" w:cs="Arial"/>
          <w:b/>
          <w:bCs/>
          <w:sz w:val="22"/>
          <w:szCs w:val="22"/>
        </w:rPr>
        <w:br/>
      </w:r>
      <w:bookmarkStart w:id="1" w:name="_Hlk219028110"/>
      <w:r w:rsidRPr="00704B44">
        <w:rPr>
          <w:rFonts w:ascii="Arial" w:hAnsi="Arial" w:cs="Arial"/>
          <w:sz w:val="22"/>
          <w:szCs w:val="22"/>
        </w:rPr>
        <w:t>https://www.gesetze-im-internet.de/mpdg/BJNR096010020.html</w:t>
      </w:r>
      <w:bookmarkEnd w:id="1"/>
    </w:p>
    <w:tbl>
      <w:tblPr>
        <w:tblStyle w:val="TableGridLight"/>
        <w:tblW w:w="0" w:type="auto"/>
        <w:tblLook w:val="04A0" w:firstRow="1" w:lastRow="0" w:firstColumn="1" w:lastColumn="0" w:noHBand="0" w:noVBand="1"/>
      </w:tblPr>
      <w:tblGrid>
        <w:gridCol w:w="2477"/>
        <w:gridCol w:w="909"/>
        <w:gridCol w:w="6350"/>
      </w:tblGrid>
      <w:tr w:rsidR="00A84E6C" w:rsidRPr="00704B44" w14:paraId="4BADD59A" w14:textId="77777777" w:rsidTr="00D2733E">
        <w:tc>
          <w:tcPr>
            <w:tcW w:w="0" w:type="auto"/>
            <w:hideMark/>
          </w:tcPr>
          <w:p w14:paraId="32024C83"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Criterion</w:t>
            </w:r>
          </w:p>
        </w:tc>
        <w:tc>
          <w:tcPr>
            <w:tcW w:w="0" w:type="auto"/>
            <w:hideMark/>
          </w:tcPr>
          <w:p w14:paraId="1D3E1D5A"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Score (s)</w:t>
            </w:r>
          </w:p>
        </w:tc>
        <w:tc>
          <w:tcPr>
            <w:tcW w:w="0" w:type="auto"/>
            <w:hideMark/>
          </w:tcPr>
          <w:p w14:paraId="72F8BE6A"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 xml:space="preserve">Rationale </w:t>
            </w:r>
          </w:p>
        </w:tc>
      </w:tr>
      <w:tr w:rsidR="00A84E6C" w:rsidRPr="00704B44" w14:paraId="4979FE44" w14:textId="77777777" w:rsidTr="00D2733E">
        <w:tc>
          <w:tcPr>
            <w:tcW w:w="0" w:type="auto"/>
            <w:hideMark/>
          </w:tcPr>
          <w:p w14:paraId="66E860C4"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C1 Permissibility/Clarity</w:t>
            </w:r>
          </w:p>
        </w:tc>
        <w:tc>
          <w:tcPr>
            <w:tcW w:w="0" w:type="auto"/>
            <w:hideMark/>
          </w:tcPr>
          <w:p w14:paraId="7BD527A6"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0.75</w:t>
            </w:r>
          </w:p>
        </w:tc>
        <w:tc>
          <w:tcPr>
            <w:tcW w:w="0" w:type="auto"/>
            <w:hideMark/>
          </w:tcPr>
          <w:p w14:paraId="3B5F1373"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MPDG Section 77 explicitly names facilities “…in which … products … are reprocessed” as a subject of supervision.</w:t>
            </w:r>
            <w:r w:rsidRPr="00704B44">
              <w:rPr>
                <w:rFonts w:ascii="Arial" w:hAnsi="Arial" w:cs="Arial"/>
                <w:sz w:val="22"/>
                <w:szCs w:val="22"/>
              </w:rPr>
              <w:br/>
              <w:t>Facilities that “reprocess such products exclusively for others … must notify this before commencing the activity …”.</w:t>
            </w:r>
            <w:r w:rsidRPr="00704B44">
              <w:rPr>
                <w:rFonts w:ascii="Arial" w:hAnsi="Arial" w:cs="Arial"/>
                <w:sz w:val="22"/>
                <w:szCs w:val="22"/>
              </w:rPr>
              <w:br/>
              <w:t>Section 88 authorizes “…to set requirements for the safe reprocessing … of medical devices”</w:t>
            </w:r>
            <w:r w:rsidRPr="00704B44">
              <w:rPr>
                <w:rFonts w:ascii="Arial" w:hAnsi="Arial" w:cs="Arial"/>
                <w:sz w:val="22"/>
                <w:szCs w:val="22"/>
              </w:rPr>
              <w:br/>
              <w:t xml:space="preserve"> clearly possible and regulated, but Implementation not clearly described</w:t>
            </w:r>
          </w:p>
        </w:tc>
      </w:tr>
      <w:tr w:rsidR="00A84E6C" w:rsidRPr="00704B44" w14:paraId="76219FCE" w14:textId="77777777" w:rsidTr="00D2733E">
        <w:tc>
          <w:tcPr>
            <w:tcW w:w="0" w:type="auto"/>
            <w:hideMark/>
          </w:tcPr>
          <w:p w14:paraId="681C4839" w14:textId="00B41CD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 xml:space="preserve">C2 Compliance </w:t>
            </w:r>
          </w:p>
        </w:tc>
        <w:tc>
          <w:tcPr>
            <w:tcW w:w="0" w:type="auto"/>
            <w:hideMark/>
          </w:tcPr>
          <w:p w14:paraId="200BA486"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0.25</w:t>
            </w:r>
          </w:p>
        </w:tc>
        <w:tc>
          <w:tcPr>
            <w:tcW w:w="0" w:type="auto"/>
          </w:tcPr>
          <w:p w14:paraId="79B37F25" w14:textId="77777777" w:rsidR="00A84E6C" w:rsidRPr="00704B44" w:rsidRDefault="00A84E6C" w:rsidP="00D2733E">
            <w:pPr>
              <w:spacing w:after="160" w:line="278" w:lineRule="auto"/>
              <w:rPr>
                <w:rFonts w:ascii="Arial" w:hAnsi="Arial" w:cs="Arial"/>
                <w:sz w:val="22"/>
                <w:szCs w:val="22"/>
                <w:lang w:val="de-DE"/>
              </w:rPr>
            </w:pPr>
            <w:proofErr w:type="spellStart"/>
            <w:r w:rsidRPr="00704B44">
              <w:rPr>
                <w:rFonts w:ascii="Arial" w:hAnsi="Arial" w:cs="Arial"/>
                <w:sz w:val="22"/>
                <w:szCs w:val="22"/>
              </w:rPr>
              <w:t>Reprocessors</w:t>
            </w:r>
            <w:proofErr w:type="spellEnd"/>
            <w:r w:rsidRPr="00704B44">
              <w:rPr>
                <w:rFonts w:ascii="Arial" w:hAnsi="Arial" w:cs="Arial"/>
                <w:sz w:val="22"/>
                <w:szCs w:val="22"/>
              </w:rPr>
              <w:t xml:space="preserve"> have additional obligations (notification duty): “…reprocess exclusively for others … must notify this …”.</w:t>
            </w:r>
            <w:r w:rsidRPr="00704B44">
              <w:rPr>
                <w:rFonts w:ascii="Arial" w:hAnsi="Arial" w:cs="Arial"/>
                <w:sz w:val="22"/>
                <w:szCs w:val="22"/>
              </w:rPr>
              <w:br/>
              <w:t xml:space="preserve">The legislator may set additional requirements/certification for </w:t>
            </w:r>
            <w:proofErr w:type="spellStart"/>
            <w:r w:rsidRPr="00704B44">
              <w:rPr>
                <w:rFonts w:ascii="Arial" w:hAnsi="Arial" w:cs="Arial"/>
                <w:sz w:val="22"/>
                <w:szCs w:val="22"/>
              </w:rPr>
              <w:t>reprocessors</w:t>
            </w:r>
            <w:proofErr w:type="spellEnd"/>
            <w:r w:rsidRPr="00704B44">
              <w:rPr>
                <w:rFonts w:ascii="Arial" w:hAnsi="Arial" w:cs="Arial"/>
                <w:sz w:val="22"/>
                <w:szCs w:val="22"/>
              </w:rPr>
              <w:t xml:space="preserve">: “…additional requirements for </w:t>
            </w:r>
            <w:proofErr w:type="spellStart"/>
            <w:r w:rsidRPr="00704B44">
              <w:rPr>
                <w:rFonts w:ascii="Arial" w:hAnsi="Arial" w:cs="Arial"/>
                <w:sz w:val="22"/>
                <w:szCs w:val="22"/>
              </w:rPr>
              <w:t>reprocessors</w:t>
            </w:r>
            <w:proofErr w:type="spellEnd"/>
            <w:r w:rsidRPr="00704B44">
              <w:rPr>
                <w:rFonts w:ascii="Arial" w:hAnsi="Arial" w:cs="Arial"/>
                <w:sz w:val="22"/>
                <w:szCs w:val="22"/>
              </w:rPr>
              <w:t xml:space="preserve">… </w:t>
            </w:r>
            <w:r w:rsidRPr="00704B44">
              <w:rPr>
                <w:rFonts w:ascii="Arial" w:hAnsi="Arial" w:cs="Arial"/>
                <w:sz w:val="22"/>
                <w:szCs w:val="22"/>
                <w:lang w:val="de-DE"/>
              </w:rPr>
              <w:t>[and] …</w:t>
            </w:r>
            <w:proofErr w:type="spellStart"/>
            <w:r w:rsidRPr="00704B44">
              <w:rPr>
                <w:rFonts w:ascii="Arial" w:hAnsi="Arial" w:cs="Arial"/>
                <w:sz w:val="22"/>
                <w:szCs w:val="22"/>
                <w:lang w:val="de-DE"/>
              </w:rPr>
              <w:t>certification</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of</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reprocessors</w:t>
            </w:r>
            <w:proofErr w:type="spellEnd"/>
            <w:r w:rsidRPr="00704B44">
              <w:rPr>
                <w:rFonts w:ascii="Arial" w:hAnsi="Arial" w:cs="Arial"/>
                <w:sz w:val="22"/>
                <w:szCs w:val="22"/>
                <w:lang w:val="de-DE"/>
              </w:rPr>
              <w:t>…”.</w:t>
            </w:r>
          </w:p>
        </w:tc>
      </w:tr>
      <w:tr w:rsidR="00A84E6C" w:rsidRPr="00704B44" w14:paraId="0F648472" w14:textId="77777777" w:rsidTr="00D2733E">
        <w:tc>
          <w:tcPr>
            <w:tcW w:w="0" w:type="auto"/>
            <w:hideMark/>
          </w:tcPr>
          <w:p w14:paraId="02FC9B4C"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C3 Incentive/demand</w:t>
            </w:r>
          </w:p>
        </w:tc>
        <w:tc>
          <w:tcPr>
            <w:tcW w:w="0" w:type="auto"/>
            <w:hideMark/>
          </w:tcPr>
          <w:p w14:paraId="2FDE7705"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0.50</w:t>
            </w:r>
          </w:p>
        </w:tc>
        <w:tc>
          <w:tcPr>
            <w:tcW w:w="0" w:type="auto"/>
          </w:tcPr>
          <w:p w14:paraId="0488CE71"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MPDG is primarily an implementation/enforcement framework, not economic incentives.</w:t>
            </w:r>
          </w:p>
        </w:tc>
      </w:tr>
      <w:tr w:rsidR="00A84E6C" w:rsidRPr="00704B44" w14:paraId="4151360E" w14:textId="77777777" w:rsidTr="00D2733E">
        <w:tc>
          <w:tcPr>
            <w:tcW w:w="0" w:type="auto"/>
            <w:hideMark/>
          </w:tcPr>
          <w:p w14:paraId="1E39B028"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C4 Data/traceability</w:t>
            </w:r>
          </w:p>
        </w:tc>
        <w:tc>
          <w:tcPr>
            <w:tcW w:w="0" w:type="auto"/>
            <w:hideMark/>
          </w:tcPr>
          <w:p w14:paraId="26279E7D"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0.75</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E6C" w:rsidRPr="00704B44" w14:paraId="381EC995" w14:textId="77777777" w:rsidTr="00D2733E">
              <w:trPr>
                <w:tblCellSpacing w:w="15" w:type="dxa"/>
              </w:trPr>
              <w:tc>
                <w:tcPr>
                  <w:tcW w:w="0" w:type="auto"/>
                  <w:vAlign w:val="center"/>
                  <w:hideMark/>
                </w:tcPr>
                <w:p w14:paraId="58F7DE7A" w14:textId="77777777" w:rsidR="00A84E6C" w:rsidRPr="00704B44" w:rsidRDefault="00A84E6C" w:rsidP="00D2733E">
                  <w:pPr>
                    <w:rPr>
                      <w:rFonts w:ascii="Arial" w:hAnsi="Arial" w:cs="Arial"/>
                      <w:sz w:val="22"/>
                      <w:szCs w:val="22"/>
                    </w:rPr>
                  </w:pPr>
                </w:p>
              </w:tc>
            </w:tr>
          </w:tbl>
          <w:p w14:paraId="10283C1D" w14:textId="77777777" w:rsidR="00A84E6C" w:rsidRPr="00704B44" w:rsidRDefault="00A84E6C" w:rsidP="00D2733E">
            <w:pPr>
              <w:spacing w:after="160" w:line="278" w:lineRule="auto"/>
              <w:rPr>
                <w:rFonts w:ascii="Arial" w:hAnsi="Arial"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4"/>
            </w:tblGrid>
            <w:tr w:rsidR="00A84E6C" w:rsidRPr="00704B44" w14:paraId="1F9C2041" w14:textId="77777777" w:rsidTr="00D2733E">
              <w:trPr>
                <w:tblCellSpacing w:w="15" w:type="dxa"/>
              </w:trPr>
              <w:tc>
                <w:tcPr>
                  <w:tcW w:w="0" w:type="auto"/>
                  <w:vAlign w:val="center"/>
                  <w:hideMark/>
                </w:tcPr>
                <w:p w14:paraId="7296D5FC" w14:textId="29136666" w:rsidR="00A84E6C" w:rsidRPr="00704B44" w:rsidRDefault="00FE164D" w:rsidP="00D2733E">
                  <w:pPr>
                    <w:rPr>
                      <w:rFonts w:ascii="Arial" w:hAnsi="Arial" w:cs="Arial"/>
                      <w:sz w:val="22"/>
                      <w:szCs w:val="22"/>
                    </w:rPr>
                  </w:pPr>
                  <w:r w:rsidRPr="00704B44">
                    <w:rPr>
                      <w:rFonts w:ascii="Arial" w:hAnsi="Arial" w:cs="Arial"/>
                      <w:sz w:val="22"/>
                      <w:szCs w:val="22"/>
                    </w:rPr>
                    <w:t>DMIDS/Portal strengthens reporting/information exchange (relevant for controlled reuse).</w:t>
                  </w:r>
                </w:p>
              </w:tc>
            </w:tr>
          </w:tbl>
          <w:p w14:paraId="438E3342" w14:textId="77777777" w:rsidR="00A84E6C" w:rsidRPr="00704B44" w:rsidRDefault="00A84E6C" w:rsidP="00D2733E">
            <w:pPr>
              <w:spacing w:after="160" w:line="278" w:lineRule="auto"/>
              <w:rPr>
                <w:rFonts w:ascii="Arial" w:hAnsi="Arial" w:cs="Arial"/>
                <w:sz w:val="22"/>
                <w:szCs w:val="22"/>
              </w:rPr>
            </w:pPr>
          </w:p>
        </w:tc>
      </w:tr>
      <w:tr w:rsidR="00A84E6C" w:rsidRPr="00704B44" w14:paraId="2737D8A3" w14:textId="77777777" w:rsidTr="00D2733E">
        <w:tc>
          <w:tcPr>
            <w:tcW w:w="0" w:type="auto"/>
            <w:hideMark/>
          </w:tcPr>
          <w:p w14:paraId="63939113"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 xml:space="preserve">C5 </w:t>
            </w:r>
            <w:proofErr w:type="spellStart"/>
            <w:r w:rsidRPr="00704B44">
              <w:rPr>
                <w:rFonts w:ascii="Arial" w:hAnsi="Arial" w:cs="Arial"/>
                <w:b/>
                <w:bCs/>
                <w:sz w:val="22"/>
                <w:szCs w:val="22"/>
              </w:rPr>
              <w:t>Implementability</w:t>
            </w:r>
            <w:proofErr w:type="spellEnd"/>
          </w:p>
        </w:tc>
        <w:tc>
          <w:tcPr>
            <w:tcW w:w="0" w:type="auto"/>
            <w:hideMark/>
          </w:tcPr>
          <w:p w14:paraId="2F316583"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0.75</w:t>
            </w:r>
          </w:p>
        </w:tc>
        <w:tc>
          <w:tcPr>
            <w:tcW w:w="0" w:type="auto"/>
          </w:tcPr>
          <w:p w14:paraId="151023BD"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MPDG is primarily an implementation/supplementary act: “…serves the implementation and supplementation … of Regulation (EU) 2017/745 … and … 2017/746.”</w:t>
            </w:r>
          </w:p>
        </w:tc>
      </w:tr>
    </w:tbl>
    <w:p w14:paraId="247EA9ED" w14:textId="77777777" w:rsidR="00A84E6C" w:rsidRPr="00704B44" w:rsidRDefault="00A84E6C" w:rsidP="00A84E6C">
      <w:pPr>
        <w:rPr>
          <w:rFonts w:ascii="Arial" w:eastAsiaTheme="minorEastAsia" w:hAnsi="Arial" w:cs="Arial"/>
          <w:sz w:val="22"/>
          <w:szCs w:val="22"/>
        </w:rPr>
      </w:pPr>
      <m:oMathPara>
        <m:oMath>
          <m:r>
            <w:rPr>
              <w:rFonts w:ascii="Cambria Math" w:hAnsi="Cambria Math" w:cs="Arial"/>
              <w:sz w:val="22"/>
              <w:szCs w:val="22"/>
            </w:rPr>
            <m:t>Q=</m:t>
          </m:r>
          <m:r>
            <m:rPr>
              <m:sty m:val="p"/>
            </m:rPr>
            <w:rPr>
              <w:rFonts w:ascii="Cambria Math" w:hAnsi="Cambria Math" w:cs="Arial"/>
              <w:sz w:val="22"/>
              <w:szCs w:val="22"/>
            </w:rPr>
            <m:t>0,3399</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0,1235</m:t>
          </m:r>
          <m:r>
            <w:rPr>
              <w:rFonts w:ascii="Cambria Math" w:hAnsi="Cambria Math" w:cs="Arial"/>
              <w:sz w:val="22"/>
              <w:szCs w:val="22"/>
            </w:rPr>
            <m:t>⋅</m:t>
          </m:r>
          <m:r>
            <m:rPr>
              <m:sty m:val="p"/>
            </m:rPr>
            <w:rPr>
              <w:rFonts w:ascii="Cambria Math" w:hAnsi="Cambria Math" w:cs="Arial"/>
              <w:sz w:val="22"/>
              <w:szCs w:val="22"/>
            </w:rPr>
            <m:t>0,25</m:t>
          </m:r>
          <m:r>
            <w:rPr>
              <w:rFonts w:ascii="Cambria Math" w:hAnsi="Cambria Math" w:cs="Arial"/>
              <w:sz w:val="22"/>
              <w:szCs w:val="22"/>
            </w:rPr>
            <m:t>+</m:t>
          </m:r>
          <m:r>
            <m:rPr>
              <m:sty m:val="p"/>
            </m:rPr>
            <w:rPr>
              <w:rFonts w:ascii="Cambria Math" w:hAnsi="Cambria Math" w:cs="Arial"/>
              <w:sz w:val="22"/>
              <w:szCs w:val="22"/>
            </w:rPr>
            <m:t>0,0732</m:t>
          </m:r>
          <m:r>
            <w:rPr>
              <w:rFonts w:ascii="Cambria Math" w:hAnsi="Cambria Math" w:cs="Arial"/>
              <w:sz w:val="22"/>
              <w:szCs w:val="22"/>
            </w:rPr>
            <m:t>⋅</m:t>
          </m:r>
          <m:r>
            <m:rPr>
              <m:sty m:val="p"/>
            </m:rPr>
            <w:rPr>
              <w:rFonts w:ascii="Cambria Math" w:hAnsi="Cambria Math" w:cs="Arial"/>
              <w:sz w:val="22"/>
              <w:szCs w:val="22"/>
            </w:rPr>
            <m:t>0,5</m:t>
          </m:r>
          <m:r>
            <w:rPr>
              <w:rFonts w:ascii="Cambria Math" w:hAnsi="Cambria Math" w:cs="Arial"/>
              <w:sz w:val="22"/>
              <w:szCs w:val="22"/>
            </w:rPr>
            <m:t>+</m:t>
          </m:r>
          <m:r>
            <m:rPr>
              <m:sty m:val="p"/>
            </m:rPr>
            <w:rPr>
              <w:rFonts w:ascii="Cambria Math" w:hAnsi="Cambria Math" w:cs="Arial"/>
              <w:sz w:val="22"/>
              <w:szCs w:val="22"/>
            </w:rPr>
            <m:t>0,1235</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0,3399</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0,669</m:t>
          </m:r>
        </m:oMath>
      </m:oMathPara>
    </w:p>
    <w:p w14:paraId="18BA6975" w14:textId="77777777" w:rsidR="003C6DDA" w:rsidRPr="00704B44" w:rsidRDefault="00A84E6C" w:rsidP="00A84E6C">
      <w:pPr>
        <w:rPr>
          <w:rFonts w:ascii="Arial" w:hAnsi="Arial" w:cs="Arial"/>
          <w:sz w:val="22"/>
          <w:szCs w:val="22"/>
        </w:rPr>
      </w:pPr>
      <w:r w:rsidRPr="00704B44">
        <w:rPr>
          <w:rFonts w:ascii="Arial" w:hAnsi="Arial" w:cs="Arial"/>
          <w:sz w:val="22"/>
          <w:szCs w:val="22"/>
        </w:rPr>
        <w:br/>
      </w:r>
    </w:p>
    <w:p w14:paraId="57467B83" w14:textId="77777777" w:rsidR="003C6DDA" w:rsidRPr="00704B44" w:rsidRDefault="003C6DDA">
      <w:pPr>
        <w:rPr>
          <w:rFonts w:ascii="Arial" w:hAnsi="Arial" w:cs="Arial"/>
          <w:sz w:val="22"/>
          <w:szCs w:val="22"/>
        </w:rPr>
      </w:pPr>
      <w:r w:rsidRPr="00704B44">
        <w:rPr>
          <w:rFonts w:ascii="Arial" w:hAnsi="Arial" w:cs="Arial"/>
          <w:sz w:val="22"/>
          <w:szCs w:val="22"/>
        </w:rPr>
        <w:br w:type="page"/>
      </w:r>
    </w:p>
    <w:p w14:paraId="2A49B23B" w14:textId="426C7EBA" w:rsidR="00A84E6C" w:rsidRPr="00704B44" w:rsidRDefault="00A84E6C" w:rsidP="00A84E6C">
      <w:pPr>
        <w:rPr>
          <w:rFonts w:ascii="Arial" w:hAnsi="Arial" w:cs="Arial"/>
          <w:sz w:val="22"/>
          <w:szCs w:val="22"/>
        </w:rPr>
      </w:pPr>
      <w:r w:rsidRPr="00704B44">
        <w:rPr>
          <w:rFonts w:ascii="Arial" w:hAnsi="Arial" w:cs="Arial"/>
          <w:sz w:val="22"/>
          <w:szCs w:val="22"/>
        </w:rPr>
        <w:lastRenderedPageBreak/>
        <w:t xml:space="preserve">BEK nr 1731 </w:t>
      </w:r>
      <w:proofErr w:type="spellStart"/>
      <w:r w:rsidRPr="00704B44">
        <w:rPr>
          <w:rFonts w:ascii="Arial" w:hAnsi="Arial" w:cs="Arial"/>
          <w:sz w:val="22"/>
          <w:szCs w:val="22"/>
        </w:rPr>
        <w:t>af</w:t>
      </w:r>
      <w:proofErr w:type="spellEnd"/>
      <w:r w:rsidRPr="00704B44">
        <w:rPr>
          <w:rFonts w:ascii="Arial" w:hAnsi="Arial" w:cs="Arial"/>
          <w:sz w:val="22"/>
          <w:szCs w:val="22"/>
        </w:rPr>
        <w:t xml:space="preserve"> 08/12/2025 („Executive Order on Medical </w:t>
      </w:r>
      <w:proofErr w:type="gramStart"/>
      <w:r w:rsidRPr="00704B44">
        <w:rPr>
          <w:rFonts w:ascii="Arial" w:hAnsi="Arial" w:cs="Arial"/>
          <w:sz w:val="22"/>
          <w:szCs w:val="22"/>
        </w:rPr>
        <w:t>Devices.“</w:t>
      </w:r>
      <w:proofErr w:type="gramEnd"/>
      <w:r w:rsidRPr="00704B44">
        <w:rPr>
          <w:rFonts w:ascii="Arial" w:hAnsi="Arial" w:cs="Arial"/>
          <w:sz w:val="22"/>
          <w:szCs w:val="22"/>
        </w:rPr>
        <w:t xml:space="preserve">): </w:t>
      </w:r>
      <w:r w:rsidRPr="00704B44">
        <w:rPr>
          <w:rFonts w:ascii="Arial" w:hAnsi="Arial" w:cs="Arial"/>
          <w:b/>
          <w:bCs/>
          <w:sz w:val="22"/>
          <w:szCs w:val="22"/>
        </w:rPr>
        <w:t>Q = 0,7858</w:t>
      </w:r>
      <w:r w:rsidRPr="00704B44">
        <w:rPr>
          <w:rFonts w:ascii="Arial" w:hAnsi="Arial" w:cs="Arial"/>
          <w:b/>
          <w:bCs/>
          <w:sz w:val="22"/>
          <w:szCs w:val="22"/>
        </w:rPr>
        <w:br/>
      </w:r>
      <w:bookmarkStart w:id="2" w:name="_Hlk219028097"/>
      <w:r w:rsidRPr="00704B44">
        <w:rPr>
          <w:rFonts w:ascii="Arial" w:hAnsi="Arial" w:cs="Arial"/>
          <w:sz w:val="22"/>
          <w:szCs w:val="22"/>
        </w:rPr>
        <w:t>https://www.retsinformation.dk/eli/lta/2025/1731/pdf</w:t>
      </w:r>
      <w:bookmarkEnd w:id="2"/>
    </w:p>
    <w:tbl>
      <w:tblPr>
        <w:tblStyle w:val="TableGridLight"/>
        <w:tblW w:w="0" w:type="auto"/>
        <w:tblLook w:val="04A0" w:firstRow="1" w:lastRow="0" w:firstColumn="1" w:lastColumn="0" w:noHBand="0" w:noVBand="1"/>
      </w:tblPr>
      <w:tblGrid>
        <w:gridCol w:w="3452"/>
        <w:gridCol w:w="828"/>
        <w:gridCol w:w="5456"/>
      </w:tblGrid>
      <w:tr w:rsidR="00A84E6C" w:rsidRPr="00704B44" w14:paraId="63DF6959" w14:textId="77777777" w:rsidTr="00D2733E">
        <w:tc>
          <w:tcPr>
            <w:tcW w:w="0" w:type="auto"/>
            <w:hideMark/>
          </w:tcPr>
          <w:p w14:paraId="68473FB2"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Criterion</w:t>
            </w:r>
          </w:p>
        </w:tc>
        <w:tc>
          <w:tcPr>
            <w:tcW w:w="0" w:type="auto"/>
            <w:hideMark/>
          </w:tcPr>
          <w:p w14:paraId="10638DB2"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Score</w:t>
            </w:r>
          </w:p>
        </w:tc>
        <w:tc>
          <w:tcPr>
            <w:tcW w:w="0" w:type="auto"/>
            <w:hideMark/>
          </w:tcPr>
          <w:p w14:paraId="563FAD12"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Rationale</w:t>
            </w:r>
          </w:p>
        </w:tc>
      </w:tr>
      <w:tr w:rsidR="00A84E6C" w:rsidRPr="00704B44" w14:paraId="5F6CB072" w14:textId="77777777" w:rsidTr="00D2733E">
        <w:tc>
          <w:tcPr>
            <w:tcW w:w="0" w:type="auto"/>
            <w:hideMark/>
          </w:tcPr>
          <w:p w14:paraId="0CD9650F"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C1 Legal clarity/permissibility of circular pathways</w:t>
            </w:r>
          </w:p>
        </w:tc>
        <w:tc>
          <w:tcPr>
            <w:tcW w:w="0" w:type="auto"/>
            <w:hideMark/>
          </w:tcPr>
          <w:p w14:paraId="0B06AF3E"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0,75</w:t>
            </w:r>
          </w:p>
        </w:tc>
        <w:tc>
          <w:tcPr>
            <w:tcW w:w="0" w:type="auto"/>
            <w:hideMark/>
          </w:tcPr>
          <w:p w14:paraId="1A7D993E"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The BEK supplements MDR/IVDR (“</w:t>
            </w:r>
            <w:proofErr w:type="spellStart"/>
            <w:r w:rsidRPr="00704B44">
              <w:rPr>
                <w:rFonts w:ascii="Arial" w:hAnsi="Arial" w:cs="Arial"/>
                <w:sz w:val="22"/>
                <w:szCs w:val="22"/>
              </w:rPr>
              <w:t>supplere</w:t>
            </w:r>
            <w:proofErr w:type="spellEnd"/>
            <w:r w:rsidRPr="00704B44">
              <w:rPr>
                <w:rFonts w:ascii="Arial" w:hAnsi="Arial" w:cs="Arial"/>
                <w:sz w:val="22"/>
                <w:szCs w:val="22"/>
              </w:rPr>
              <w:t xml:space="preserve">…”) and primarily regulates implementation/enforcement for reuse </w:t>
            </w:r>
            <w:proofErr w:type="spellStart"/>
            <w:r w:rsidRPr="00704B44">
              <w:rPr>
                <w:rFonts w:ascii="Arial" w:hAnsi="Arial" w:cs="Arial"/>
                <w:sz w:val="22"/>
                <w:szCs w:val="22"/>
              </w:rPr>
              <w:t>Sprache</w:t>
            </w:r>
            <w:proofErr w:type="spellEnd"/>
            <w:r w:rsidRPr="00704B44">
              <w:rPr>
                <w:rFonts w:ascii="Arial" w:hAnsi="Arial" w:cs="Arial"/>
                <w:sz w:val="22"/>
                <w:szCs w:val="22"/>
              </w:rPr>
              <w:t>/Reporting/</w:t>
            </w:r>
            <w:proofErr w:type="spellStart"/>
            <w:r w:rsidRPr="00704B44">
              <w:rPr>
                <w:rFonts w:ascii="Arial" w:hAnsi="Arial" w:cs="Arial"/>
                <w:sz w:val="22"/>
                <w:szCs w:val="22"/>
              </w:rPr>
              <w:t>Registrierung</w:t>
            </w:r>
            <w:proofErr w:type="spellEnd"/>
            <w:r w:rsidRPr="00704B44">
              <w:rPr>
                <w:rFonts w:ascii="Arial" w:hAnsi="Arial" w:cs="Arial"/>
                <w:sz w:val="22"/>
                <w:szCs w:val="22"/>
              </w:rPr>
              <w:t>; Enables reprocessing/reuse within the MDR regulatory framework</w:t>
            </w:r>
          </w:p>
        </w:tc>
      </w:tr>
      <w:tr w:rsidR="00A84E6C" w:rsidRPr="00704B44" w14:paraId="4407F1B7" w14:textId="77777777" w:rsidTr="00D2733E">
        <w:tc>
          <w:tcPr>
            <w:tcW w:w="0" w:type="auto"/>
            <w:hideMark/>
          </w:tcPr>
          <w:p w14:paraId="67B9E5D8" w14:textId="18C3272B"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C2 Compliance</w:t>
            </w:r>
          </w:p>
        </w:tc>
        <w:tc>
          <w:tcPr>
            <w:tcW w:w="0" w:type="auto"/>
            <w:hideMark/>
          </w:tcPr>
          <w:p w14:paraId="61B386E7"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0,50</w:t>
            </w:r>
          </w:p>
        </w:tc>
        <w:tc>
          <w:tcPr>
            <w:tcW w:w="0" w:type="auto"/>
            <w:hideMark/>
          </w:tcPr>
          <w:p w14:paraId="3F4B3A4A"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Extensive compliance requirements mentioned (language, notifications, registers), however, equally for all medical devices </w:t>
            </w:r>
          </w:p>
        </w:tc>
      </w:tr>
      <w:tr w:rsidR="00A84E6C" w:rsidRPr="00704B44" w14:paraId="0EFDBDB7" w14:textId="77777777" w:rsidTr="00D2733E">
        <w:tc>
          <w:tcPr>
            <w:tcW w:w="0" w:type="auto"/>
            <w:hideMark/>
          </w:tcPr>
          <w:p w14:paraId="7FD0C23B"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C3 Incentive/demand impact</w:t>
            </w:r>
          </w:p>
        </w:tc>
        <w:tc>
          <w:tcPr>
            <w:tcW w:w="0" w:type="auto"/>
            <w:hideMark/>
          </w:tcPr>
          <w:p w14:paraId="06B85FF3"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0,50</w:t>
            </w:r>
          </w:p>
        </w:tc>
        <w:tc>
          <w:tcPr>
            <w:tcW w:w="0" w:type="auto"/>
            <w:hideMark/>
          </w:tcPr>
          <w:p w14:paraId="6A45B355"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No financial incentive logic; it is primarily an enforcement/safety framework.</w:t>
            </w:r>
          </w:p>
        </w:tc>
      </w:tr>
      <w:tr w:rsidR="00A84E6C" w:rsidRPr="00704B44" w14:paraId="491E547A" w14:textId="77777777" w:rsidTr="00D2733E">
        <w:tc>
          <w:tcPr>
            <w:tcW w:w="0" w:type="auto"/>
            <w:hideMark/>
          </w:tcPr>
          <w:p w14:paraId="3763D64B"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C4 Data/traceability/information</w:t>
            </w:r>
          </w:p>
        </w:tc>
        <w:tc>
          <w:tcPr>
            <w:tcW w:w="0" w:type="auto"/>
            <w:hideMark/>
          </w:tcPr>
          <w:p w14:paraId="0C20D9A9"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0,75</w:t>
            </w:r>
          </w:p>
        </w:tc>
        <w:tc>
          <w:tcPr>
            <w:tcW w:w="0" w:type="auto"/>
            <w:hideMark/>
          </w:tcPr>
          <w:p w14:paraId="634AD6C6"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Digital notification, electronic registers and public lists increase transparency/traceability (helpful for </w:t>
            </w:r>
            <w:proofErr w:type="gramStart"/>
            <w:r w:rsidRPr="00704B44">
              <w:rPr>
                <w:rFonts w:ascii="Arial" w:hAnsi="Arial" w:cs="Arial"/>
                <w:sz w:val="22"/>
                <w:szCs w:val="22"/>
              </w:rPr>
              <w:t>second-life</w:t>
            </w:r>
            <w:proofErr w:type="gramEnd"/>
            <w:r w:rsidRPr="00704B44">
              <w:rPr>
                <w:rFonts w:ascii="Arial" w:hAnsi="Arial" w:cs="Arial"/>
                <w:sz w:val="22"/>
                <w:szCs w:val="22"/>
              </w:rPr>
              <w:t>/refurb markets).</w:t>
            </w:r>
          </w:p>
        </w:tc>
      </w:tr>
      <w:tr w:rsidR="00A84E6C" w:rsidRPr="00704B44" w14:paraId="188980D2" w14:textId="77777777" w:rsidTr="00D2733E">
        <w:tc>
          <w:tcPr>
            <w:tcW w:w="0" w:type="auto"/>
            <w:hideMark/>
          </w:tcPr>
          <w:p w14:paraId="2B9BB166"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C5 Operationalizability</w:t>
            </w:r>
          </w:p>
        </w:tc>
        <w:tc>
          <w:tcPr>
            <w:tcW w:w="0" w:type="auto"/>
            <w:hideMark/>
          </w:tcPr>
          <w:p w14:paraId="0EF1712C"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1</w:t>
            </w:r>
          </w:p>
        </w:tc>
        <w:tc>
          <w:tcPr>
            <w:tcW w:w="0" w:type="auto"/>
            <w:hideMark/>
          </w:tcPr>
          <w:p w14:paraId="5F8F53AA"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Clear processes (digital reporting/notification, defined duties + enforceable fines) make enforcement practically manageable.</w:t>
            </w:r>
          </w:p>
        </w:tc>
      </w:tr>
    </w:tbl>
    <w:p w14:paraId="6E1FA684" w14:textId="77777777" w:rsidR="00A84E6C" w:rsidRPr="00704B44" w:rsidRDefault="00A84E6C" w:rsidP="00A84E6C">
      <w:pPr>
        <w:rPr>
          <w:rFonts w:ascii="Arial" w:eastAsiaTheme="minorEastAsia" w:hAnsi="Arial" w:cs="Arial"/>
          <w:sz w:val="22"/>
          <w:szCs w:val="22"/>
        </w:rPr>
      </w:pPr>
      <m:oMathPara>
        <m:oMath>
          <m:r>
            <w:rPr>
              <w:rFonts w:ascii="Cambria Math" w:hAnsi="Cambria Math" w:cs="Arial"/>
              <w:sz w:val="22"/>
              <w:szCs w:val="22"/>
            </w:rPr>
            <m:t>Q=</m:t>
          </m:r>
          <m:r>
            <m:rPr>
              <m:sty m:val="p"/>
            </m:rPr>
            <w:rPr>
              <w:rFonts w:ascii="Cambria Math" w:hAnsi="Cambria Math" w:cs="Arial"/>
              <w:sz w:val="22"/>
              <w:szCs w:val="22"/>
            </w:rPr>
            <m:t>0,3399</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0,1235</m:t>
          </m:r>
          <m:r>
            <w:rPr>
              <w:rFonts w:ascii="Cambria Math" w:hAnsi="Cambria Math" w:cs="Arial"/>
              <w:sz w:val="22"/>
              <w:szCs w:val="22"/>
            </w:rPr>
            <m:t>⋅</m:t>
          </m:r>
          <m:r>
            <m:rPr>
              <m:sty m:val="p"/>
            </m:rPr>
            <w:rPr>
              <w:rFonts w:ascii="Cambria Math" w:hAnsi="Cambria Math" w:cs="Arial"/>
              <w:sz w:val="22"/>
              <w:szCs w:val="22"/>
            </w:rPr>
            <m:t>0,5</m:t>
          </m:r>
          <m:r>
            <w:rPr>
              <w:rFonts w:ascii="Cambria Math" w:hAnsi="Cambria Math" w:cs="Arial"/>
              <w:sz w:val="22"/>
              <w:szCs w:val="22"/>
            </w:rPr>
            <m:t>+</m:t>
          </m:r>
          <m:r>
            <m:rPr>
              <m:sty m:val="p"/>
            </m:rPr>
            <w:rPr>
              <w:rFonts w:ascii="Cambria Math" w:hAnsi="Cambria Math" w:cs="Arial"/>
              <w:sz w:val="22"/>
              <w:szCs w:val="22"/>
            </w:rPr>
            <m:t>0,0732</m:t>
          </m:r>
          <m:r>
            <w:rPr>
              <w:rFonts w:ascii="Cambria Math" w:hAnsi="Cambria Math" w:cs="Arial"/>
              <w:sz w:val="22"/>
              <w:szCs w:val="22"/>
            </w:rPr>
            <m:t>⋅</m:t>
          </m:r>
          <m:r>
            <m:rPr>
              <m:sty m:val="p"/>
            </m:rPr>
            <w:rPr>
              <w:rFonts w:ascii="Cambria Math" w:hAnsi="Cambria Math" w:cs="Arial"/>
              <w:sz w:val="22"/>
              <w:szCs w:val="22"/>
            </w:rPr>
            <m:t>0,5</m:t>
          </m:r>
          <m:r>
            <w:rPr>
              <w:rFonts w:ascii="Cambria Math" w:hAnsi="Cambria Math" w:cs="Arial"/>
              <w:sz w:val="22"/>
              <w:szCs w:val="22"/>
            </w:rPr>
            <m:t>+</m:t>
          </m:r>
          <m:r>
            <m:rPr>
              <m:sty m:val="p"/>
            </m:rPr>
            <w:rPr>
              <w:rFonts w:ascii="Cambria Math" w:hAnsi="Cambria Math" w:cs="Arial"/>
              <w:sz w:val="22"/>
              <w:szCs w:val="22"/>
            </w:rPr>
            <m:t>0,1235</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0,3399</m:t>
          </m:r>
          <m:r>
            <w:rPr>
              <w:rFonts w:ascii="Cambria Math" w:hAnsi="Cambria Math" w:cs="Arial"/>
              <w:sz w:val="22"/>
              <w:szCs w:val="22"/>
            </w:rPr>
            <m:t>⋅</m:t>
          </m:r>
          <m:r>
            <m:rPr>
              <m:sty m:val="p"/>
            </m:rPr>
            <w:rPr>
              <w:rFonts w:ascii="Cambria Math" w:hAnsi="Cambria Math" w:cs="Arial"/>
              <w:sz w:val="22"/>
              <w:szCs w:val="22"/>
            </w:rPr>
            <m:t>1</m:t>
          </m:r>
          <m:r>
            <w:rPr>
              <w:rFonts w:ascii="Cambria Math" w:hAnsi="Cambria Math" w:cs="Arial"/>
              <w:sz w:val="22"/>
              <w:szCs w:val="22"/>
            </w:rPr>
            <m:t>=</m:t>
          </m:r>
          <m:r>
            <m:rPr>
              <m:sty m:val="p"/>
            </m:rPr>
            <w:rPr>
              <w:rFonts w:ascii="Cambria Math" w:hAnsi="Cambria Math" w:cs="Arial"/>
              <w:sz w:val="22"/>
              <w:szCs w:val="22"/>
            </w:rPr>
            <m:t>0,7858</m:t>
          </m:r>
        </m:oMath>
      </m:oMathPara>
    </w:p>
    <w:p w14:paraId="4F4418ED" w14:textId="77777777" w:rsidR="00A84E6C" w:rsidRPr="00704B44" w:rsidRDefault="00A84E6C" w:rsidP="00A84E6C">
      <w:pPr>
        <w:rPr>
          <w:rFonts w:ascii="Arial" w:hAnsi="Arial" w:cs="Arial"/>
          <w:sz w:val="22"/>
          <w:szCs w:val="22"/>
          <w:lang w:val="de-DE"/>
        </w:rPr>
      </w:pPr>
    </w:p>
    <w:p w14:paraId="027D296C" w14:textId="77777777" w:rsidR="00A84E6C" w:rsidRPr="00704B44" w:rsidRDefault="00A84E6C" w:rsidP="00A84E6C">
      <w:pPr>
        <w:rPr>
          <w:rFonts w:ascii="Arial" w:hAnsi="Arial" w:cs="Arial"/>
          <w:sz w:val="22"/>
          <w:szCs w:val="22"/>
          <w:lang w:val="de-DE"/>
        </w:rPr>
      </w:pPr>
    </w:p>
    <w:p w14:paraId="746A8BA6" w14:textId="77777777" w:rsidR="00704B44" w:rsidRPr="00704B44" w:rsidRDefault="00704B44">
      <w:pPr>
        <w:rPr>
          <w:rFonts w:ascii="Arial" w:hAnsi="Arial" w:cs="Arial"/>
          <w:sz w:val="22"/>
          <w:szCs w:val="22"/>
          <w:lang w:val="de-DE"/>
        </w:rPr>
      </w:pPr>
      <w:r w:rsidRPr="00704B44">
        <w:rPr>
          <w:rFonts w:ascii="Arial" w:hAnsi="Arial" w:cs="Arial"/>
          <w:sz w:val="22"/>
          <w:szCs w:val="22"/>
          <w:lang w:val="de-DE"/>
        </w:rPr>
        <w:br w:type="page"/>
      </w:r>
    </w:p>
    <w:p w14:paraId="16AAC83D" w14:textId="1CD36230" w:rsidR="00A84E6C" w:rsidRPr="00704B44" w:rsidRDefault="00A84E6C" w:rsidP="00A84E6C">
      <w:pPr>
        <w:rPr>
          <w:rFonts w:ascii="Arial" w:hAnsi="Arial" w:cs="Arial"/>
          <w:sz w:val="22"/>
          <w:szCs w:val="22"/>
          <w:lang w:val="de-DE"/>
        </w:rPr>
      </w:pPr>
      <w:r w:rsidRPr="00704B44">
        <w:rPr>
          <w:rFonts w:ascii="Arial" w:hAnsi="Arial" w:cs="Arial"/>
          <w:sz w:val="22"/>
          <w:szCs w:val="22"/>
          <w:lang w:val="de-DE"/>
        </w:rPr>
        <w:lastRenderedPageBreak/>
        <w:t xml:space="preserve">NN 100/2018: </w:t>
      </w:r>
      <w:r w:rsidRPr="00704B44">
        <w:rPr>
          <w:rFonts w:ascii="Arial" w:hAnsi="Arial" w:cs="Arial"/>
          <w:b/>
          <w:bCs/>
          <w:sz w:val="22"/>
          <w:szCs w:val="22"/>
          <w:lang w:val="de-DE"/>
        </w:rPr>
        <w:t>Q = 0,</w:t>
      </w:r>
      <w:r w:rsidRPr="00704B44">
        <w:rPr>
          <w:rFonts w:ascii="Arial" w:hAnsi="Arial" w:cs="Arial"/>
          <w:sz w:val="22"/>
          <w:szCs w:val="22"/>
          <w:lang w:val="de-DE"/>
        </w:rPr>
        <w:t xml:space="preserve"> </w:t>
      </w:r>
      <w:r w:rsidRPr="00704B44">
        <w:rPr>
          <w:rFonts w:ascii="Arial" w:hAnsi="Arial" w:cs="Arial"/>
          <w:b/>
          <w:bCs/>
          <w:sz w:val="22"/>
          <w:szCs w:val="22"/>
          <w:lang w:val="de-DE"/>
        </w:rPr>
        <w:t>700</w:t>
      </w:r>
      <w:r w:rsidRPr="00704B44">
        <w:rPr>
          <w:rFonts w:ascii="Arial" w:hAnsi="Arial" w:cs="Arial"/>
          <w:b/>
          <w:bCs/>
          <w:sz w:val="22"/>
          <w:szCs w:val="22"/>
          <w:lang w:val="de-DE"/>
        </w:rPr>
        <w:br/>
      </w:r>
      <w:bookmarkStart w:id="3" w:name="_Hlk219028089"/>
      <w:r w:rsidRPr="00704B44">
        <w:rPr>
          <w:rFonts w:ascii="Arial" w:hAnsi="Arial" w:cs="Arial"/>
          <w:sz w:val="22"/>
          <w:szCs w:val="22"/>
          <w:lang w:val="de-DE"/>
        </w:rPr>
        <w:t>https://narodne-novine.nn.hr/clanci/sluzbeni/2018_11_100_1930.html</w:t>
      </w:r>
      <w:bookmarkEnd w:id="3"/>
    </w:p>
    <w:tbl>
      <w:tblPr>
        <w:tblStyle w:val="TableGridLight"/>
        <w:tblW w:w="0" w:type="auto"/>
        <w:tblLook w:val="04A0" w:firstRow="1" w:lastRow="0" w:firstColumn="1" w:lastColumn="0" w:noHBand="0" w:noVBand="1"/>
      </w:tblPr>
      <w:tblGrid>
        <w:gridCol w:w="3669"/>
        <w:gridCol w:w="828"/>
        <w:gridCol w:w="5239"/>
      </w:tblGrid>
      <w:tr w:rsidR="00A84E6C" w:rsidRPr="00704B44" w14:paraId="26B2744D" w14:textId="77777777" w:rsidTr="00D2733E">
        <w:tc>
          <w:tcPr>
            <w:tcW w:w="0" w:type="auto"/>
            <w:hideMark/>
          </w:tcPr>
          <w:p w14:paraId="30D081E3"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Criterion</w:t>
            </w:r>
          </w:p>
        </w:tc>
        <w:tc>
          <w:tcPr>
            <w:tcW w:w="0" w:type="auto"/>
            <w:hideMark/>
          </w:tcPr>
          <w:p w14:paraId="4A13B502"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Score</w:t>
            </w:r>
          </w:p>
        </w:tc>
        <w:tc>
          <w:tcPr>
            <w:tcW w:w="0" w:type="auto"/>
            <w:hideMark/>
          </w:tcPr>
          <w:p w14:paraId="7113FBDE"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Rationale</w:t>
            </w:r>
          </w:p>
        </w:tc>
      </w:tr>
      <w:tr w:rsidR="00A84E6C" w:rsidRPr="00704B44" w14:paraId="07F2F618" w14:textId="77777777" w:rsidTr="00D2733E">
        <w:tc>
          <w:tcPr>
            <w:tcW w:w="0" w:type="auto"/>
            <w:hideMark/>
          </w:tcPr>
          <w:p w14:paraId="2724832B"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C1 Legal clarity/permissibility of circular pathways</w:t>
            </w:r>
          </w:p>
        </w:tc>
        <w:tc>
          <w:tcPr>
            <w:tcW w:w="0" w:type="auto"/>
            <w:hideMark/>
          </w:tcPr>
          <w:p w14:paraId="3EC8D041" w14:textId="77777777" w:rsidR="00A84E6C" w:rsidRPr="00704B44" w:rsidRDefault="00A84E6C" w:rsidP="00D2733E">
            <w:pPr>
              <w:spacing w:after="160" w:line="278" w:lineRule="auto"/>
              <w:rPr>
                <w:rFonts w:ascii="Arial" w:hAnsi="Arial" w:cs="Arial"/>
                <w:sz w:val="22"/>
                <w:szCs w:val="22"/>
                <w:highlight w:val="yellow"/>
              </w:rPr>
            </w:pPr>
            <w:r w:rsidRPr="00704B44">
              <w:rPr>
                <w:rFonts w:ascii="Arial" w:hAnsi="Arial" w:cs="Arial"/>
                <w:b/>
                <w:bCs/>
                <w:sz w:val="22"/>
                <w:szCs w:val="22"/>
                <w:highlight w:val="yellow"/>
              </w:rPr>
              <w:t>0,75</w:t>
            </w:r>
          </w:p>
        </w:tc>
        <w:tc>
          <w:tcPr>
            <w:tcW w:w="0" w:type="auto"/>
            <w:hideMark/>
          </w:tcPr>
          <w:p w14:paraId="38EA19F7"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Allows reprocessing and use of </w:t>
            </w:r>
            <w:proofErr w:type="gramStart"/>
            <w:r w:rsidRPr="00704B44">
              <w:rPr>
                <w:rFonts w:ascii="Arial" w:hAnsi="Arial" w:cs="Arial"/>
                <w:sz w:val="22"/>
                <w:szCs w:val="22"/>
              </w:rPr>
              <w:t>products, but</w:t>
            </w:r>
            <w:proofErr w:type="gramEnd"/>
            <w:r w:rsidRPr="00704B44">
              <w:rPr>
                <w:rFonts w:ascii="Arial" w:hAnsi="Arial" w:cs="Arial"/>
                <w:sz w:val="22"/>
                <w:szCs w:val="22"/>
              </w:rPr>
              <w:t xml:space="preserve"> prohibits resale of reprocessed single-use devices.  </w:t>
            </w:r>
          </w:p>
        </w:tc>
      </w:tr>
      <w:tr w:rsidR="00A84E6C" w:rsidRPr="00704B44" w14:paraId="600CA03C" w14:textId="77777777" w:rsidTr="00D2733E">
        <w:tc>
          <w:tcPr>
            <w:tcW w:w="0" w:type="auto"/>
            <w:hideMark/>
          </w:tcPr>
          <w:p w14:paraId="0ED7B6A3" w14:textId="11C265E8"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 xml:space="preserve">C2 Compliance </w:t>
            </w:r>
          </w:p>
        </w:tc>
        <w:tc>
          <w:tcPr>
            <w:tcW w:w="0" w:type="auto"/>
            <w:hideMark/>
          </w:tcPr>
          <w:p w14:paraId="04863C5F"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0,50</w:t>
            </w:r>
          </w:p>
        </w:tc>
        <w:tc>
          <w:tcPr>
            <w:tcW w:w="0" w:type="auto"/>
            <w:hideMark/>
          </w:tcPr>
          <w:p w14:paraId="2CC6C1FC"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Extensive compliance requirements mentioned (registration, distributor register, language, possible test costs, high fines), however, equally for all medical devices </w:t>
            </w:r>
          </w:p>
        </w:tc>
      </w:tr>
      <w:tr w:rsidR="00A84E6C" w:rsidRPr="00704B44" w14:paraId="6650B2BE" w14:textId="77777777" w:rsidTr="00D2733E">
        <w:tc>
          <w:tcPr>
            <w:tcW w:w="0" w:type="auto"/>
            <w:hideMark/>
          </w:tcPr>
          <w:p w14:paraId="5F6C06C5"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C3 Incentive/demand impact</w:t>
            </w:r>
          </w:p>
        </w:tc>
        <w:tc>
          <w:tcPr>
            <w:tcW w:w="0" w:type="auto"/>
            <w:hideMark/>
          </w:tcPr>
          <w:p w14:paraId="4E4C9FC3"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0,50</w:t>
            </w:r>
          </w:p>
        </w:tc>
        <w:tc>
          <w:tcPr>
            <w:tcW w:w="0" w:type="auto"/>
            <w:hideMark/>
          </w:tcPr>
          <w:p w14:paraId="6C99E0C4"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No identifiable economic/public procurement incentives in the law; the focus is on oversight/compliance.</w:t>
            </w:r>
          </w:p>
        </w:tc>
      </w:tr>
      <w:tr w:rsidR="00A84E6C" w:rsidRPr="00704B44" w14:paraId="251D0BD6" w14:textId="77777777" w:rsidTr="00D2733E">
        <w:tc>
          <w:tcPr>
            <w:tcW w:w="0" w:type="auto"/>
            <w:hideMark/>
          </w:tcPr>
          <w:p w14:paraId="40E60076"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C4 Data/traceability/information</w:t>
            </w:r>
          </w:p>
        </w:tc>
        <w:tc>
          <w:tcPr>
            <w:tcW w:w="0" w:type="auto"/>
            <w:hideMark/>
          </w:tcPr>
          <w:p w14:paraId="52AC75C0"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0,75</w:t>
            </w:r>
          </w:p>
        </w:tc>
        <w:tc>
          <w:tcPr>
            <w:tcW w:w="0" w:type="auto"/>
            <w:hideMark/>
          </w:tcPr>
          <w:p w14:paraId="3D2E1A25" w14:textId="77777777" w:rsidR="00A84E6C" w:rsidRPr="00704B44" w:rsidRDefault="00A84E6C" w:rsidP="00D2733E">
            <w:pPr>
              <w:rPr>
                <w:rFonts w:ascii="Arial" w:hAnsi="Arial" w:cs="Arial"/>
                <w:sz w:val="22"/>
                <w:szCs w:val="22"/>
                <w:lang w:val="de-DE"/>
              </w:rPr>
            </w:pPr>
            <w:r w:rsidRPr="00704B44">
              <w:rPr>
                <w:rFonts w:ascii="Arial" w:hAnsi="Arial" w:cs="Arial"/>
                <w:sz w:val="22"/>
                <w:szCs w:val="22"/>
                <w:lang w:val="de-DE"/>
              </w:rPr>
              <w:t xml:space="preserve">E-system </w:t>
            </w:r>
            <w:proofErr w:type="spellStart"/>
            <w:r w:rsidRPr="00704B44">
              <w:rPr>
                <w:rFonts w:ascii="Arial" w:hAnsi="Arial" w:cs="Arial"/>
                <w:sz w:val="22"/>
                <w:szCs w:val="22"/>
                <w:lang w:val="de-DE"/>
              </w:rPr>
              <w:t>registration</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with</w:t>
            </w:r>
            <w:proofErr w:type="spellEnd"/>
            <w:r w:rsidRPr="00704B44">
              <w:rPr>
                <w:rFonts w:ascii="Arial" w:hAnsi="Arial" w:cs="Arial"/>
                <w:sz w:val="22"/>
                <w:szCs w:val="22"/>
                <w:lang w:val="de-DE"/>
              </w:rPr>
              <w:t xml:space="preserve"> eindeutige Registrierungsnummer and </w:t>
            </w:r>
            <w:proofErr w:type="spellStart"/>
            <w:r w:rsidRPr="00704B44">
              <w:rPr>
                <w:rFonts w:ascii="Arial" w:hAnsi="Arial" w:cs="Arial"/>
                <w:sz w:val="22"/>
                <w:szCs w:val="22"/>
                <w:lang w:val="de-DE"/>
              </w:rPr>
              <w:t>distributor</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register</w:t>
            </w:r>
            <w:proofErr w:type="spellEnd"/>
            <w:r w:rsidRPr="00704B44">
              <w:rPr>
                <w:rFonts w:ascii="Arial" w:hAnsi="Arial" w:cs="Arial"/>
                <w:sz w:val="22"/>
                <w:szCs w:val="22"/>
                <w:lang w:val="de-DE"/>
              </w:rPr>
              <w:t xml:space="preserve"> </w:t>
            </w:r>
          </w:p>
          <w:p w14:paraId="2CADDDA7" w14:textId="77777777" w:rsidR="00A84E6C" w:rsidRPr="00704B44" w:rsidRDefault="00A84E6C" w:rsidP="00D2733E">
            <w:pPr>
              <w:spacing w:after="160" w:line="278" w:lineRule="auto"/>
              <w:rPr>
                <w:rFonts w:ascii="Arial" w:hAnsi="Arial" w:cs="Arial"/>
                <w:sz w:val="22"/>
                <w:szCs w:val="22"/>
                <w:lang w:val="de-DE"/>
              </w:rPr>
            </w:pPr>
          </w:p>
        </w:tc>
      </w:tr>
      <w:tr w:rsidR="00A84E6C" w:rsidRPr="00704B44" w14:paraId="094959B6" w14:textId="77777777" w:rsidTr="00D2733E">
        <w:tc>
          <w:tcPr>
            <w:tcW w:w="0" w:type="auto"/>
            <w:hideMark/>
          </w:tcPr>
          <w:p w14:paraId="665BE51C"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C5 Operationalizability (enforcement)</w:t>
            </w:r>
          </w:p>
        </w:tc>
        <w:tc>
          <w:tcPr>
            <w:tcW w:w="0" w:type="auto"/>
            <w:hideMark/>
          </w:tcPr>
          <w:p w14:paraId="6E71513D"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0,75</w:t>
            </w:r>
          </w:p>
        </w:tc>
        <w:tc>
          <w:tcPr>
            <w:tcW w:w="0" w:type="auto"/>
            <w:hideMark/>
          </w:tcPr>
          <w:p w14:paraId="0C468AD9"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Clear responsibilities of the ministries/authorities, defined oversight + inspection mechanisms, cost bearing for tests and fines </w:t>
            </w:r>
          </w:p>
        </w:tc>
      </w:tr>
    </w:tbl>
    <w:p w14:paraId="5E035B67" w14:textId="77777777" w:rsidR="00A84E6C" w:rsidRPr="00704B44" w:rsidRDefault="00A84E6C" w:rsidP="00A84E6C">
      <w:pPr>
        <w:rPr>
          <w:rFonts w:ascii="Arial" w:eastAsiaTheme="minorEastAsia" w:hAnsi="Arial" w:cs="Arial"/>
          <w:sz w:val="22"/>
          <w:szCs w:val="22"/>
        </w:rPr>
      </w:pPr>
      <m:oMathPara>
        <m:oMath>
          <m:r>
            <w:rPr>
              <w:rFonts w:ascii="Cambria Math" w:hAnsi="Cambria Math" w:cs="Arial"/>
              <w:sz w:val="22"/>
              <w:szCs w:val="22"/>
            </w:rPr>
            <m:t>Q=</m:t>
          </m:r>
          <m:r>
            <m:rPr>
              <m:sty m:val="p"/>
            </m:rPr>
            <w:rPr>
              <w:rFonts w:ascii="Cambria Math" w:hAnsi="Cambria Math" w:cs="Arial"/>
              <w:sz w:val="22"/>
              <w:szCs w:val="22"/>
            </w:rPr>
            <m:t>0,3399</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0,1235</m:t>
          </m:r>
          <m:r>
            <w:rPr>
              <w:rFonts w:ascii="Cambria Math" w:hAnsi="Cambria Math" w:cs="Arial"/>
              <w:sz w:val="22"/>
              <w:szCs w:val="22"/>
            </w:rPr>
            <m:t>⋅</m:t>
          </m:r>
          <m:r>
            <m:rPr>
              <m:sty m:val="p"/>
            </m:rPr>
            <w:rPr>
              <w:rFonts w:ascii="Cambria Math" w:hAnsi="Cambria Math" w:cs="Arial"/>
              <w:sz w:val="22"/>
              <w:szCs w:val="22"/>
            </w:rPr>
            <m:t>0,5</m:t>
          </m:r>
          <m:r>
            <w:rPr>
              <w:rFonts w:ascii="Cambria Math" w:hAnsi="Cambria Math" w:cs="Arial"/>
              <w:sz w:val="22"/>
              <w:szCs w:val="22"/>
            </w:rPr>
            <m:t>+</m:t>
          </m:r>
          <m:r>
            <m:rPr>
              <m:sty m:val="p"/>
            </m:rPr>
            <w:rPr>
              <w:rFonts w:ascii="Cambria Math" w:hAnsi="Cambria Math" w:cs="Arial"/>
              <w:sz w:val="22"/>
              <w:szCs w:val="22"/>
            </w:rPr>
            <m:t>0,0732</m:t>
          </m:r>
          <m:r>
            <w:rPr>
              <w:rFonts w:ascii="Cambria Math" w:hAnsi="Cambria Math" w:cs="Arial"/>
              <w:sz w:val="22"/>
              <w:szCs w:val="22"/>
            </w:rPr>
            <m:t>⋅</m:t>
          </m:r>
          <m:r>
            <m:rPr>
              <m:sty m:val="p"/>
            </m:rPr>
            <w:rPr>
              <w:rFonts w:ascii="Cambria Math" w:hAnsi="Cambria Math" w:cs="Arial"/>
              <w:sz w:val="22"/>
              <w:szCs w:val="22"/>
            </w:rPr>
            <m:t>0,5</m:t>
          </m:r>
          <m:r>
            <w:rPr>
              <w:rFonts w:ascii="Cambria Math" w:hAnsi="Cambria Math" w:cs="Arial"/>
              <w:sz w:val="22"/>
              <w:szCs w:val="22"/>
            </w:rPr>
            <m:t>+</m:t>
          </m:r>
          <m:r>
            <m:rPr>
              <m:sty m:val="p"/>
            </m:rPr>
            <w:rPr>
              <w:rFonts w:ascii="Cambria Math" w:hAnsi="Cambria Math" w:cs="Arial"/>
              <w:sz w:val="22"/>
              <w:szCs w:val="22"/>
            </w:rPr>
            <m:t>0,1235</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0,3399</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0,700</m:t>
          </m:r>
        </m:oMath>
      </m:oMathPara>
    </w:p>
    <w:p w14:paraId="41D678C7" w14:textId="77777777" w:rsidR="00A84E6C" w:rsidRPr="00704B44" w:rsidRDefault="00A84E6C" w:rsidP="00A84E6C">
      <w:pPr>
        <w:rPr>
          <w:rFonts w:ascii="Arial" w:hAnsi="Arial" w:cs="Arial"/>
          <w:sz w:val="22"/>
          <w:szCs w:val="22"/>
          <w:lang w:val="de-DE"/>
        </w:rPr>
      </w:pPr>
    </w:p>
    <w:p w14:paraId="5BE43585" w14:textId="77777777" w:rsidR="00A84E6C" w:rsidRPr="00704B44" w:rsidRDefault="00A84E6C" w:rsidP="00A84E6C">
      <w:pPr>
        <w:rPr>
          <w:rFonts w:ascii="Arial" w:hAnsi="Arial" w:cs="Arial"/>
          <w:sz w:val="22"/>
          <w:szCs w:val="22"/>
          <w:lang w:val="de-DE"/>
        </w:rPr>
      </w:pPr>
    </w:p>
    <w:p w14:paraId="5CE6173E" w14:textId="77777777" w:rsidR="00A84E6C" w:rsidRPr="00704B44" w:rsidRDefault="00A84E6C" w:rsidP="00A84E6C">
      <w:pPr>
        <w:rPr>
          <w:rFonts w:ascii="Arial" w:hAnsi="Arial" w:cs="Arial"/>
          <w:sz w:val="22"/>
          <w:szCs w:val="22"/>
          <w:lang w:val="de-DE"/>
        </w:rPr>
      </w:pPr>
    </w:p>
    <w:p w14:paraId="02167CE5" w14:textId="77777777" w:rsidR="00A84E6C" w:rsidRPr="00704B44" w:rsidRDefault="00A84E6C" w:rsidP="00A84E6C">
      <w:pPr>
        <w:rPr>
          <w:rFonts w:ascii="Arial" w:hAnsi="Arial" w:cs="Arial"/>
          <w:sz w:val="22"/>
          <w:szCs w:val="22"/>
          <w:lang w:val="de-DE"/>
        </w:rPr>
      </w:pPr>
    </w:p>
    <w:p w14:paraId="29315D4C" w14:textId="77777777" w:rsidR="00FE164D" w:rsidRPr="00704B44" w:rsidRDefault="00FE164D" w:rsidP="00A84E6C">
      <w:pPr>
        <w:rPr>
          <w:rFonts w:ascii="Arial" w:hAnsi="Arial" w:cs="Arial"/>
          <w:sz w:val="22"/>
          <w:szCs w:val="22"/>
          <w:lang w:val="de-DE"/>
        </w:rPr>
      </w:pPr>
    </w:p>
    <w:p w14:paraId="5A7D4603" w14:textId="77777777" w:rsidR="00704B44" w:rsidRPr="00704B44" w:rsidRDefault="00704B44">
      <w:pPr>
        <w:rPr>
          <w:rFonts w:ascii="Arial" w:hAnsi="Arial" w:cs="Arial"/>
          <w:sz w:val="22"/>
          <w:szCs w:val="22"/>
        </w:rPr>
      </w:pPr>
      <w:r w:rsidRPr="00704B44">
        <w:rPr>
          <w:rFonts w:ascii="Arial" w:hAnsi="Arial" w:cs="Arial"/>
          <w:sz w:val="22"/>
          <w:szCs w:val="22"/>
        </w:rPr>
        <w:br w:type="page"/>
      </w:r>
    </w:p>
    <w:p w14:paraId="33C208BA" w14:textId="367C52B2" w:rsidR="00A84E6C" w:rsidRPr="00704B44" w:rsidRDefault="00A84E6C" w:rsidP="00A84E6C">
      <w:pPr>
        <w:rPr>
          <w:rFonts w:ascii="Arial" w:hAnsi="Arial" w:cs="Arial"/>
          <w:sz w:val="22"/>
          <w:szCs w:val="22"/>
        </w:rPr>
      </w:pPr>
      <w:r w:rsidRPr="00704B44">
        <w:rPr>
          <w:rFonts w:ascii="Arial" w:hAnsi="Arial" w:cs="Arial"/>
          <w:sz w:val="22"/>
          <w:szCs w:val="22"/>
        </w:rPr>
        <w:lastRenderedPageBreak/>
        <w:t xml:space="preserve">SUD – Germany - </w:t>
      </w:r>
      <w:proofErr w:type="spellStart"/>
      <w:r w:rsidRPr="00704B44">
        <w:rPr>
          <w:rFonts w:ascii="Arial" w:hAnsi="Arial" w:cs="Arial"/>
          <w:sz w:val="22"/>
          <w:szCs w:val="22"/>
        </w:rPr>
        <w:t>MPBetreibV</w:t>
      </w:r>
      <w:proofErr w:type="spellEnd"/>
      <w:r w:rsidRPr="00704B44">
        <w:rPr>
          <w:rFonts w:ascii="Arial" w:hAnsi="Arial" w:cs="Arial"/>
          <w:sz w:val="22"/>
          <w:szCs w:val="22"/>
        </w:rPr>
        <w:t xml:space="preserve">: </w:t>
      </w:r>
      <w:r w:rsidRPr="00704B44">
        <w:rPr>
          <w:rFonts w:ascii="Arial" w:hAnsi="Arial" w:cs="Arial"/>
          <w:b/>
          <w:bCs/>
          <w:sz w:val="22"/>
          <w:szCs w:val="22"/>
        </w:rPr>
        <w:t xml:space="preserve">Q = </w:t>
      </w:r>
      <m:oMath>
        <m:r>
          <m:rPr>
            <m:sty m:val="b"/>
          </m:rPr>
          <w:rPr>
            <w:rFonts w:ascii="Cambria Math" w:hAnsi="Cambria Math" w:cs="Arial"/>
            <w:sz w:val="22"/>
            <w:szCs w:val="22"/>
          </w:rPr>
          <m:t>0,469</m:t>
        </m:r>
      </m:oMath>
    </w:p>
    <w:tbl>
      <w:tblPr>
        <w:tblStyle w:val="TableGridLight"/>
        <w:tblW w:w="0" w:type="auto"/>
        <w:tblLook w:val="04A0" w:firstRow="1" w:lastRow="0" w:firstColumn="1" w:lastColumn="0" w:noHBand="0" w:noVBand="1"/>
      </w:tblPr>
      <w:tblGrid>
        <w:gridCol w:w="3436"/>
        <w:gridCol w:w="701"/>
        <w:gridCol w:w="5599"/>
      </w:tblGrid>
      <w:tr w:rsidR="00A84E6C" w:rsidRPr="00704B44" w14:paraId="6930869F" w14:textId="77777777" w:rsidTr="00D2733E">
        <w:tc>
          <w:tcPr>
            <w:tcW w:w="0" w:type="auto"/>
            <w:hideMark/>
          </w:tcPr>
          <w:p w14:paraId="35D58F81"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Criterion</w:t>
            </w:r>
          </w:p>
        </w:tc>
        <w:tc>
          <w:tcPr>
            <w:tcW w:w="0" w:type="auto"/>
            <w:hideMark/>
          </w:tcPr>
          <w:p w14:paraId="5CEF20BA"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Wert</w:t>
            </w:r>
          </w:p>
        </w:tc>
        <w:tc>
          <w:tcPr>
            <w:tcW w:w="0" w:type="auto"/>
            <w:hideMark/>
          </w:tcPr>
          <w:p w14:paraId="5CC769BE" w14:textId="77777777" w:rsidR="00A84E6C" w:rsidRPr="00704B44" w:rsidRDefault="00A84E6C" w:rsidP="00D2733E">
            <w:pPr>
              <w:spacing w:after="160" w:line="278" w:lineRule="auto"/>
              <w:rPr>
                <w:rFonts w:ascii="Arial" w:hAnsi="Arial" w:cs="Arial"/>
                <w:b/>
                <w:bCs/>
                <w:sz w:val="22"/>
                <w:szCs w:val="22"/>
              </w:rPr>
            </w:pPr>
            <w:r w:rsidRPr="00704B44">
              <w:rPr>
                <w:rFonts w:ascii="Arial" w:hAnsi="Arial" w:cs="Arial"/>
                <w:b/>
                <w:bCs/>
                <w:sz w:val="22"/>
                <w:szCs w:val="22"/>
              </w:rPr>
              <w:t>Rationale</w:t>
            </w:r>
          </w:p>
        </w:tc>
      </w:tr>
      <w:tr w:rsidR="00A84E6C" w:rsidRPr="00704B44" w14:paraId="3D05D0D1" w14:textId="77777777" w:rsidTr="00D2733E">
        <w:tc>
          <w:tcPr>
            <w:tcW w:w="0" w:type="auto"/>
            <w:hideMark/>
          </w:tcPr>
          <w:p w14:paraId="05A9717C"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C1 Legal clarity/permissibility of circular pathways</w:t>
            </w:r>
          </w:p>
        </w:tc>
        <w:tc>
          <w:tcPr>
            <w:tcW w:w="0" w:type="auto"/>
            <w:hideMark/>
          </w:tcPr>
          <w:p w14:paraId="50734EDA"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0,25</w:t>
            </w:r>
          </w:p>
        </w:tc>
        <w:tc>
          <w:tcPr>
            <w:tcW w:w="0" w:type="auto"/>
            <w:hideMark/>
          </w:tcPr>
          <w:p w14:paraId="72A4F2DC"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“…by healthcare facilities is permitted…”; external reprocessing only “…provided that the reprocessed product in its entirety is returned to the respective healthcare facility.” → </w:t>
            </w:r>
            <w:proofErr w:type="gramStart"/>
            <w:r w:rsidRPr="00704B44">
              <w:rPr>
                <w:rFonts w:ascii="Arial" w:hAnsi="Arial" w:cs="Arial"/>
                <w:sz w:val="22"/>
                <w:szCs w:val="22"/>
              </w:rPr>
              <w:t>Closed-loop</w:t>
            </w:r>
            <w:proofErr w:type="gramEnd"/>
            <w:r w:rsidRPr="00704B44">
              <w:rPr>
                <w:rFonts w:ascii="Arial" w:hAnsi="Arial" w:cs="Arial"/>
                <w:sz w:val="22"/>
                <w:szCs w:val="22"/>
              </w:rPr>
              <w:t xml:space="preserve"> instead of open market/scaling pathway, therefore strongly restricted.</w:t>
            </w:r>
          </w:p>
        </w:tc>
      </w:tr>
      <w:tr w:rsidR="00A84E6C" w:rsidRPr="00704B44" w14:paraId="28FA74A9" w14:textId="77777777" w:rsidTr="00D2733E">
        <w:tc>
          <w:tcPr>
            <w:tcW w:w="0" w:type="auto"/>
            <w:hideMark/>
          </w:tcPr>
          <w:p w14:paraId="2328B52C" w14:textId="57F27FD5" w:rsidR="00A84E6C" w:rsidRPr="00704B44" w:rsidRDefault="00A84E6C" w:rsidP="00D2733E">
            <w:pPr>
              <w:spacing w:after="160" w:line="278" w:lineRule="auto"/>
              <w:rPr>
                <w:rFonts w:ascii="Arial" w:hAnsi="Arial" w:cs="Arial"/>
                <w:sz w:val="22"/>
                <w:szCs w:val="22"/>
                <w:lang w:val="de-DE"/>
              </w:rPr>
            </w:pPr>
            <w:r w:rsidRPr="00704B44">
              <w:rPr>
                <w:rFonts w:ascii="Arial" w:hAnsi="Arial" w:cs="Arial"/>
                <w:b/>
                <w:bCs/>
                <w:sz w:val="22"/>
                <w:szCs w:val="22"/>
              </w:rPr>
              <w:t>C2 Compliance</w:t>
            </w:r>
          </w:p>
        </w:tc>
        <w:tc>
          <w:tcPr>
            <w:tcW w:w="0" w:type="auto"/>
            <w:hideMark/>
          </w:tcPr>
          <w:p w14:paraId="6BBB2B41"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0,25</w:t>
            </w:r>
          </w:p>
        </w:tc>
        <w:tc>
          <w:tcPr>
            <w:tcW w:w="0" w:type="auto"/>
            <w:hideMark/>
          </w:tcPr>
          <w:p w14:paraId="06774764"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“…regular external assessments … by the recognized notified body …” and “The operator may … only commission … those who … meet the requirements under Section 5 ….” → High testing/audit and qualification requirements significantly raise the barrier for reprocessing.</w:t>
            </w:r>
          </w:p>
        </w:tc>
      </w:tr>
      <w:tr w:rsidR="00A84E6C" w:rsidRPr="00704B44" w14:paraId="4D76769F" w14:textId="77777777" w:rsidTr="00D2733E">
        <w:tc>
          <w:tcPr>
            <w:tcW w:w="0" w:type="auto"/>
            <w:hideMark/>
          </w:tcPr>
          <w:p w14:paraId="2B5A4D1D"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C3 Incentive/demand impact</w:t>
            </w:r>
          </w:p>
        </w:tc>
        <w:tc>
          <w:tcPr>
            <w:tcW w:w="0" w:type="auto"/>
            <w:hideMark/>
          </w:tcPr>
          <w:p w14:paraId="424D2395"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0,50</w:t>
            </w:r>
          </w:p>
        </w:tc>
        <w:tc>
          <w:tcPr>
            <w:tcW w:w="0" w:type="auto"/>
            <w:hideMark/>
          </w:tcPr>
          <w:p w14:paraId="245AE100"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Section 9 frames permissibility primarily “…subject to compliance…” with requirements. → No economic incentive/procurement mechanism, but a compliance framework → neutral.</w:t>
            </w:r>
          </w:p>
        </w:tc>
      </w:tr>
      <w:tr w:rsidR="00A84E6C" w:rsidRPr="00704B44" w14:paraId="610C348E" w14:textId="77777777" w:rsidTr="00D2733E">
        <w:tc>
          <w:tcPr>
            <w:tcW w:w="0" w:type="auto"/>
            <w:hideMark/>
          </w:tcPr>
          <w:p w14:paraId="54B17F63"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C4 Data/traceability/information</w:t>
            </w:r>
          </w:p>
        </w:tc>
        <w:tc>
          <w:tcPr>
            <w:tcW w:w="0" w:type="auto"/>
            <w:hideMark/>
          </w:tcPr>
          <w:p w14:paraId="3870D9B3"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0,50</w:t>
            </w:r>
          </w:p>
        </w:tc>
        <w:tc>
          <w:tcPr>
            <w:tcW w:w="0" w:type="auto"/>
            <w:hideMark/>
          </w:tcPr>
          <w:p w14:paraId="5C5C6E9C"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“…regular external assessments…” and “Validation and performance evaluation … must … be carried out by qualified specialists …” → There is evidence/auditability, but no dedicated register/traceability system in Section 9 → neutral.</w:t>
            </w:r>
          </w:p>
        </w:tc>
      </w:tr>
      <w:tr w:rsidR="00A84E6C" w:rsidRPr="00704B44" w14:paraId="429A0C93" w14:textId="77777777" w:rsidTr="00D2733E">
        <w:tc>
          <w:tcPr>
            <w:tcW w:w="0" w:type="auto"/>
            <w:hideMark/>
          </w:tcPr>
          <w:p w14:paraId="2C491C48"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C5 Operationalizability (practical implementation)</w:t>
            </w:r>
          </w:p>
        </w:tc>
        <w:tc>
          <w:tcPr>
            <w:tcW w:w="0" w:type="auto"/>
            <w:hideMark/>
          </w:tcPr>
          <w:p w14:paraId="0BCEB0D4"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b/>
                <w:bCs/>
                <w:sz w:val="22"/>
                <w:szCs w:val="22"/>
              </w:rPr>
              <w:t>0,75</w:t>
            </w:r>
          </w:p>
        </w:tc>
        <w:tc>
          <w:tcPr>
            <w:tcW w:w="0" w:type="auto"/>
            <w:hideMark/>
          </w:tcPr>
          <w:p w14:paraId="1362711C" w14:textId="77777777" w:rsidR="00A84E6C" w:rsidRPr="00704B44" w:rsidRDefault="00A84E6C" w:rsidP="00D2733E">
            <w:pPr>
              <w:spacing w:after="160" w:line="278" w:lineRule="auto"/>
              <w:rPr>
                <w:rFonts w:ascii="Arial" w:hAnsi="Arial" w:cs="Arial"/>
                <w:sz w:val="22"/>
                <w:szCs w:val="22"/>
              </w:rPr>
            </w:pPr>
            <w:r w:rsidRPr="00704B44">
              <w:rPr>
                <w:rFonts w:ascii="Arial" w:hAnsi="Arial" w:cs="Arial"/>
                <w:sz w:val="22"/>
                <w:szCs w:val="22"/>
              </w:rPr>
              <w:t xml:space="preserve">“…the requirements … take precedence.”; “The competent authority is empowered … to inspect.” → Klarer, </w:t>
            </w:r>
            <w:proofErr w:type="spellStart"/>
            <w:r w:rsidRPr="00704B44">
              <w:rPr>
                <w:rFonts w:ascii="Arial" w:hAnsi="Arial" w:cs="Arial"/>
                <w:sz w:val="22"/>
                <w:szCs w:val="22"/>
              </w:rPr>
              <w:t>vollziehbarer</w:t>
            </w:r>
            <w:proofErr w:type="spellEnd"/>
            <w:r w:rsidRPr="00704B44">
              <w:rPr>
                <w:rFonts w:ascii="Arial" w:hAnsi="Arial" w:cs="Arial"/>
                <w:sz w:val="22"/>
                <w:szCs w:val="22"/>
              </w:rPr>
              <w:t xml:space="preserve"> Rahmen (</w:t>
            </w:r>
            <w:proofErr w:type="spellStart"/>
            <w:r w:rsidRPr="00704B44">
              <w:rPr>
                <w:rFonts w:ascii="Arial" w:hAnsi="Arial" w:cs="Arial"/>
                <w:sz w:val="22"/>
                <w:szCs w:val="22"/>
              </w:rPr>
              <w:t>Vorrangregel</w:t>
            </w:r>
            <w:proofErr w:type="spellEnd"/>
            <w:r w:rsidRPr="00704B44">
              <w:rPr>
                <w:rFonts w:ascii="Arial" w:hAnsi="Arial" w:cs="Arial"/>
                <w:sz w:val="22"/>
                <w:szCs w:val="22"/>
              </w:rPr>
              <w:t xml:space="preserve">, </w:t>
            </w:r>
            <w:proofErr w:type="spellStart"/>
            <w:r w:rsidRPr="00704B44">
              <w:rPr>
                <w:rFonts w:ascii="Arial" w:hAnsi="Arial" w:cs="Arial"/>
                <w:sz w:val="22"/>
                <w:szCs w:val="22"/>
              </w:rPr>
              <w:t>definierte</w:t>
            </w:r>
            <w:proofErr w:type="spellEnd"/>
            <w:r w:rsidRPr="00704B44">
              <w:rPr>
                <w:rFonts w:ascii="Arial" w:hAnsi="Arial" w:cs="Arial"/>
                <w:sz w:val="22"/>
                <w:szCs w:val="22"/>
              </w:rPr>
              <w:t xml:space="preserve"> </w:t>
            </w:r>
            <w:proofErr w:type="spellStart"/>
            <w:r w:rsidRPr="00704B44">
              <w:rPr>
                <w:rFonts w:ascii="Arial" w:hAnsi="Arial" w:cs="Arial"/>
                <w:sz w:val="22"/>
                <w:szCs w:val="22"/>
              </w:rPr>
              <w:t>Ausnahmen</w:t>
            </w:r>
            <w:proofErr w:type="spellEnd"/>
            <w:r w:rsidRPr="00704B44">
              <w:rPr>
                <w:rFonts w:ascii="Arial" w:hAnsi="Arial" w:cs="Arial"/>
                <w:sz w:val="22"/>
                <w:szCs w:val="22"/>
              </w:rPr>
              <w:t>/</w:t>
            </w:r>
            <w:proofErr w:type="spellStart"/>
            <w:r w:rsidRPr="00704B44">
              <w:rPr>
                <w:rFonts w:ascii="Arial" w:hAnsi="Arial" w:cs="Arial"/>
                <w:sz w:val="22"/>
                <w:szCs w:val="22"/>
              </w:rPr>
              <w:t>Erleichterungen</w:t>
            </w:r>
            <w:proofErr w:type="spellEnd"/>
            <w:r w:rsidRPr="00704B44">
              <w:rPr>
                <w:rFonts w:ascii="Arial" w:hAnsi="Arial" w:cs="Arial"/>
                <w:sz w:val="22"/>
                <w:szCs w:val="22"/>
              </w:rPr>
              <w:t xml:space="preserve">, </w:t>
            </w:r>
            <w:proofErr w:type="spellStart"/>
            <w:r w:rsidRPr="00704B44">
              <w:rPr>
                <w:rFonts w:ascii="Arial" w:hAnsi="Arial" w:cs="Arial"/>
                <w:sz w:val="22"/>
                <w:szCs w:val="22"/>
              </w:rPr>
              <w:t>Kontrollbefugnis</w:t>
            </w:r>
            <w:proofErr w:type="spellEnd"/>
            <w:r w:rsidRPr="00704B44">
              <w:rPr>
                <w:rFonts w:ascii="Arial" w:hAnsi="Arial" w:cs="Arial"/>
                <w:sz w:val="22"/>
                <w:szCs w:val="22"/>
              </w:rPr>
              <w:t xml:space="preserve">, </w:t>
            </w:r>
            <w:proofErr w:type="spellStart"/>
            <w:r w:rsidRPr="00704B44">
              <w:rPr>
                <w:rFonts w:ascii="Arial" w:hAnsi="Arial" w:cs="Arial"/>
                <w:sz w:val="22"/>
                <w:szCs w:val="22"/>
              </w:rPr>
              <w:t>Vermutungsregel</w:t>
            </w:r>
            <w:proofErr w:type="spellEnd"/>
            <w:r w:rsidRPr="00704B44">
              <w:rPr>
                <w:rFonts w:ascii="Arial" w:hAnsi="Arial" w:cs="Arial"/>
                <w:sz w:val="22"/>
                <w:szCs w:val="22"/>
              </w:rPr>
              <w:t>).</w:t>
            </w:r>
          </w:p>
        </w:tc>
      </w:tr>
    </w:tbl>
    <w:p w14:paraId="2AE12F3B" w14:textId="77777777" w:rsidR="00A84E6C" w:rsidRPr="00704B44" w:rsidRDefault="00A84E6C" w:rsidP="00A84E6C">
      <w:pPr>
        <w:rPr>
          <w:rFonts w:ascii="Arial" w:eastAsiaTheme="minorEastAsia" w:hAnsi="Arial" w:cs="Arial"/>
          <w:sz w:val="22"/>
          <w:szCs w:val="22"/>
        </w:rPr>
      </w:pPr>
      <m:oMathPara>
        <m:oMath>
          <m:r>
            <w:rPr>
              <w:rFonts w:ascii="Cambria Math" w:hAnsi="Cambria Math" w:cs="Arial"/>
              <w:sz w:val="22"/>
              <w:szCs w:val="22"/>
            </w:rPr>
            <m:t>Q=</m:t>
          </m:r>
          <m:r>
            <m:rPr>
              <m:sty m:val="p"/>
            </m:rPr>
            <w:rPr>
              <w:rFonts w:ascii="Cambria Math" w:hAnsi="Cambria Math" w:cs="Arial"/>
              <w:sz w:val="22"/>
              <w:szCs w:val="22"/>
            </w:rPr>
            <m:t>0,3399</m:t>
          </m:r>
          <m:r>
            <w:rPr>
              <w:rFonts w:ascii="Cambria Math" w:hAnsi="Cambria Math" w:cs="Arial"/>
              <w:sz w:val="22"/>
              <w:szCs w:val="22"/>
            </w:rPr>
            <m:t>⋅</m:t>
          </m:r>
          <m:r>
            <m:rPr>
              <m:sty m:val="p"/>
            </m:rPr>
            <w:rPr>
              <w:rFonts w:ascii="Cambria Math" w:hAnsi="Cambria Math" w:cs="Arial"/>
              <w:sz w:val="22"/>
              <w:szCs w:val="22"/>
            </w:rPr>
            <m:t>0,25</m:t>
          </m:r>
          <m:r>
            <w:rPr>
              <w:rFonts w:ascii="Cambria Math" w:hAnsi="Cambria Math" w:cs="Arial"/>
              <w:sz w:val="22"/>
              <w:szCs w:val="22"/>
            </w:rPr>
            <m:t>+</m:t>
          </m:r>
          <m:r>
            <m:rPr>
              <m:sty m:val="p"/>
            </m:rPr>
            <w:rPr>
              <w:rFonts w:ascii="Cambria Math" w:hAnsi="Cambria Math" w:cs="Arial"/>
              <w:sz w:val="22"/>
              <w:szCs w:val="22"/>
            </w:rPr>
            <m:t>0,1235</m:t>
          </m:r>
          <m:r>
            <w:rPr>
              <w:rFonts w:ascii="Cambria Math" w:hAnsi="Cambria Math" w:cs="Arial"/>
              <w:sz w:val="22"/>
              <w:szCs w:val="22"/>
            </w:rPr>
            <m:t>⋅</m:t>
          </m:r>
          <m:r>
            <m:rPr>
              <m:sty m:val="p"/>
            </m:rPr>
            <w:rPr>
              <w:rFonts w:ascii="Cambria Math" w:hAnsi="Cambria Math" w:cs="Arial"/>
              <w:sz w:val="22"/>
              <w:szCs w:val="22"/>
            </w:rPr>
            <m:t>0,25</m:t>
          </m:r>
          <m:r>
            <w:rPr>
              <w:rFonts w:ascii="Cambria Math" w:hAnsi="Cambria Math" w:cs="Arial"/>
              <w:sz w:val="22"/>
              <w:szCs w:val="22"/>
            </w:rPr>
            <m:t>+</m:t>
          </m:r>
          <m:r>
            <m:rPr>
              <m:sty m:val="p"/>
            </m:rPr>
            <w:rPr>
              <w:rFonts w:ascii="Cambria Math" w:hAnsi="Cambria Math" w:cs="Arial"/>
              <w:sz w:val="22"/>
              <w:szCs w:val="22"/>
            </w:rPr>
            <m:t>0,0732</m:t>
          </m:r>
          <m:r>
            <w:rPr>
              <w:rFonts w:ascii="Cambria Math" w:hAnsi="Cambria Math" w:cs="Arial"/>
              <w:sz w:val="22"/>
              <w:szCs w:val="22"/>
            </w:rPr>
            <m:t>⋅</m:t>
          </m:r>
          <m:r>
            <m:rPr>
              <m:sty m:val="p"/>
            </m:rPr>
            <w:rPr>
              <w:rFonts w:ascii="Cambria Math" w:hAnsi="Cambria Math" w:cs="Arial"/>
              <w:sz w:val="22"/>
              <w:szCs w:val="22"/>
            </w:rPr>
            <m:t>0,5</m:t>
          </m:r>
          <m:r>
            <w:rPr>
              <w:rFonts w:ascii="Cambria Math" w:hAnsi="Cambria Math" w:cs="Arial"/>
              <w:sz w:val="22"/>
              <w:szCs w:val="22"/>
            </w:rPr>
            <m:t>+</m:t>
          </m:r>
          <m:r>
            <m:rPr>
              <m:sty m:val="p"/>
            </m:rPr>
            <w:rPr>
              <w:rFonts w:ascii="Cambria Math" w:hAnsi="Cambria Math" w:cs="Arial"/>
              <w:sz w:val="22"/>
              <w:szCs w:val="22"/>
            </w:rPr>
            <m:t>0,1235</m:t>
          </m:r>
          <m:r>
            <w:rPr>
              <w:rFonts w:ascii="Cambria Math" w:hAnsi="Cambria Math" w:cs="Arial"/>
              <w:sz w:val="22"/>
              <w:szCs w:val="22"/>
            </w:rPr>
            <m:t>⋅</m:t>
          </m:r>
          <m:r>
            <m:rPr>
              <m:sty m:val="p"/>
            </m:rPr>
            <w:rPr>
              <w:rFonts w:ascii="Cambria Math" w:hAnsi="Cambria Math" w:cs="Arial"/>
              <w:sz w:val="22"/>
              <w:szCs w:val="22"/>
            </w:rPr>
            <m:t>0,5</m:t>
          </m:r>
          <m:r>
            <w:rPr>
              <w:rFonts w:ascii="Cambria Math" w:hAnsi="Cambria Math" w:cs="Arial"/>
              <w:sz w:val="22"/>
              <w:szCs w:val="22"/>
            </w:rPr>
            <m:t>+</m:t>
          </m:r>
          <m:r>
            <m:rPr>
              <m:sty m:val="p"/>
            </m:rPr>
            <w:rPr>
              <w:rFonts w:ascii="Cambria Math" w:hAnsi="Cambria Math" w:cs="Arial"/>
              <w:sz w:val="22"/>
              <w:szCs w:val="22"/>
            </w:rPr>
            <m:t>0,3399</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0,469</m:t>
          </m:r>
        </m:oMath>
      </m:oMathPara>
    </w:p>
    <w:p w14:paraId="1BDDBD62" w14:textId="77777777" w:rsidR="008A3907" w:rsidRPr="00704B44" w:rsidRDefault="008A3907" w:rsidP="00A84E6C">
      <w:pPr>
        <w:rPr>
          <w:rFonts w:ascii="Arial" w:hAnsi="Arial" w:cs="Arial"/>
          <w:sz w:val="22"/>
          <w:szCs w:val="22"/>
          <w:lang w:val="de-DE"/>
        </w:rPr>
      </w:pPr>
    </w:p>
    <w:p w14:paraId="1E489901" w14:textId="77777777" w:rsidR="003C6DDA" w:rsidRPr="00704B44" w:rsidRDefault="003C6DDA">
      <w:pPr>
        <w:rPr>
          <w:rFonts w:ascii="Arial" w:hAnsi="Arial" w:cs="Arial"/>
          <w:sz w:val="22"/>
          <w:szCs w:val="22"/>
          <w:lang w:val="de-DE"/>
        </w:rPr>
      </w:pPr>
      <w:r w:rsidRPr="00704B44">
        <w:rPr>
          <w:rFonts w:ascii="Arial" w:hAnsi="Arial" w:cs="Arial"/>
          <w:sz w:val="22"/>
          <w:szCs w:val="22"/>
          <w:lang w:val="de-DE"/>
        </w:rPr>
        <w:br w:type="page"/>
      </w:r>
    </w:p>
    <w:p w14:paraId="24B70F00" w14:textId="45FD378B" w:rsidR="00A84E6C" w:rsidRPr="00704B44" w:rsidRDefault="008A3907">
      <w:pPr>
        <w:rPr>
          <w:rFonts w:ascii="Arial" w:hAnsi="Arial" w:cs="Arial"/>
          <w:sz w:val="22"/>
          <w:szCs w:val="22"/>
          <w:lang w:val="de-DE"/>
        </w:rPr>
      </w:pPr>
      <w:proofErr w:type="spellStart"/>
      <w:r w:rsidRPr="00704B44">
        <w:rPr>
          <w:rFonts w:ascii="Arial" w:hAnsi="Arial" w:cs="Arial"/>
          <w:sz w:val="22"/>
          <w:szCs w:val="22"/>
          <w:lang w:val="de-DE"/>
        </w:rPr>
        <w:lastRenderedPageBreak/>
        <w:t>ElekroG</w:t>
      </w:r>
      <w:proofErr w:type="spellEnd"/>
    </w:p>
    <w:tbl>
      <w:tblPr>
        <w:tblStyle w:val="TableGridLight"/>
        <w:tblW w:w="0" w:type="auto"/>
        <w:tblLook w:val="04A0" w:firstRow="1" w:lastRow="0" w:firstColumn="1" w:lastColumn="0" w:noHBand="0" w:noVBand="1"/>
      </w:tblPr>
      <w:tblGrid>
        <w:gridCol w:w="2640"/>
        <w:gridCol w:w="828"/>
        <w:gridCol w:w="6268"/>
      </w:tblGrid>
      <w:tr w:rsidR="00A84E6C" w:rsidRPr="00704B44" w14:paraId="2EA2066B" w14:textId="77777777" w:rsidTr="00A84E6C">
        <w:tc>
          <w:tcPr>
            <w:tcW w:w="0" w:type="auto"/>
            <w:hideMark/>
          </w:tcPr>
          <w:p w14:paraId="1DC747E5" w14:textId="77777777" w:rsidR="00A84E6C" w:rsidRPr="00704B44" w:rsidRDefault="00A84E6C" w:rsidP="00A84E6C">
            <w:pPr>
              <w:spacing w:after="160" w:line="278" w:lineRule="auto"/>
              <w:rPr>
                <w:rFonts w:ascii="Arial" w:hAnsi="Arial" w:cs="Arial"/>
                <w:b/>
                <w:bCs/>
                <w:sz w:val="22"/>
                <w:szCs w:val="22"/>
              </w:rPr>
            </w:pPr>
            <w:r w:rsidRPr="00704B44">
              <w:rPr>
                <w:rFonts w:ascii="Arial" w:hAnsi="Arial" w:cs="Arial"/>
                <w:b/>
                <w:bCs/>
                <w:sz w:val="22"/>
                <w:szCs w:val="22"/>
              </w:rPr>
              <w:t>Criterion</w:t>
            </w:r>
          </w:p>
        </w:tc>
        <w:tc>
          <w:tcPr>
            <w:tcW w:w="0" w:type="auto"/>
            <w:hideMark/>
          </w:tcPr>
          <w:p w14:paraId="011DEE51" w14:textId="77777777" w:rsidR="00A84E6C" w:rsidRPr="00704B44" w:rsidRDefault="00A84E6C" w:rsidP="00A84E6C">
            <w:pPr>
              <w:spacing w:after="160" w:line="278" w:lineRule="auto"/>
              <w:rPr>
                <w:rFonts w:ascii="Arial" w:hAnsi="Arial" w:cs="Arial"/>
                <w:b/>
                <w:bCs/>
                <w:sz w:val="22"/>
                <w:szCs w:val="22"/>
              </w:rPr>
            </w:pPr>
            <w:r w:rsidRPr="00704B44">
              <w:rPr>
                <w:rFonts w:ascii="Arial" w:hAnsi="Arial" w:cs="Arial"/>
                <w:b/>
                <w:bCs/>
                <w:sz w:val="22"/>
                <w:szCs w:val="22"/>
              </w:rPr>
              <w:t>Score</w:t>
            </w:r>
          </w:p>
        </w:tc>
        <w:tc>
          <w:tcPr>
            <w:tcW w:w="0" w:type="auto"/>
            <w:hideMark/>
          </w:tcPr>
          <w:p w14:paraId="744C4FE5" w14:textId="77777777" w:rsidR="00A84E6C" w:rsidRPr="00704B44" w:rsidRDefault="00A84E6C" w:rsidP="00A84E6C">
            <w:pPr>
              <w:spacing w:after="160" w:line="278" w:lineRule="auto"/>
              <w:rPr>
                <w:rFonts w:ascii="Arial" w:hAnsi="Arial" w:cs="Arial"/>
                <w:b/>
                <w:bCs/>
                <w:sz w:val="22"/>
                <w:szCs w:val="22"/>
              </w:rPr>
            </w:pPr>
            <w:r w:rsidRPr="00704B44">
              <w:rPr>
                <w:rFonts w:ascii="Arial" w:hAnsi="Arial" w:cs="Arial"/>
                <w:b/>
                <w:bCs/>
                <w:sz w:val="22"/>
                <w:szCs w:val="22"/>
              </w:rPr>
              <w:t>Rationale</w:t>
            </w:r>
          </w:p>
        </w:tc>
      </w:tr>
      <w:tr w:rsidR="00A84E6C" w:rsidRPr="00704B44" w14:paraId="485D7E6B" w14:textId="77777777" w:rsidTr="00A84E6C">
        <w:tc>
          <w:tcPr>
            <w:tcW w:w="0" w:type="auto"/>
            <w:hideMark/>
          </w:tcPr>
          <w:p w14:paraId="18DD106A" w14:textId="77777777" w:rsidR="00A84E6C" w:rsidRPr="00704B44" w:rsidRDefault="00A84E6C" w:rsidP="00A84E6C">
            <w:pPr>
              <w:spacing w:after="160" w:line="278" w:lineRule="auto"/>
              <w:rPr>
                <w:rFonts w:ascii="Arial" w:hAnsi="Arial" w:cs="Arial"/>
                <w:b/>
                <w:bCs/>
                <w:sz w:val="22"/>
                <w:szCs w:val="22"/>
              </w:rPr>
            </w:pPr>
            <w:r w:rsidRPr="00704B44">
              <w:rPr>
                <w:rFonts w:ascii="Arial" w:hAnsi="Arial" w:cs="Arial"/>
                <w:b/>
                <w:bCs/>
                <w:sz w:val="22"/>
                <w:szCs w:val="22"/>
              </w:rPr>
              <w:t>1. Legal clarity &amp; permissibility for circular pathways</w:t>
            </w:r>
          </w:p>
        </w:tc>
        <w:tc>
          <w:tcPr>
            <w:tcW w:w="0" w:type="auto"/>
            <w:hideMark/>
          </w:tcPr>
          <w:p w14:paraId="73CB684E" w14:textId="77777777" w:rsidR="00A84E6C" w:rsidRPr="00704B44" w:rsidRDefault="00A84E6C" w:rsidP="00A84E6C">
            <w:pPr>
              <w:spacing w:after="160" w:line="278" w:lineRule="auto"/>
              <w:rPr>
                <w:rFonts w:ascii="Arial" w:hAnsi="Arial" w:cs="Arial"/>
                <w:b/>
                <w:bCs/>
                <w:sz w:val="22"/>
                <w:szCs w:val="22"/>
              </w:rPr>
            </w:pPr>
            <w:r w:rsidRPr="00704B44">
              <w:rPr>
                <w:rFonts w:ascii="Arial" w:hAnsi="Arial" w:cs="Arial"/>
                <w:b/>
                <w:bCs/>
                <w:sz w:val="22"/>
                <w:szCs w:val="22"/>
              </w:rPr>
              <w:t>0.75</w:t>
            </w:r>
          </w:p>
        </w:tc>
        <w:tc>
          <w:tcPr>
            <w:tcW w:w="0" w:type="auto"/>
            <w:hideMark/>
          </w:tcPr>
          <w:p w14:paraId="5D6D6235" w14:textId="77777777" w:rsidR="00A84E6C" w:rsidRPr="00704B44" w:rsidRDefault="00A84E6C" w:rsidP="00A84E6C">
            <w:pPr>
              <w:spacing w:after="160" w:line="278" w:lineRule="auto"/>
              <w:rPr>
                <w:rFonts w:ascii="Arial" w:hAnsi="Arial" w:cs="Arial"/>
                <w:sz w:val="22"/>
                <w:szCs w:val="22"/>
              </w:rPr>
            </w:pPr>
            <w:proofErr w:type="spellStart"/>
            <w:r w:rsidRPr="00704B44">
              <w:rPr>
                <w:rFonts w:ascii="Arial" w:hAnsi="Arial" w:cs="Arial"/>
                <w:sz w:val="22"/>
                <w:szCs w:val="22"/>
              </w:rPr>
              <w:t>ElektroG</w:t>
            </w:r>
            <w:proofErr w:type="spellEnd"/>
            <w:r w:rsidRPr="00704B44">
              <w:rPr>
                <w:rFonts w:ascii="Arial" w:hAnsi="Arial" w:cs="Arial"/>
                <w:sz w:val="22"/>
                <w:szCs w:val="22"/>
              </w:rPr>
              <w:t xml:space="preserve"> explicitly addresses circularity and allows/requires key pathways such as reuse. Purpose clause: “… preparation for reuse, recycling …”. However, with specific obligations that operationally support reuse, e.g.: distributors are (in certain cases) “obligated to prepare the waste devices for reuse …”. At the same time, </w:t>
            </w:r>
            <w:proofErr w:type="spellStart"/>
            <w:r w:rsidRPr="00704B44">
              <w:rPr>
                <w:rFonts w:ascii="Arial" w:hAnsi="Arial" w:cs="Arial"/>
                <w:sz w:val="22"/>
                <w:szCs w:val="22"/>
              </w:rPr>
              <w:t>ElektroG</w:t>
            </w:r>
            <w:proofErr w:type="spellEnd"/>
            <w:r w:rsidRPr="00704B44">
              <w:rPr>
                <w:rFonts w:ascii="Arial" w:hAnsi="Arial" w:cs="Arial"/>
                <w:sz w:val="22"/>
                <w:szCs w:val="22"/>
              </w:rPr>
              <w:t xml:space="preserve"> does not regulate all circular pathways.</w:t>
            </w:r>
          </w:p>
        </w:tc>
      </w:tr>
      <w:tr w:rsidR="00A84E6C" w:rsidRPr="00704B44" w14:paraId="779CDA02" w14:textId="77777777" w:rsidTr="00A84E6C">
        <w:tc>
          <w:tcPr>
            <w:tcW w:w="0" w:type="auto"/>
            <w:hideMark/>
          </w:tcPr>
          <w:p w14:paraId="45C7AFAE" w14:textId="77777777" w:rsidR="00A84E6C" w:rsidRPr="00704B44" w:rsidRDefault="00A84E6C" w:rsidP="00A84E6C">
            <w:pPr>
              <w:spacing w:after="160" w:line="278" w:lineRule="auto"/>
              <w:rPr>
                <w:rFonts w:ascii="Arial" w:hAnsi="Arial" w:cs="Arial"/>
                <w:b/>
                <w:bCs/>
                <w:sz w:val="22"/>
                <w:szCs w:val="22"/>
              </w:rPr>
            </w:pPr>
            <w:r w:rsidRPr="00704B44">
              <w:rPr>
                <w:rFonts w:ascii="Arial" w:hAnsi="Arial" w:cs="Arial"/>
                <w:b/>
                <w:bCs/>
                <w:sz w:val="22"/>
                <w:szCs w:val="22"/>
              </w:rPr>
              <w:t>2. Additional compliance burden</w:t>
            </w:r>
          </w:p>
        </w:tc>
        <w:tc>
          <w:tcPr>
            <w:tcW w:w="0" w:type="auto"/>
            <w:hideMark/>
          </w:tcPr>
          <w:p w14:paraId="18AB73C4" w14:textId="77777777" w:rsidR="00A84E6C" w:rsidRPr="00704B44" w:rsidRDefault="00A84E6C" w:rsidP="00A84E6C">
            <w:pPr>
              <w:spacing w:after="160" w:line="278" w:lineRule="auto"/>
              <w:rPr>
                <w:rFonts w:ascii="Arial" w:hAnsi="Arial" w:cs="Arial"/>
                <w:b/>
                <w:bCs/>
                <w:sz w:val="22"/>
                <w:szCs w:val="22"/>
              </w:rPr>
            </w:pPr>
            <w:r w:rsidRPr="00704B44">
              <w:rPr>
                <w:rFonts w:ascii="Arial" w:hAnsi="Arial" w:cs="Arial"/>
                <w:b/>
                <w:bCs/>
                <w:sz w:val="22"/>
                <w:szCs w:val="22"/>
              </w:rPr>
              <w:t>0</w:t>
            </w:r>
            <w:r w:rsidR="00312048" w:rsidRPr="00704B44">
              <w:rPr>
                <w:rFonts w:ascii="Arial" w:hAnsi="Arial" w:cs="Arial"/>
                <w:b/>
                <w:bCs/>
                <w:sz w:val="22"/>
                <w:szCs w:val="22"/>
              </w:rPr>
              <w:t>.</w:t>
            </w:r>
            <w:r w:rsidR="0061390D" w:rsidRPr="00704B44">
              <w:rPr>
                <w:rFonts w:ascii="Arial" w:hAnsi="Arial" w:cs="Arial"/>
                <w:b/>
                <w:bCs/>
                <w:sz w:val="22"/>
                <w:szCs w:val="22"/>
              </w:rPr>
              <w:t>5</w:t>
            </w:r>
          </w:p>
        </w:tc>
        <w:tc>
          <w:tcPr>
            <w:tcW w:w="0" w:type="auto"/>
            <w:hideMark/>
          </w:tcPr>
          <w:p w14:paraId="0484D99C" w14:textId="77777777" w:rsidR="00A84E6C" w:rsidRPr="00704B44" w:rsidRDefault="00A84E6C" w:rsidP="00A84E6C">
            <w:pPr>
              <w:spacing w:after="160" w:line="278" w:lineRule="auto"/>
              <w:rPr>
                <w:rFonts w:ascii="Arial" w:hAnsi="Arial" w:cs="Arial"/>
                <w:sz w:val="22"/>
                <w:szCs w:val="22"/>
              </w:rPr>
            </w:pPr>
            <w:r w:rsidRPr="00704B44">
              <w:rPr>
                <w:rFonts w:ascii="Arial" w:hAnsi="Arial" w:cs="Arial"/>
                <w:sz w:val="22"/>
                <w:szCs w:val="22"/>
              </w:rPr>
              <w:t xml:space="preserve">For </w:t>
            </w:r>
            <w:r w:rsidR="008A3907" w:rsidRPr="00704B44">
              <w:rPr>
                <w:rFonts w:ascii="Arial" w:hAnsi="Arial" w:cs="Arial"/>
                <w:b/>
                <w:bCs/>
                <w:sz w:val="22"/>
                <w:szCs w:val="22"/>
              </w:rPr>
              <w:t>all</w:t>
            </w:r>
            <w:r w:rsidR="008A3907" w:rsidRPr="00704B44">
              <w:rPr>
                <w:rFonts w:ascii="Arial" w:hAnsi="Arial" w:cs="Arial"/>
                <w:sz w:val="22"/>
                <w:szCs w:val="22"/>
              </w:rPr>
              <w:t xml:space="preserve"> </w:t>
            </w:r>
            <w:r w:rsidRPr="00704B44">
              <w:rPr>
                <w:rFonts w:ascii="Arial" w:hAnsi="Arial" w:cs="Arial"/>
                <w:sz w:val="22"/>
                <w:szCs w:val="22"/>
              </w:rPr>
              <w:t>Actors who are considered “manufacturers”</w:t>
            </w:r>
            <w:r w:rsidR="008A3907" w:rsidRPr="00704B44">
              <w:rPr>
                <w:rFonts w:ascii="Arial" w:hAnsi="Arial" w:cs="Arial"/>
                <w:sz w:val="22"/>
                <w:szCs w:val="22"/>
              </w:rPr>
              <w:t xml:space="preserve"> </w:t>
            </w:r>
            <w:r w:rsidRPr="00704B44">
              <w:rPr>
                <w:rFonts w:ascii="Arial" w:hAnsi="Arial" w:cs="Arial"/>
                <w:sz w:val="22"/>
                <w:szCs w:val="22"/>
              </w:rPr>
              <w:t xml:space="preserve">the entry barrier is high: “Before a manufacturer … places on the market … obliged to register …” </w:t>
            </w:r>
            <w:r w:rsidRPr="00704B44">
              <w:rPr>
                <w:rFonts w:ascii="Arial" w:hAnsi="Arial" w:cs="Arial"/>
                <w:sz w:val="22"/>
                <w:szCs w:val="22"/>
                <w:lang w:val="de-DE"/>
              </w:rPr>
              <w:t xml:space="preserve">(incl. </w:t>
            </w:r>
            <w:proofErr w:type="spellStart"/>
            <w:r w:rsidRPr="00704B44">
              <w:rPr>
                <w:rFonts w:ascii="Arial" w:hAnsi="Arial" w:cs="Arial"/>
                <w:sz w:val="22"/>
                <w:szCs w:val="22"/>
                <w:lang w:val="de-DE"/>
              </w:rPr>
              <w:t>guarantee</w:t>
            </w:r>
            <w:proofErr w:type="spellEnd"/>
            <w:r w:rsidRPr="00704B44">
              <w:rPr>
                <w:rFonts w:ascii="Arial" w:hAnsi="Arial" w:cs="Arial"/>
                <w:sz w:val="22"/>
                <w:szCs w:val="22"/>
                <w:lang w:val="de-DE"/>
              </w:rPr>
              <w:t>/</w:t>
            </w:r>
            <w:proofErr w:type="spellStart"/>
            <w:r w:rsidRPr="00704B44">
              <w:rPr>
                <w:rFonts w:ascii="Arial" w:hAnsi="Arial" w:cs="Arial"/>
                <w:sz w:val="22"/>
                <w:szCs w:val="22"/>
                <w:lang w:val="de-DE"/>
              </w:rPr>
              <w:t>take</w:t>
            </w:r>
            <w:proofErr w:type="spellEnd"/>
            <w:r w:rsidRPr="00704B44">
              <w:rPr>
                <w:rFonts w:ascii="Arial" w:hAnsi="Arial" w:cs="Arial"/>
                <w:sz w:val="22"/>
                <w:szCs w:val="22"/>
                <w:lang w:val="de-DE"/>
              </w:rPr>
              <w:t xml:space="preserve">-back </w:t>
            </w:r>
            <w:proofErr w:type="spellStart"/>
            <w:r w:rsidRPr="00704B44">
              <w:rPr>
                <w:rFonts w:ascii="Arial" w:hAnsi="Arial" w:cs="Arial"/>
                <w:sz w:val="22"/>
                <w:szCs w:val="22"/>
                <w:lang w:val="de-DE"/>
              </w:rPr>
              <w:t>concept</w:t>
            </w:r>
            <w:proofErr w:type="spellEnd"/>
            <w:r w:rsidRPr="00704B44">
              <w:rPr>
                <w:rFonts w:ascii="Arial" w:hAnsi="Arial" w:cs="Arial"/>
                <w:sz w:val="22"/>
                <w:szCs w:val="22"/>
                <w:lang w:val="de-DE"/>
              </w:rPr>
              <w:t xml:space="preserve">). </w:t>
            </w:r>
            <w:r w:rsidRPr="00704B44">
              <w:rPr>
                <w:rFonts w:ascii="Arial" w:hAnsi="Arial" w:cs="Arial"/>
                <w:sz w:val="22"/>
                <w:szCs w:val="22"/>
              </w:rPr>
              <w:t>And without registration there is a de facto market ban: “may … not place on the market if … not … registered”.</w:t>
            </w:r>
          </w:p>
        </w:tc>
      </w:tr>
      <w:tr w:rsidR="00A84E6C" w:rsidRPr="00704B44" w14:paraId="7613002E" w14:textId="77777777" w:rsidTr="00A84E6C">
        <w:tc>
          <w:tcPr>
            <w:tcW w:w="0" w:type="auto"/>
            <w:hideMark/>
          </w:tcPr>
          <w:p w14:paraId="57648299" w14:textId="221D759F" w:rsidR="00A84E6C" w:rsidRPr="00704B44" w:rsidRDefault="00A84E6C" w:rsidP="00A84E6C">
            <w:pPr>
              <w:spacing w:after="160" w:line="278" w:lineRule="auto"/>
              <w:rPr>
                <w:rFonts w:ascii="Arial" w:hAnsi="Arial" w:cs="Arial"/>
                <w:b/>
                <w:bCs/>
                <w:sz w:val="22"/>
                <w:szCs w:val="22"/>
              </w:rPr>
            </w:pPr>
            <w:r w:rsidRPr="00704B44">
              <w:rPr>
                <w:rFonts w:ascii="Arial" w:hAnsi="Arial" w:cs="Arial"/>
                <w:b/>
                <w:bCs/>
                <w:sz w:val="22"/>
                <w:szCs w:val="22"/>
              </w:rPr>
              <w:t xml:space="preserve">3. </w:t>
            </w:r>
            <w:r w:rsidR="00FE164D" w:rsidRPr="00704B44">
              <w:rPr>
                <w:rFonts w:ascii="Arial" w:hAnsi="Arial" w:cs="Arial"/>
                <w:b/>
                <w:bCs/>
                <w:sz w:val="22"/>
                <w:szCs w:val="22"/>
              </w:rPr>
              <w:t>Incentives</w:t>
            </w:r>
          </w:p>
        </w:tc>
        <w:tc>
          <w:tcPr>
            <w:tcW w:w="0" w:type="auto"/>
            <w:hideMark/>
          </w:tcPr>
          <w:p w14:paraId="45F31BCC" w14:textId="77777777" w:rsidR="00A84E6C" w:rsidRPr="00704B44" w:rsidRDefault="00A84E6C" w:rsidP="00A84E6C">
            <w:pPr>
              <w:spacing w:after="160" w:line="278" w:lineRule="auto"/>
              <w:rPr>
                <w:rFonts w:ascii="Arial" w:hAnsi="Arial" w:cs="Arial"/>
                <w:b/>
                <w:bCs/>
                <w:sz w:val="22"/>
                <w:szCs w:val="22"/>
              </w:rPr>
            </w:pPr>
            <w:r w:rsidRPr="00704B44">
              <w:rPr>
                <w:rFonts w:ascii="Arial" w:hAnsi="Arial" w:cs="Arial"/>
                <w:b/>
                <w:bCs/>
                <w:sz w:val="22"/>
                <w:szCs w:val="22"/>
              </w:rPr>
              <w:t>0.</w:t>
            </w:r>
            <w:r w:rsidR="0061390D" w:rsidRPr="00704B44">
              <w:rPr>
                <w:rFonts w:ascii="Arial" w:hAnsi="Arial" w:cs="Arial"/>
                <w:b/>
                <w:bCs/>
                <w:sz w:val="22"/>
                <w:szCs w:val="22"/>
              </w:rPr>
              <w:t>75</w:t>
            </w:r>
          </w:p>
        </w:tc>
        <w:tc>
          <w:tcPr>
            <w:tcW w:w="0" w:type="auto"/>
            <w:hideMark/>
          </w:tcPr>
          <w:p w14:paraId="1A7E3063" w14:textId="77777777" w:rsidR="00A84E6C" w:rsidRPr="00704B44" w:rsidRDefault="0061390D" w:rsidP="00A84E6C">
            <w:pPr>
              <w:spacing w:after="160" w:line="278" w:lineRule="auto"/>
              <w:rPr>
                <w:rFonts w:ascii="Arial" w:hAnsi="Arial" w:cs="Arial"/>
                <w:sz w:val="22"/>
                <w:szCs w:val="22"/>
              </w:rPr>
            </w:pPr>
            <w:r w:rsidRPr="00704B44">
              <w:rPr>
                <w:rFonts w:ascii="Arial" w:hAnsi="Arial" w:cs="Arial"/>
                <w:sz w:val="22"/>
                <w:szCs w:val="22"/>
              </w:rPr>
              <w:t>Indirect incentives through cost pressure and accounting mechanisms (EPR): manufacturers must provide an “insolvency-proof guarantee for financing take-back and disposal”. At the same time, own take-back can improve compliance: “The weight … of taken-back waste devices … is credited to its respective share …”.</w:t>
            </w:r>
          </w:p>
        </w:tc>
      </w:tr>
      <w:tr w:rsidR="00A84E6C" w:rsidRPr="00704B44" w14:paraId="7B5A2228" w14:textId="77777777" w:rsidTr="00A84E6C">
        <w:tc>
          <w:tcPr>
            <w:tcW w:w="0" w:type="auto"/>
            <w:hideMark/>
          </w:tcPr>
          <w:p w14:paraId="51FAEA15" w14:textId="77777777" w:rsidR="00A84E6C" w:rsidRPr="00704B44" w:rsidRDefault="00A84E6C" w:rsidP="00A84E6C">
            <w:pPr>
              <w:spacing w:after="160" w:line="278" w:lineRule="auto"/>
              <w:rPr>
                <w:rFonts w:ascii="Arial" w:hAnsi="Arial" w:cs="Arial"/>
                <w:b/>
                <w:bCs/>
                <w:sz w:val="22"/>
                <w:szCs w:val="22"/>
              </w:rPr>
            </w:pPr>
            <w:r w:rsidRPr="00704B44">
              <w:rPr>
                <w:rFonts w:ascii="Arial" w:hAnsi="Arial" w:cs="Arial"/>
                <w:b/>
                <w:bCs/>
                <w:sz w:val="22"/>
                <w:szCs w:val="22"/>
              </w:rPr>
              <w:t>4. Data, traceability and information impact</w:t>
            </w:r>
          </w:p>
        </w:tc>
        <w:tc>
          <w:tcPr>
            <w:tcW w:w="0" w:type="auto"/>
            <w:hideMark/>
          </w:tcPr>
          <w:p w14:paraId="21F30DC2" w14:textId="77777777" w:rsidR="00A84E6C" w:rsidRPr="00704B44" w:rsidRDefault="00A84E6C" w:rsidP="00A84E6C">
            <w:pPr>
              <w:spacing w:after="160" w:line="278" w:lineRule="auto"/>
              <w:rPr>
                <w:rFonts w:ascii="Arial" w:hAnsi="Arial" w:cs="Arial"/>
                <w:b/>
                <w:bCs/>
                <w:sz w:val="22"/>
                <w:szCs w:val="22"/>
              </w:rPr>
            </w:pPr>
            <w:r w:rsidRPr="00704B44">
              <w:rPr>
                <w:rFonts w:ascii="Arial" w:hAnsi="Arial" w:cs="Arial"/>
                <w:b/>
                <w:bCs/>
                <w:sz w:val="22"/>
                <w:szCs w:val="22"/>
              </w:rPr>
              <w:t>0.75</w:t>
            </w:r>
          </w:p>
        </w:tc>
        <w:tc>
          <w:tcPr>
            <w:tcW w:w="0" w:type="auto"/>
            <w:hideMark/>
          </w:tcPr>
          <w:p w14:paraId="0463950F" w14:textId="77777777" w:rsidR="00A84E6C" w:rsidRPr="00704B44" w:rsidRDefault="00A84E6C" w:rsidP="00A84E6C">
            <w:pPr>
              <w:spacing w:after="160" w:line="278" w:lineRule="auto"/>
              <w:rPr>
                <w:rFonts w:ascii="Arial" w:hAnsi="Arial" w:cs="Arial"/>
                <w:sz w:val="22"/>
                <w:szCs w:val="22"/>
              </w:rPr>
            </w:pPr>
            <w:r w:rsidRPr="00704B44">
              <w:rPr>
                <w:rFonts w:ascii="Arial" w:hAnsi="Arial" w:cs="Arial"/>
                <w:sz w:val="22"/>
                <w:szCs w:val="22"/>
              </w:rPr>
              <w:t xml:space="preserve">There are structured identification and information obligations that facilitate circular loops: “…obliged to state its registration number when offering and on invoices”. In addition, manufacturers must provide reuse/treatment information: “Information on reuse … free of charge”. </w:t>
            </w:r>
          </w:p>
        </w:tc>
      </w:tr>
      <w:tr w:rsidR="00A84E6C" w:rsidRPr="00704B44" w14:paraId="2A62C64C" w14:textId="77777777" w:rsidTr="00A84E6C">
        <w:tc>
          <w:tcPr>
            <w:tcW w:w="0" w:type="auto"/>
            <w:hideMark/>
          </w:tcPr>
          <w:p w14:paraId="4BDD6432" w14:textId="77777777" w:rsidR="00A84E6C" w:rsidRPr="00704B44" w:rsidRDefault="00A84E6C" w:rsidP="00A84E6C">
            <w:pPr>
              <w:spacing w:after="160" w:line="278" w:lineRule="auto"/>
              <w:rPr>
                <w:rFonts w:ascii="Arial" w:hAnsi="Arial" w:cs="Arial"/>
                <w:b/>
                <w:bCs/>
                <w:sz w:val="22"/>
                <w:szCs w:val="22"/>
              </w:rPr>
            </w:pPr>
            <w:r w:rsidRPr="00704B44">
              <w:rPr>
                <w:rFonts w:ascii="Arial" w:hAnsi="Arial" w:cs="Arial"/>
                <w:b/>
                <w:bCs/>
                <w:sz w:val="22"/>
                <w:szCs w:val="22"/>
              </w:rPr>
              <w:t xml:space="preserve">5. Operationalizability / Practical </w:t>
            </w:r>
            <w:proofErr w:type="spellStart"/>
            <w:r w:rsidRPr="00704B44">
              <w:rPr>
                <w:rFonts w:ascii="Arial" w:hAnsi="Arial" w:cs="Arial"/>
                <w:b/>
                <w:bCs/>
                <w:sz w:val="22"/>
                <w:szCs w:val="22"/>
              </w:rPr>
              <w:t>implementability</w:t>
            </w:r>
            <w:proofErr w:type="spellEnd"/>
          </w:p>
        </w:tc>
        <w:tc>
          <w:tcPr>
            <w:tcW w:w="0" w:type="auto"/>
            <w:hideMark/>
          </w:tcPr>
          <w:p w14:paraId="0759C230" w14:textId="77777777" w:rsidR="00A84E6C" w:rsidRPr="00704B44" w:rsidRDefault="00A84E6C" w:rsidP="00A84E6C">
            <w:pPr>
              <w:spacing w:after="160" w:line="278" w:lineRule="auto"/>
              <w:rPr>
                <w:rFonts w:ascii="Arial" w:hAnsi="Arial" w:cs="Arial"/>
                <w:b/>
                <w:bCs/>
                <w:sz w:val="22"/>
                <w:szCs w:val="22"/>
              </w:rPr>
            </w:pPr>
            <w:r w:rsidRPr="00704B44">
              <w:rPr>
                <w:rFonts w:ascii="Arial" w:hAnsi="Arial" w:cs="Arial"/>
                <w:b/>
                <w:bCs/>
                <w:sz w:val="22"/>
                <w:szCs w:val="22"/>
              </w:rPr>
              <w:t>0.75</w:t>
            </w:r>
          </w:p>
        </w:tc>
        <w:tc>
          <w:tcPr>
            <w:tcW w:w="0" w:type="auto"/>
            <w:hideMark/>
          </w:tcPr>
          <w:p w14:paraId="197B4DC2" w14:textId="77777777" w:rsidR="00A84E6C" w:rsidRPr="00704B44" w:rsidRDefault="00A84E6C" w:rsidP="00A84E6C">
            <w:pPr>
              <w:spacing w:after="160" w:line="278" w:lineRule="auto"/>
              <w:rPr>
                <w:rFonts w:ascii="Arial" w:hAnsi="Arial" w:cs="Arial"/>
                <w:sz w:val="22"/>
                <w:szCs w:val="22"/>
              </w:rPr>
            </w:pPr>
            <w:proofErr w:type="spellStart"/>
            <w:r w:rsidRPr="00704B44">
              <w:rPr>
                <w:rFonts w:ascii="Arial" w:hAnsi="Arial" w:cs="Arial"/>
                <w:sz w:val="22"/>
                <w:szCs w:val="22"/>
              </w:rPr>
              <w:t>ElektroG</w:t>
            </w:r>
            <w:proofErr w:type="spellEnd"/>
            <w:r w:rsidRPr="00704B44">
              <w:rPr>
                <w:rFonts w:ascii="Arial" w:hAnsi="Arial" w:cs="Arial"/>
                <w:sz w:val="22"/>
                <w:szCs w:val="22"/>
              </w:rPr>
              <w:t xml:space="preserve"> is largely operationalized procedurally (clear roles/prohibitions/deadlines). Examples: registration before market entry (“Before … places on the market … register”). And clear deadline/format for reuse information: “within one year … in the form of manuals or electronically”. </w:t>
            </w:r>
          </w:p>
        </w:tc>
      </w:tr>
    </w:tbl>
    <w:p w14:paraId="2A5E1BA4" w14:textId="77777777" w:rsidR="00A84E6C" w:rsidRPr="00704B44" w:rsidRDefault="00312048">
      <w:pPr>
        <w:rPr>
          <w:rFonts w:ascii="Arial" w:eastAsiaTheme="minorEastAsia" w:hAnsi="Arial" w:cs="Arial"/>
          <w:sz w:val="22"/>
          <w:szCs w:val="22"/>
        </w:rPr>
      </w:pPr>
      <m:oMathPara>
        <m:oMath>
          <m:r>
            <w:rPr>
              <w:rFonts w:ascii="Cambria Math" w:hAnsi="Cambria Math" w:cs="Arial"/>
              <w:sz w:val="22"/>
              <w:szCs w:val="22"/>
            </w:rPr>
            <m:t>Q=</m:t>
          </m:r>
          <m:r>
            <m:rPr>
              <m:sty m:val="p"/>
            </m:rPr>
            <w:rPr>
              <w:rFonts w:ascii="Cambria Math" w:hAnsi="Cambria Math" w:cs="Arial"/>
              <w:sz w:val="22"/>
              <w:szCs w:val="22"/>
            </w:rPr>
            <m:t>0,3399</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0,1235</m:t>
          </m:r>
          <m:r>
            <w:rPr>
              <w:rFonts w:ascii="Cambria Math" w:hAnsi="Cambria Math" w:cs="Arial"/>
              <w:sz w:val="22"/>
              <w:szCs w:val="22"/>
            </w:rPr>
            <m:t>⋅</m:t>
          </m:r>
          <m:r>
            <m:rPr>
              <m:sty m:val="p"/>
            </m:rPr>
            <w:rPr>
              <w:rFonts w:ascii="Cambria Math" w:hAnsi="Cambria Math" w:cs="Arial"/>
              <w:sz w:val="22"/>
              <w:szCs w:val="22"/>
            </w:rPr>
            <m:t>0,5</m:t>
          </m:r>
          <m:r>
            <w:rPr>
              <w:rFonts w:ascii="Cambria Math" w:hAnsi="Cambria Math" w:cs="Arial"/>
              <w:sz w:val="22"/>
              <w:szCs w:val="22"/>
            </w:rPr>
            <m:t>+</m:t>
          </m:r>
          <m:r>
            <m:rPr>
              <m:sty m:val="p"/>
            </m:rPr>
            <w:rPr>
              <w:rFonts w:ascii="Cambria Math" w:hAnsi="Cambria Math" w:cs="Arial"/>
              <w:sz w:val="22"/>
              <w:szCs w:val="22"/>
            </w:rPr>
            <m:t>0,0732</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0,1235</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0,3399</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0,719</m:t>
          </m:r>
        </m:oMath>
      </m:oMathPara>
    </w:p>
    <w:p w14:paraId="775727BC" w14:textId="6222761B" w:rsidR="003C6DDA" w:rsidRPr="00704B44" w:rsidRDefault="003C6DDA">
      <w:pPr>
        <w:rPr>
          <w:rFonts w:ascii="Arial" w:eastAsiaTheme="minorEastAsia" w:hAnsi="Arial" w:cs="Arial"/>
          <w:sz w:val="22"/>
          <w:szCs w:val="22"/>
        </w:rPr>
      </w:pPr>
      <w:r w:rsidRPr="00704B44">
        <w:rPr>
          <w:rFonts w:ascii="Arial" w:eastAsiaTheme="minorEastAsia" w:hAnsi="Arial" w:cs="Arial"/>
          <w:sz w:val="22"/>
          <w:szCs w:val="22"/>
        </w:rPr>
        <w:br w:type="page"/>
      </w:r>
    </w:p>
    <w:p w14:paraId="5F19D33B" w14:textId="77777777" w:rsidR="008A3907" w:rsidRPr="00704B44" w:rsidRDefault="008A3907">
      <w:pPr>
        <w:rPr>
          <w:rFonts w:ascii="Arial" w:eastAsiaTheme="minorEastAsia" w:hAnsi="Arial" w:cs="Arial"/>
          <w:sz w:val="22"/>
          <w:szCs w:val="22"/>
        </w:rPr>
      </w:pPr>
    </w:p>
    <w:tbl>
      <w:tblPr>
        <w:tblStyle w:val="TableGridLight"/>
        <w:tblW w:w="0" w:type="auto"/>
        <w:tblLook w:val="04A0" w:firstRow="1" w:lastRow="0" w:firstColumn="1" w:lastColumn="0" w:noHBand="0" w:noVBand="1"/>
      </w:tblPr>
      <w:tblGrid>
        <w:gridCol w:w="2700"/>
        <w:gridCol w:w="828"/>
        <w:gridCol w:w="6208"/>
      </w:tblGrid>
      <w:tr w:rsidR="008A3907" w:rsidRPr="00704B44" w14:paraId="29E050FE" w14:textId="77777777" w:rsidTr="008A3907">
        <w:tc>
          <w:tcPr>
            <w:tcW w:w="0" w:type="auto"/>
            <w:hideMark/>
          </w:tcPr>
          <w:p w14:paraId="659C4A3C" w14:textId="77777777" w:rsidR="008A3907" w:rsidRPr="00704B44" w:rsidRDefault="008A3907" w:rsidP="008A3907">
            <w:pPr>
              <w:spacing w:after="160" w:line="278" w:lineRule="auto"/>
              <w:rPr>
                <w:rFonts w:ascii="Arial" w:hAnsi="Arial" w:cs="Arial"/>
                <w:b/>
                <w:bCs/>
                <w:sz w:val="22"/>
                <w:szCs w:val="22"/>
              </w:rPr>
            </w:pPr>
            <w:r w:rsidRPr="00704B44">
              <w:rPr>
                <w:rFonts w:ascii="Arial" w:hAnsi="Arial" w:cs="Arial"/>
                <w:b/>
                <w:bCs/>
                <w:sz w:val="22"/>
                <w:szCs w:val="22"/>
              </w:rPr>
              <w:t>Criterion</w:t>
            </w:r>
          </w:p>
        </w:tc>
        <w:tc>
          <w:tcPr>
            <w:tcW w:w="0" w:type="auto"/>
            <w:hideMark/>
          </w:tcPr>
          <w:p w14:paraId="37D8D237" w14:textId="77777777" w:rsidR="008A3907" w:rsidRPr="00704B44" w:rsidRDefault="008A3907" w:rsidP="008A3907">
            <w:pPr>
              <w:spacing w:after="160" w:line="278" w:lineRule="auto"/>
              <w:rPr>
                <w:rFonts w:ascii="Arial" w:hAnsi="Arial" w:cs="Arial"/>
                <w:b/>
                <w:bCs/>
                <w:sz w:val="22"/>
                <w:szCs w:val="22"/>
              </w:rPr>
            </w:pPr>
            <w:r w:rsidRPr="00704B44">
              <w:rPr>
                <w:rFonts w:ascii="Arial" w:hAnsi="Arial" w:cs="Arial"/>
                <w:b/>
                <w:bCs/>
                <w:sz w:val="22"/>
                <w:szCs w:val="22"/>
              </w:rPr>
              <w:t>Score</w:t>
            </w:r>
          </w:p>
        </w:tc>
        <w:tc>
          <w:tcPr>
            <w:tcW w:w="0" w:type="auto"/>
            <w:hideMark/>
          </w:tcPr>
          <w:p w14:paraId="14054979" w14:textId="77777777" w:rsidR="008A3907" w:rsidRPr="00704B44" w:rsidRDefault="008A3907" w:rsidP="008A3907">
            <w:pPr>
              <w:spacing w:after="160" w:line="278" w:lineRule="auto"/>
              <w:rPr>
                <w:rFonts w:ascii="Arial" w:hAnsi="Arial" w:cs="Arial"/>
                <w:b/>
                <w:bCs/>
                <w:sz w:val="22"/>
                <w:szCs w:val="22"/>
              </w:rPr>
            </w:pPr>
            <w:r w:rsidRPr="00704B44">
              <w:rPr>
                <w:rFonts w:ascii="Arial" w:hAnsi="Arial" w:cs="Arial"/>
                <w:b/>
                <w:bCs/>
                <w:sz w:val="22"/>
                <w:szCs w:val="22"/>
              </w:rPr>
              <w:t>Rationale</w:t>
            </w:r>
          </w:p>
        </w:tc>
      </w:tr>
      <w:tr w:rsidR="008A3907" w:rsidRPr="00704B44" w14:paraId="3F16CBD3" w14:textId="77777777" w:rsidTr="008A3907">
        <w:tc>
          <w:tcPr>
            <w:tcW w:w="0" w:type="auto"/>
            <w:hideMark/>
          </w:tcPr>
          <w:p w14:paraId="1D8FF64B" w14:textId="77777777" w:rsidR="008A3907" w:rsidRPr="00704B44" w:rsidRDefault="008A3907" w:rsidP="008A3907">
            <w:pPr>
              <w:spacing w:after="160" w:line="278" w:lineRule="auto"/>
              <w:rPr>
                <w:rFonts w:ascii="Arial" w:hAnsi="Arial" w:cs="Arial"/>
                <w:b/>
                <w:bCs/>
                <w:sz w:val="22"/>
                <w:szCs w:val="22"/>
              </w:rPr>
            </w:pPr>
            <w:r w:rsidRPr="00704B44">
              <w:rPr>
                <w:rFonts w:ascii="Arial" w:hAnsi="Arial" w:cs="Arial"/>
                <w:b/>
                <w:bCs/>
                <w:sz w:val="22"/>
                <w:szCs w:val="22"/>
              </w:rPr>
              <w:t>1. Legal clarity &amp; permissibility for circular pathways</w:t>
            </w:r>
          </w:p>
        </w:tc>
        <w:tc>
          <w:tcPr>
            <w:tcW w:w="0" w:type="auto"/>
            <w:hideMark/>
          </w:tcPr>
          <w:p w14:paraId="36E862CE" w14:textId="77777777" w:rsidR="008A3907" w:rsidRPr="00704B44" w:rsidRDefault="008A3907" w:rsidP="008A3907">
            <w:pPr>
              <w:spacing w:after="160" w:line="278" w:lineRule="auto"/>
              <w:rPr>
                <w:rFonts w:ascii="Arial" w:hAnsi="Arial" w:cs="Arial"/>
                <w:b/>
                <w:bCs/>
                <w:sz w:val="22"/>
                <w:szCs w:val="22"/>
              </w:rPr>
            </w:pPr>
            <w:r w:rsidRPr="00704B44">
              <w:rPr>
                <w:rFonts w:ascii="Arial" w:hAnsi="Arial" w:cs="Arial"/>
                <w:b/>
                <w:bCs/>
                <w:sz w:val="22"/>
                <w:szCs w:val="22"/>
              </w:rPr>
              <w:t>1.00</w:t>
            </w:r>
          </w:p>
        </w:tc>
        <w:tc>
          <w:tcPr>
            <w:tcW w:w="0" w:type="auto"/>
            <w:hideMark/>
          </w:tcPr>
          <w:p w14:paraId="0C233E39" w14:textId="77777777" w:rsidR="008A3907" w:rsidRPr="00704B44" w:rsidRDefault="008A3907" w:rsidP="008A3907">
            <w:pPr>
              <w:spacing w:after="160" w:line="278" w:lineRule="auto"/>
              <w:rPr>
                <w:rFonts w:ascii="Arial" w:hAnsi="Arial" w:cs="Arial"/>
                <w:sz w:val="22"/>
                <w:szCs w:val="22"/>
                <w:lang w:val="de-DE"/>
              </w:rPr>
            </w:pPr>
            <w:r w:rsidRPr="00704B44">
              <w:rPr>
                <w:rFonts w:ascii="Arial" w:hAnsi="Arial" w:cs="Arial"/>
                <w:sz w:val="22"/>
                <w:szCs w:val="22"/>
              </w:rPr>
              <w:t xml:space="preserve">Circular pathways are explicitly regulated and partly required: producers/responsible parties must “must ensure … recycling or preparation for reuse” according to minimum targets. In addition, there is a clear information obligation for reuse/recyclers: “make … information on preparation … available free of charge”. </w:t>
            </w:r>
            <w:r w:rsidRPr="00704B44">
              <w:rPr>
                <w:rFonts w:ascii="Arial" w:hAnsi="Arial" w:cs="Arial"/>
                <w:sz w:val="22"/>
                <w:szCs w:val="22"/>
                <w:lang w:val="de-DE"/>
              </w:rPr>
              <w:t xml:space="preserve">The </w:t>
            </w:r>
            <w:proofErr w:type="spellStart"/>
            <w:r w:rsidRPr="00704B44">
              <w:rPr>
                <w:rFonts w:ascii="Arial" w:hAnsi="Arial" w:cs="Arial"/>
                <w:sz w:val="22"/>
                <w:szCs w:val="22"/>
                <w:lang w:val="de-DE"/>
              </w:rPr>
              <w:t>scope</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for</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medical</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devices</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is</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explicitly</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addressed</w:t>
            </w:r>
            <w:proofErr w:type="spellEnd"/>
            <w:r w:rsidRPr="00704B44">
              <w:rPr>
                <w:rFonts w:ascii="Arial" w:hAnsi="Arial" w:cs="Arial"/>
                <w:sz w:val="22"/>
                <w:szCs w:val="22"/>
                <w:lang w:val="de-DE"/>
              </w:rPr>
              <w:t>.</w:t>
            </w:r>
          </w:p>
        </w:tc>
      </w:tr>
      <w:tr w:rsidR="008A3907" w:rsidRPr="00704B44" w14:paraId="744F31B4" w14:textId="77777777" w:rsidTr="008A3907">
        <w:tc>
          <w:tcPr>
            <w:tcW w:w="0" w:type="auto"/>
            <w:hideMark/>
          </w:tcPr>
          <w:p w14:paraId="6896438D" w14:textId="77777777" w:rsidR="008A3907" w:rsidRPr="00704B44" w:rsidRDefault="008A3907" w:rsidP="008A3907">
            <w:pPr>
              <w:spacing w:after="160" w:line="278" w:lineRule="auto"/>
              <w:rPr>
                <w:rFonts w:ascii="Arial" w:hAnsi="Arial" w:cs="Arial"/>
                <w:b/>
                <w:bCs/>
                <w:sz w:val="22"/>
                <w:szCs w:val="22"/>
              </w:rPr>
            </w:pPr>
            <w:r w:rsidRPr="00704B44">
              <w:rPr>
                <w:rFonts w:ascii="Arial" w:hAnsi="Arial" w:cs="Arial"/>
                <w:b/>
                <w:bCs/>
                <w:sz w:val="22"/>
                <w:szCs w:val="22"/>
              </w:rPr>
              <w:t>2. Additional compliance burden</w:t>
            </w:r>
          </w:p>
        </w:tc>
        <w:tc>
          <w:tcPr>
            <w:tcW w:w="0" w:type="auto"/>
            <w:hideMark/>
          </w:tcPr>
          <w:p w14:paraId="67AA799F" w14:textId="77777777" w:rsidR="008A3907" w:rsidRPr="00704B44" w:rsidRDefault="008A3907" w:rsidP="008A3907">
            <w:pPr>
              <w:spacing w:after="160" w:line="278" w:lineRule="auto"/>
              <w:rPr>
                <w:rFonts w:ascii="Arial" w:hAnsi="Arial" w:cs="Arial"/>
                <w:b/>
                <w:bCs/>
                <w:sz w:val="22"/>
                <w:szCs w:val="22"/>
              </w:rPr>
            </w:pPr>
            <w:r w:rsidRPr="00704B44">
              <w:rPr>
                <w:rFonts w:ascii="Arial" w:hAnsi="Arial" w:cs="Arial"/>
                <w:b/>
                <w:bCs/>
                <w:sz w:val="22"/>
                <w:szCs w:val="22"/>
              </w:rPr>
              <w:t xml:space="preserve">0.5 </w:t>
            </w:r>
          </w:p>
        </w:tc>
        <w:tc>
          <w:tcPr>
            <w:tcW w:w="0" w:type="auto"/>
            <w:hideMark/>
          </w:tcPr>
          <w:p w14:paraId="1208BD34" w14:textId="77777777" w:rsidR="008A3907" w:rsidRPr="00704B44" w:rsidRDefault="008A3907" w:rsidP="008A3907">
            <w:pPr>
              <w:spacing w:after="160" w:line="278" w:lineRule="auto"/>
              <w:rPr>
                <w:rFonts w:ascii="Arial" w:hAnsi="Arial" w:cs="Arial"/>
                <w:sz w:val="22"/>
                <w:szCs w:val="22"/>
                <w:lang w:val="de-DE"/>
              </w:rPr>
            </w:pPr>
            <w:r w:rsidRPr="00704B44">
              <w:rPr>
                <w:rFonts w:ascii="Arial" w:hAnsi="Arial" w:cs="Arial"/>
                <w:sz w:val="22"/>
                <w:szCs w:val="22"/>
              </w:rPr>
              <w:t xml:space="preserve">All manufacturers have a high additional </w:t>
            </w:r>
            <w:proofErr w:type="gramStart"/>
            <w:r w:rsidRPr="00704B44">
              <w:rPr>
                <w:rFonts w:ascii="Arial" w:hAnsi="Arial" w:cs="Arial"/>
                <w:sz w:val="22"/>
                <w:szCs w:val="22"/>
              </w:rPr>
              <w:t>burden :</w:t>
            </w:r>
            <w:proofErr w:type="gramEnd"/>
            <w:r w:rsidRPr="00704B44">
              <w:rPr>
                <w:rFonts w:ascii="Arial" w:hAnsi="Arial" w:cs="Arial"/>
                <w:sz w:val="22"/>
                <w:szCs w:val="22"/>
              </w:rPr>
              <w:t xml:space="preserve"> Distributors may not trade if the producer is not registered (“may not … trade … that is not registered”). There are extensive reporting obligations (“report by 31 March at the latest”). </w:t>
            </w:r>
            <w:r w:rsidRPr="00704B44">
              <w:rPr>
                <w:rFonts w:ascii="Arial" w:hAnsi="Arial" w:cs="Arial"/>
                <w:sz w:val="22"/>
                <w:szCs w:val="22"/>
                <w:lang w:val="de-DE"/>
              </w:rPr>
              <w:t xml:space="preserve">In </w:t>
            </w:r>
            <w:proofErr w:type="spellStart"/>
            <w:r w:rsidRPr="00704B44">
              <w:rPr>
                <w:rFonts w:ascii="Arial" w:hAnsi="Arial" w:cs="Arial"/>
                <w:sz w:val="22"/>
                <w:szCs w:val="22"/>
                <w:lang w:val="de-DE"/>
              </w:rPr>
              <w:t>addition</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financial</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security</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must</w:t>
            </w:r>
            <w:proofErr w:type="spellEnd"/>
            <w:r w:rsidRPr="00704B44">
              <w:rPr>
                <w:rFonts w:ascii="Arial" w:hAnsi="Arial" w:cs="Arial"/>
                <w:sz w:val="22"/>
                <w:szCs w:val="22"/>
                <w:lang w:val="de-DE"/>
              </w:rPr>
              <w:t xml:space="preserve"> … </w:t>
            </w:r>
            <w:proofErr w:type="spellStart"/>
            <w:r w:rsidRPr="00704B44">
              <w:rPr>
                <w:rFonts w:ascii="Arial" w:hAnsi="Arial" w:cs="Arial"/>
                <w:sz w:val="22"/>
                <w:szCs w:val="22"/>
                <w:lang w:val="de-DE"/>
              </w:rPr>
              <w:t>provide</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security</w:t>
            </w:r>
            <w:proofErr w:type="spellEnd"/>
            <w:r w:rsidRPr="00704B44">
              <w:rPr>
                <w:rFonts w:ascii="Arial" w:hAnsi="Arial" w:cs="Arial"/>
                <w:sz w:val="22"/>
                <w:szCs w:val="22"/>
                <w:lang w:val="de-DE"/>
              </w:rPr>
              <w:t xml:space="preserve"> … </w:t>
            </w:r>
            <w:proofErr w:type="spellStart"/>
            <w:r w:rsidRPr="00704B44">
              <w:rPr>
                <w:rFonts w:ascii="Arial" w:hAnsi="Arial" w:cs="Arial"/>
                <w:sz w:val="22"/>
                <w:szCs w:val="22"/>
                <w:lang w:val="de-DE"/>
              </w:rPr>
              <w:t>once</w:t>
            </w:r>
            <w:proofErr w:type="spellEnd"/>
            <w:r w:rsidRPr="00704B44">
              <w:rPr>
                <w:rFonts w:ascii="Arial" w:hAnsi="Arial" w:cs="Arial"/>
                <w:sz w:val="22"/>
                <w:szCs w:val="22"/>
                <w:lang w:val="de-DE"/>
              </w:rPr>
              <w:t xml:space="preserve"> </w:t>
            </w:r>
            <w:proofErr w:type="spellStart"/>
            <w:r w:rsidRPr="00704B44">
              <w:rPr>
                <w:rFonts w:ascii="Arial" w:hAnsi="Arial" w:cs="Arial"/>
                <w:sz w:val="22"/>
                <w:szCs w:val="22"/>
                <w:lang w:val="de-DE"/>
              </w:rPr>
              <w:t>annually</w:t>
            </w:r>
            <w:proofErr w:type="spellEnd"/>
            <w:r w:rsidRPr="00704B44">
              <w:rPr>
                <w:rFonts w:ascii="Arial" w:hAnsi="Arial" w:cs="Arial"/>
                <w:sz w:val="22"/>
                <w:szCs w:val="22"/>
                <w:lang w:val="de-DE"/>
              </w:rPr>
              <w:t xml:space="preserve">”). </w:t>
            </w:r>
          </w:p>
        </w:tc>
      </w:tr>
      <w:tr w:rsidR="008A3907" w:rsidRPr="00704B44" w14:paraId="6B3E5D5C" w14:textId="77777777" w:rsidTr="008A3907">
        <w:tc>
          <w:tcPr>
            <w:tcW w:w="0" w:type="auto"/>
            <w:hideMark/>
          </w:tcPr>
          <w:p w14:paraId="1D32C0FA" w14:textId="0BAF2B53" w:rsidR="008A3907" w:rsidRPr="00704B44" w:rsidRDefault="008A3907" w:rsidP="008A3907">
            <w:pPr>
              <w:spacing w:after="160" w:line="278" w:lineRule="auto"/>
              <w:rPr>
                <w:rFonts w:ascii="Arial" w:hAnsi="Arial" w:cs="Arial"/>
                <w:b/>
                <w:bCs/>
                <w:sz w:val="22"/>
                <w:szCs w:val="22"/>
              </w:rPr>
            </w:pPr>
            <w:r w:rsidRPr="00704B44">
              <w:rPr>
                <w:rFonts w:ascii="Arial" w:hAnsi="Arial" w:cs="Arial"/>
                <w:b/>
                <w:bCs/>
                <w:sz w:val="22"/>
                <w:szCs w:val="22"/>
              </w:rPr>
              <w:t xml:space="preserve">3. </w:t>
            </w:r>
            <w:r w:rsidR="00FE164D" w:rsidRPr="00704B44">
              <w:rPr>
                <w:rFonts w:ascii="Arial" w:hAnsi="Arial" w:cs="Arial"/>
                <w:b/>
                <w:bCs/>
                <w:sz w:val="22"/>
                <w:szCs w:val="22"/>
              </w:rPr>
              <w:t>Incentives</w:t>
            </w:r>
          </w:p>
        </w:tc>
        <w:tc>
          <w:tcPr>
            <w:tcW w:w="0" w:type="auto"/>
            <w:hideMark/>
          </w:tcPr>
          <w:p w14:paraId="3F21F097" w14:textId="77777777" w:rsidR="008A3907" w:rsidRPr="00704B44" w:rsidRDefault="008A3907" w:rsidP="008A3907">
            <w:pPr>
              <w:spacing w:after="160" w:line="278" w:lineRule="auto"/>
              <w:rPr>
                <w:rFonts w:ascii="Arial" w:hAnsi="Arial" w:cs="Arial"/>
                <w:b/>
                <w:bCs/>
                <w:sz w:val="22"/>
                <w:szCs w:val="22"/>
              </w:rPr>
            </w:pPr>
            <w:r w:rsidRPr="00704B44">
              <w:rPr>
                <w:rFonts w:ascii="Arial" w:hAnsi="Arial" w:cs="Arial"/>
                <w:b/>
                <w:bCs/>
                <w:sz w:val="22"/>
                <w:szCs w:val="22"/>
              </w:rPr>
              <w:t>1.00</w:t>
            </w:r>
          </w:p>
        </w:tc>
        <w:tc>
          <w:tcPr>
            <w:tcW w:w="0" w:type="auto"/>
            <w:hideMark/>
          </w:tcPr>
          <w:p w14:paraId="1417AC6C" w14:textId="77777777" w:rsidR="008A3907" w:rsidRPr="00704B44" w:rsidRDefault="008A3907" w:rsidP="008A3907">
            <w:pPr>
              <w:spacing w:after="160" w:line="278" w:lineRule="auto"/>
              <w:rPr>
                <w:rFonts w:ascii="Arial" w:hAnsi="Arial" w:cs="Arial"/>
                <w:sz w:val="22"/>
                <w:szCs w:val="22"/>
              </w:rPr>
            </w:pPr>
            <w:r w:rsidRPr="00704B44">
              <w:rPr>
                <w:rFonts w:ascii="Arial" w:hAnsi="Arial" w:cs="Arial"/>
                <w:sz w:val="22"/>
                <w:szCs w:val="22"/>
              </w:rPr>
              <w:t xml:space="preserve">There are direct, financial incentives via “eco-modulation”: collective systems “must modulate producers’ financial contributions” according to Annex 12. Annex 12 contains concrete bonus/malus-suitable criteria such as an extended durability warranty (“warranty … at least 2 years beyond … statutory guarantee”) and recycled-content share (“at least 10% recycled material”). </w:t>
            </w:r>
          </w:p>
        </w:tc>
      </w:tr>
      <w:tr w:rsidR="008A3907" w:rsidRPr="00704B44" w14:paraId="10CBB6A5" w14:textId="77777777" w:rsidTr="008A3907">
        <w:tc>
          <w:tcPr>
            <w:tcW w:w="0" w:type="auto"/>
            <w:hideMark/>
          </w:tcPr>
          <w:p w14:paraId="5290801E" w14:textId="77777777" w:rsidR="008A3907" w:rsidRPr="00704B44" w:rsidRDefault="008A3907" w:rsidP="008A3907">
            <w:pPr>
              <w:spacing w:after="160" w:line="278" w:lineRule="auto"/>
              <w:rPr>
                <w:rFonts w:ascii="Arial" w:hAnsi="Arial" w:cs="Arial"/>
                <w:b/>
                <w:bCs/>
                <w:sz w:val="22"/>
                <w:szCs w:val="22"/>
              </w:rPr>
            </w:pPr>
            <w:r w:rsidRPr="00704B44">
              <w:rPr>
                <w:rFonts w:ascii="Arial" w:hAnsi="Arial" w:cs="Arial"/>
                <w:b/>
                <w:bCs/>
                <w:sz w:val="22"/>
                <w:szCs w:val="22"/>
              </w:rPr>
              <w:t>4. Data, traceability and information impact</w:t>
            </w:r>
          </w:p>
        </w:tc>
        <w:tc>
          <w:tcPr>
            <w:tcW w:w="0" w:type="auto"/>
            <w:hideMark/>
          </w:tcPr>
          <w:p w14:paraId="0C8FD5BE" w14:textId="77777777" w:rsidR="008A3907" w:rsidRPr="00704B44" w:rsidRDefault="008A3907" w:rsidP="008A3907">
            <w:pPr>
              <w:spacing w:after="160" w:line="278" w:lineRule="auto"/>
              <w:rPr>
                <w:rFonts w:ascii="Arial" w:hAnsi="Arial" w:cs="Arial"/>
                <w:b/>
                <w:bCs/>
                <w:sz w:val="22"/>
                <w:szCs w:val="22"/>
              </w:rPr>
            </w:pPr>
            <w:r w:rsidRPr="00704B44">
              <w:rPr>
                <w:rFonts w:ascii="Arial" w:hAnsi="Arial" w:cs="Arial"/>
                <w:b/>
                <w:bCs/>
                <w:sz w:val="22"/>
                <w:szCs w:val="22"/>
              </w:rPr>
              <w:t>0.75</w:t>
            </w:r>
          </w:p>
        </w:tc>
        <w:tc>
          <w:tcPr>
            <w:tcW w:w="0" w:type="auto"/>
            <w:hideMark/>
          </w:tcPr>
          <w:p w14:paraId="0507A182" w14:textId="77777777" w:rsidR="008A3907" w:rsidRPr="00704B44" w:rsidRDefault="008A3907" w:rsidP="008A3907">
            <w:pPr>
              <w:spacing w:after="160" w:line="278" w:lineRule="auto"/>
              <w:rPr>
                <w:rFonts w:ascii="Arial" w:hAnsi="Arial" w:cs="Arial"/>
                <w:sz w:val="22"/>
                <w:szCs w:val="22"/>
              </w:rPr>
            </w:pPr>
            <w:r w:rsidRPr="00704B44">
              <w:rPr>
                <w:rFonts w:ascii="Arial" w:hAnsi="Arial" w:cs="Arial"/>
                <w:sz w:val="22"/>
                <w:szCs w:val="22"/>
              </w:rPr>
              <w:t xml:space="preserve">Good data/information impact, but without end-to-end device life-cycle traceability: producers must report quantities (“report … the amount”). There is structured information to reuse/recycling facilities incl. materials/hazardous substances (“identify … components and materials … the location of hazardous substances”). </w:t>
            </w:r>
          </w:p>
        </w:tc>
      </w:tr>
      <w:tr w:rsidR="008A3907" w:rsidRPr="00704B44" w14:paraId="40EE9C65" w14:textId="77777777" w:rsidTr="008A3907">
        <w:tc>
          <w:tcPr>
            <w:tcW w:w="0" w:type="auto"/>
            <w:hideMark/>
          </w:tcPr>
          <w:p w14:paraId="722A972E" w14:textId="77777777" w:rsidR="008A3907" w:rsidRPr="00704B44" w:rsidRDefault="008A3907" w:rsidP="008A3907">
            <w:pPr>
              <w:spacing w:after="160" w:line="278" w:lineRule="auto"/>
              <w:rPr>
                <w:rFonts w:ascii="Arial" w:hAnsi="Arial" w:cs="Arial"/>
                <w:b/>
                <w:bCs/>
                <w:sz w:val="22"/>
                <w:szCs w:val="22"/>
              </w:rPr>
            </w:pPr>
            <w:r w:rsidRPr="00704B44">
              <w:rPr>
                <w:rFonts w:ascii="Arial" w:hAnsi="Arial" w:cs="Arial"/>
                <w:b/>
                <w:bCs/>
                <w:sz w:val="22"/>
                <w:szCs w:val="22"/>
              </w:rPr>
              <w:t xml:space="preserve">5. Operationalizability / Practical </w:t>
            </w:r>
            <w:proofErr w:type="spellStart"/>
            <w:r w:rsidRPr="00704B44">
              <w:rPr>
                <w:rFonts w:ascii="Arial" w:hAnsi="Arial" w:cs="Arial"/>
                <w:b/>
                <w:bCs/>
                <w:sz w:val="22"/>
                <w:szCs w:val="22"/>
              </w:rPr>
              <w:t>implementability</w:t>
            </w:r>
            <w:proofErr w:type="spellEnd"/>
          </w:p>
        </w:tc>
        <w:tc>
          <w:tcPr>
            <w:tcW w:w="0" w:type="auto"/>
            <w:hideMark/>
          </w:tcPr>
          <w:p w14:paraId="66F6A53D" w14:textId="77777777" w:rsidR="008A3907" w:rsidRPr="00704B44" w:rsidRDefault="008A3907" w:rsidP="008A3907">
            <w:pPr>
              <w:spacing w:after="160" w:line="278" w:lineRule="auto"/>
              <w:rPr>
                <w:rFonts w:ascii="Arial" w:hAnsi="Arial" w:cs="Arial"/>
                <w:b/>
                <w:bCs/>
                <w:sz w:val="22"/>
                <w:szCs w:val="22"/>
              </w:rPr>
            </w:pPr>
            <w:r w:rsidRPr="00704B44">
              <w:rPr>
                <w:rFonts w:ascii="Arial" w:hAnsi="Arial" w:cs="Arial"/>
                <w:b/>
                <w:bCs/>
                <w:sz w:val="22"/>
                <w:szCs w:val="22"/>
              </w:rPr>
              <w:t>0.75</w:t>
            </w:r>
          </w:p>
        </w:tc>
        <w:tc>
          <w:tcPr>
            <w:tcW w:w="0" w:type="auto"/>
            <w:hideMark/>
          </w:tcPr>
          <w:p w14:paraId="1F2DF3CC" w14:textId="77777777" w:rsidR="008A3907" w:rsidRPr="00704B44" w:rsidRDefault="008A3907" w:rsidP="008A3907">
            <w:pPr>
              <w:spacing w:after="160" w:line="278" w:lineRule="auto"/>
              <w:rPr>
                <w:rFonts w:ascii="Arial" w:hAnsi="Arial" w:cs="Arial"/>
                <w:sz w:val="22"/>
                <w:szCs w:val="22"/>
              </w:rPr>
            </w:pPr>
            <w:r w:rsidRPr="00704B44">
              <w:rPr>
                <w:rFonts w:ascii="Arial" w:hAnsi="Arial" w:cs="Arial"/>
                <w:sz w:val="22"/>
                <w:szCs w:val="22"/>
              </w:rPr>
              <w:t xml:space="preserve">Operationally clear: municipalities “must establish collection schemes” (easily accessible). Producer obligations are process-defined (incl. allocation): Dansk </w:t>
            </w:r>
            <w:proofErr w:type="spellStart"/>
            <w:r w:rsidRPr="00704B44">
              <w:rPr>
                <w:rFonts w:ascii="Arial" w:hAnsi="Arial" w:cs="Arial"/>
                <w:sz w:val="22"/>
                <w:szCs w:val="22"/>
              </w:rPr>
              <w:t>Producentansvar</w:t>
            </w:r>
            <w:proofErr w:type="spellEnd"/>
            <w:r w:rsidRPr="00704B44">
              <w:rPr>
                <w:rFonts w:ascii="Arial" w:hAnsi="Arial" w:cs="Arial"/>
                <w:sz w:val="22"/>
                <w:szCs w:val="22"/>
              </w:rPr>
              <w:t xml:space="preserve"> “makes an annual decision on allocation” of take-back quantities. Some implementations (e.g., annex methodology, collective schemes) nevertheless require noticeable resources. </w:t>
            </w:r>
          </w:p>
        </w:tc>
      </w:tr>
    </w:tbl>
    <w:p w14:paraId="24DEF394" w14:textId="226A868D" w:rsidR="00704B44" w:rsidRDefault="009548EB">
      <w:pPr>
        <w:rPr>
          <w:rFonts w:ascii="Arial" w:eastAsiaTheme="minorEastAsia" w:hAnsi="Arial" w:cs="Arial"/>
          <w:sz w:val="22"/>
          <w:szCs w:val="22"/>
        </w:rPr>
      </w:pPr>
      <m:oMathPara>
        <m:oMath>
          <m:r>
            <w:rPr>
              <w:rFonts w:ascii="Cambria Math" w:hAnsi="Cambria Math" w:cs="Arial"/>
              <w:sz w:val="22"/>
              <w:szCs w:val="22"/>
            </w:rPr>
            <m:t>Q=</m:t>
          </m:r>
          <m:r>
            <m:rPr>
              <m:sty m:val="p"/>
            </m:rPr>
            <w:rPr>
              <w:rFonts w:ascii="Cambria Math" w:hAnsi="Cambria Math" w:cs="Arial"/>
              <w:sz w:val="22"/>
              <w:szCs w:val="22"/>
            </w:rPr>
            <m:t>0,3399</m:t>
          </m:r>
          <m:r>
            <w:rPr>
              <w:rFonts w:ascii="Cambria Math" w:hAnsi="Cambria Math" w:cs="Arial"/>
              <w:sz w:val="22"/>
              <w:szCs w:val="22"/>
            </w:rPr>
            <m:t>⋅</m:t>
          </m:r>
          <m:r>
            <m:rPr>
              <m:sty m:val="p"/>
            </m:rPr>
            <w:rPr>
              <w:rFonts w:ascii="Cambria Math" w:hAnsi="Cambria Math" w:cs="Arial"/>
              <w:sz w:val="22"/>
              <w:szCs w:val="22"/>
            </w:rPr>
            <m:t>1</m:t>
          </m:r>
          <m:r>
            <w:rPr>
              <w:rFonts w:ascii="Cambria Math" w:hAnsi="Cambria Math" w:cs="Arial"/>
              <w:sz w:val="22"/>
              <w:szCs w:val="22"/>
            </w:rPr>
            <m:t>+</m:t>
          </m:r>
          <m:r>
            <m:rPr>
              <m:sty m:val="p"/>
            </m:rPr>
            <w:rPr>
              <w:rFonts w:ascii="Cambria Math" w:hAnsi="Cambria Math" w:cs="Arial"/>
              <w:sz w:val="22"/>
              <w:szCs w:val="22"/>
            </w:rPr>
            <m:t>0,1235</m:t>
          </m:r>
          <m:r>
            <w:rPr>
              <w:rFonts w:ascii="Cambria Math" w:hAnsi="Cambria Math" w:cs="Arial"/>
              <w:sz w:val="22"/>
              <w:szCs w:val="22"/>
            </w:rPr>
            <m:t>⋅</m:t>
          </m:r>
          <m:r>
            <m:rPr>
              <m:sty m:val="p"/>
            </m:rPr>
            <w:rPr>
              <w:rFonts w:ascii="Cambria Math" w:hAnsi="Cambria Math" w:cs="Arial"/>
              <w:sz w:val="22"/>
              <w:szCs w:val="22"/>
            </w:rPr>
            <m:t>0,5</m:t>
          </m:r>
          <m:r>
            <w:rPr>
              <w:rFonts w:ascii="Cambria Math" w:hAnsi="Cambria Math" w:cs="Arial"/>
              <w:sz w:val="22"/>
              <w:szCs w:val="22"/>
            </w:rPr>
            <m:t>+</m:t>
          </m:r>
          <m:r>
            <m:rPr>
              <m:sty m:val="p"/>
            </m:rPr>
            <w:rPr>
              <w:rFonts w:ascii="Cambria Math" w:hAnsi="Cambria Math" w:cs="Arial"/>
              <w:sz w:val="22"/>
              <w:szCs w:val="22"/>
            </w:rPr>
            <m:t>0,0732</m:t>
          </m:r>
          <m:r>
            <w:rPr>
              <w:rFonts w:ascii="Cambria Math" w:hAnsi="Cambria Math" w:cs="Arial"/>
              <w:sz w:val="22"/>
              <w:szCs w:val="22"/>
            </w:rPr>
            <m:t>⋅</m:t>
          </m:r>
          <m:r>
            <m:rPr>
              <m:sty m:val="p"/>
            </m:rPr>
            <w:rPr>
              <w:rFonts w:ascii="Cambria Math" w:hAnsi="Cambria Math" w:cs="Arial"/>
              <w:sz w:val="22"/>
              <w:szCs w:val="22"/>
            </w:rPr>
            <m:t>1</m:t>
          </m:r>
          <m:r>
            <w:rPr>
              <w:rFonts w:ascii="Cambria Math" w:hAnsi="Cambria Math" w:cs="Arial"/>
              <w:sz w:val="22"/>
              <w:szCs w:val="22"/>
            </w:rPr>
            <m:t>+</m:t>
          </m:r>
          <m:r>
            <m:rPr>
              <m:sty m:val="p"/>
            </m:rPr>
            <w:rPr>
              <w:rFonts w:ascii="Cambria Math" w:hAnsi="Cambria Math" w:cs="Arial"/>
              <w:sz w:val="22"/>
              <w:szCs w:val="22"/>
            </w:rPr>
            <m:t>0,1235</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0,3399</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0,822</m:t>
          </m:r>
        </m:oMath>
      </m:oMathPara>
    </w:p>
    <w:p w14:paraId="6BB88EFC" w14:textId="77777777" w:rsidR="00704B44" w:rsidRDefault="00704B44">
      <w:pPr>
        <w:rPr>
          <w:rFonts w:ascii="Arial" w:eastAsiaTheme="minorEastAsia" w:hAnsi="Arial" w:cs="Arial"/>
          <w:sz w:val="22"/>
          <w:szCs w:val="22"/>
        </w:rPr>
      </w:pPr>
      <w:r>
        <w:rPr>
          <w:rFonts w:ascii="Arial" w:eastAsiaTheme="minorEastAsia" w:hAnsi="Arial" w:cs="Arial"/>
          <w:sz w:val="22"/>
          <w:szCs w:val="22"/>
        </w:rPr>
        <w:br w:type="page"/>
      </w:r>
    </w:p>
    <w:p w14:paraId="648D7912" w14:textId="77777777" w:rsidR="003C6DDA" w:rsidRPr="00704B44" w:rsidRDefault="003C6DDA">
      <w:pPr>
        <w:rPr>
          <w:rFonts w:ascii="Arial" w:eastAsiaTheme="minorEastAsia" w:hAnsi="Arial" w:cs="Arial"/>
          <w:sz w:val="22"/>
          <w:szCs w:val="22"/>
        </w:rPr>
      </w:pPr>
    </w:p>
    <w:tbl>
      <w:tblPr>
        <w:tblStyle w:val="TableGridLight"/>
        <w:tblW w:w="0" w:type="auto"/>
        <w:tblLook w:val="04A0" w:firstRow="1" w:lastRow="0" w:firstColumn="1" w:lastColumn="0" w:noHBand="0" w:noVBand="1"/>
      </w:tblPr>
      <w:tblGrid>
        <w:gridCol w:w="3261"/>
        <w:gridCol w:w="828"/>
        <w:gridCol w:w="5647"/>
      </w:tblGrid>
      <w:tr w:rsidR="009548EB" w:rsidRPr="00704B44" w14:paraId="5961037C" w14:textId="77777777" w:rsidTr="009548EB">
        <w:tc>
          <w:tcPr>
            <w:tcW w:w="0" w:type="auto"/>
            <w:hideMark/>
          </w:tcPr>
          <w:p w14:paraId="18334551" w14:textId="77777777" w:rsidR="009548EB" w:rsidRPr="00704B44" w:rsidRDefault="009548EB" w:rsidP="009548EB">
            <w:pPr>
              <w:spacing w:after="160" w:line="278" w:lineRule="auto"/>
              <w:rPr>
                <w:rFonts w:ascii="Arial" w:hAnsi="Arial" w:cs="Arial"/>
                <w:b/>
                <w:bCs/>
                <w:sz w:val="22"/>
                <w:szCs w:val="22"/>
              </w:rPr>
            </w:pPr>
            <w:r w:rsidRPr="00704B44">
              <w:rPr>
                <w:rFonts w:ascii="Arial" w:hAnsi="Arial" w:cs="Arial"/>
                <w:b/>
                <w:bCs/>
                <w:sz w:val="22"/>
                <w:szCs w:val="22"/>
              </w:rPr>
              <w:t>Criterion</w:t>
            </w:r>
          </w:p>
        </w:tc>
        <w:tc>
          <w:tcPr>
            <w:tcW w:w="0" w:type="auto"/>
            <w:hideMark/>
          </w:tcPr>
          <w:p w14:paraId="01F6F205" w14:textId="77777777" w:rsidR="009548EB" w:rsidRPr="00704B44" w:rsidRDefault="009548EB" w:rsidP="009548EB">
            <w:pPr>
              <w:spacing w:after="160" w:line="278" w:lineRule="auto"/>
              <w:rPr>
                <w:rFonts w:ascii="Arial" w:hAnsi="Arial" w:cs="Arial"/>
                <w:b/>
                <w:bCs/>
                <w:sz w:val="22"/>
                <w:szCs w:val="22"/>
              </w:rPr>
            </w:pPr>
            <w:r w:rsidRPr="00704B44">
              <w:rPr>
                <w:rFonts w:ascii="Arial" w:hAnsi="Arial" w:cs="Arial"/>
                <w:b/>
                <w:bCs/>
                <w:sz w:val="22"/>
                <w:szCs w:val="22"/>
              </w:rPr>
              <w:t>Score</w:t>
            </w:r>
          </w:p>
        </w:tc>
        <w:tc>
          <w:tcPr>
            <w:tcW w:w="0" w:type="auto"/>
            <w:hideMark/>
          </w:tcPr>
          <w:p w14:paraId="79AF6921" w14:textId="77777777" w:rsidR="009548EB" w:rsidRPr="00704B44" w:rsidRDefault="009548EB" w:rsidP="009548EB">
            <w:pPr>
              <w:spacing w:after="160" w:line="278" w:lineRule="auto"/>
              <w:rPr>
                <w:rFonts w:ascii="Arial" w:hAnsi="Arial" w:cs="Arial"/>
                <w:b/>
                <w:bCs/>
                <w:sz w:val="22"/>
                <w:szCs w:val="22"/>
              </w:rPr>
            </w:pPr>
            <w:r w:rsidRPr="00704B44">
              <w:rPr>
                <w:rFonts w:ascii="Arial" w:hAnsi="Arial" w:cs="Arial"/>
                <w:b/>
                <w:bCs/>
                <w:sz w:val="22"/>
                <w:szCs w:val="22"/>
              </w:rPr>
              <w:t>Rationale</w:t>
            </w:r>
          </w:p>
        </w:tc>
      </w:tr>
      <w:tr w:rsidR="009548EB" w:rsidRPr="00704B44" w14:paraId="6825F0D9" w14:textId="77777777" w:rsidTr="009548EB">
        <w:tc>
          <w:tcPr>
            <w:tcW w:w="0" w:type="auto"/>
            <w:hideMark/>
          </w:tcPr>
          <w:p w14:paraId="79CF9D8F" w14:textId="77777777" w:rsidR="009548EB" w:rsidRPr="00704B44" w:rsidRDefault="009548EB" w:rsidP="009548EB">
            <w:pPr>
              <w:spacing w:after="160" w:line="278" w:lineRule="auto"/>
              <w:rPr>
                <w:rFonts w:ascii="Arial" w:hAnsi="Arial" w:cs="Arial"/>
                <w:b/>
                <w:bCs/>
                <w:sz w:val="22"/>
                <w:szCs w:val="22"/>
              </w:rPr>
            </w:pPr>
            <w:r w:rsidRPr="00704B44">
              <w:rPr>
                <w:rFonts w:ascii="Arial" w:hAnsi="Arial" w:cs="Arial"/>
                <w:b/>
                <w:bCs/>
                <w:sz w:val="22"/>
                <w:szCs w:val="22"/>
              </w:rPr>
              <w:t>1. Legal clarity &amp; permissibility for circular pathways</w:t>
            </w:r>
          </w:p>
        </w:tc>
        <w:tc>
          <w:tcPr>
            <w:tcW w:w="0" w:type="auto"/>
            <w:hideMark/>
          </w:tcPr>
          <w:p w14:paraId="2CDC7E45" w14:textId="77777777" w:rsidR="009548EB" w:rsidRPr="00704B44" w:rsidRDefault="009548EB" w:rsidP="009548EB">
            <w:pPr>
              <w:spacing w:after="160" w:line="278" w:lineRule="auto"/>
              <w:rPr>
                <w:rFonts w:ascii="Arial" w:hAnsi="Arial" w:cs="Arial"/>
                <w:sz w:val="22"/>
                <w:szCs w:val="22"/>
              </w:rPr>
            </w:pPr>
            <w:r w:rsidRPr="00704B44">
              <w:rPr>
                <w:rFonts w:ascii="Arial" w:hAnsi="Arial" w:cs="Arial"/>
                <w:b/>
                <w:bCs/>
                <w:sz w:val="22"/>
                <w:szCs w:val="22"/>
              </w:rPr>
              <w:t>1.00</w:t>
            </w:r>
          </w:p>
        </w:tc>
        <w:tc>
          <w:tcPr>
            <w:tcW w:w="0" w:type="auto"/>
            <w:hideMark/>
          </w:tcPr>
          <w:p w14:paraId="21E4F8B5" w14:textId="77777777" w:rsidR="009548EB" w:rsidRPr="00704B44" w:rsidRDefault="009548EB" w:rsidP="009548EB">
            <w:pPr>
              <w:spacing w:after="160" w:line="278" w:lineRule="auto"/>
              <w:rPr>
                <w:rFonts w:ascii="Arial" w:hAnsi="Arial" w:cs="Arial"/>
                <w:sz w:val="22"/>
                <w:szCs w:val="22"/>
              </w:rPr>
            </w:pPr>
            <w:r w:rsidRPr="00704B44">
              <w:rPr>
                <w:rFonts w:ascii="Arial" w:hAnsi="Arial" w:cs="Arial"/>
                <w:sz w:val="22"/>
                <w:szCs w:val="22"/>
              </w:rPr>
              <w:t xml:space="preserve">Circular pathways (reuse/preparation for reuse/recycling) are explicitly anchored: there are “minimum targets … for recycling and preparation for reuse” (Art. 19(2)).  In addition, it is operationally required to handle WEEE waste so that “optimal conditions for preparation for reuse, recycling and other recovery processes” arise. </w:t>
            </w:r>
          </w:p>
        </w:tc>
      </w:tr>
      <w:tr w:rsidR="009548EB" w:rsidRPr="00704B44" w14:paraId="66ED2F8A" w14:textId="77777777" w:rsidTr="009548EB">
        <w:tc>
          <w:tcPr>
            <w:tcW w:w="0" w:type="auto"/>
            <w:hideMark/>
          </w:tcPr>
          <w:p w14:paraId="12959E69" w14:textId="77777777" w:rsidR="009548EB" w:rsidRPr="00704B44" w:rsidRDefault="009548EB" w:rsidP="009548EB">
            <w:pPr>
              <w:spacing w:after="160" w:line="278" w:lineRule="auto"/>
              <w:rPr>
                <w:rFonts w:ascii="Arial" w:hAnsi="Arial" w:cs="Arial"/>
                <w:b/>
                <w:bCs/>
                <w:sz w:val="22"/>
                <w:szCs w:val="22"/>
              </w:rPr>
            </w:pPr>
            <w:r w:rsidRPr="00704B44">
              <w:rPr>
                <w:rFonts w:ascii="Arial" w:hAnsi="Arial" w:cs="Arial"/>
                <w:b/>
                <w:bCs/>
                <w:sz w:val="22"/>
                <w:szCs w:val="22"/>
              </w:rPr>
              <w:t>2. Additional compliance burden</w:t>
            </w:r>
          </w:p>
        </w:tc>
        <w:tc>
          <w:tcPr>
            <w:tcW w:w="0" w:type="auto"/>
            <w:hideMark/>
          </w:tcPr>
          <w:p w14:paraId="10EAD300" w14:textId="77777777" w:rsidR="009548EB" w:rsidRPr="00704B44" w:rsidRDefault="009548EB" w:rsidP="009548EB">
            <w:pPr>
              <w:spacing w:after="160" w:line="278" w:lineRule="auto"/>
              <w:rPr>
                <w:rFonts w:ascii="Arial" w:hAnsi="Arial" w:cs="Arial"/>
                <w:sz w:val="22"/>
                <w:szCs w:val="22"/>
              </w:rPr>
            </w:pPr>
            <w:r w:rsidRPr="00704B44">
              <w:rPr>
                <w:rFonts w:ascii="Arial" w:hAnsi="Arial" w:cs="Arial"/>
                <w:b/>
                <w:bCs/>
                <w:sz w:val="22"/>
                <w:szCs w:val="22"/>
              </w:rPr>
              <w:t>0.5</w:t>
            </w:r>
          </w:p>
        </w:tc>
        <w:tc>
          <w:tcPr>
            <w:tcW w:w="0" w:type="auto"/>
            <w:hideMark/>
          </w:tcPr>
          <w:p w14:paraId="1BAD6AF6" w14:textId="77777777" w:rsidR="009548EB" w:rsidRPr="00704B44" w:rsidRDefault="009548EB" w:rsidP="009548EB">
            <w:pPr>
              <w:spacing w:after="160" w:line="278" w:lineRule="auto"/>
              <w:rPr>
                <w:rFonts w:ascii="Arial" w:hAnsi="Arial" w:cs="Arial"/>
                <w:sz w:val="22"/>
                <w:szCs w:val="22"/>
              </w:rPr>
            </w:pPr>
            <w:r w:rsidRPr="00704B44">
              <w:rPr>
                <w:rFonts w:ascii="Arial" w:hAnsi="Arial" w:cs="Arial"/>
                <w:sz w:val="22"/>
                <w:szCs w:val="22"/>
              </w:rPr>
              <w:t xml:space="preserve">High EPR burden for </w:t>
            </w:r>
            <w:proofErr w:type="gramStart"/>
            <w:r w:rsidRPr="00704B44">
              <w:rPr>
                <w:rFonts w:ascii="Arial" w:hAnsi="Arial" w:cs="Arial"/>
                <w:b/>
                <w:bCs/>
                <w:sz w:val="22"/>
                <w:szCs w:val="22"/>
              </w:rPr>
              <w:t>all</w:t>
            </w:r>
            <w:r w:rsidRPr="00704B44">
              <w:rPr>
                <w:rFonts w:ascii="Arial" w:hAnsi="Arial" w:cs="Arial"/>
                <w:sz w:val="22"/>
                <w:szCs w:val="22"/>
              </w:rPr>
              <w:t xml:space="preserve">  Producer</w:t>
            </w:r>
            <w:proofErr w:type="gramEnd"/>
            <w:r w:rsidRPr="00704B44">
              <w:rPr>
                <w:rFonts w:ascii="Arial" w:hAnsi="Arial" w:cs="Arial"/>
                <w:sz w:val="22"/>
                <w:szCs w:val="22"/>
              </w:rPr>
              <w:t xml:space="preserve">: obligation to register/report „are required to register and submit data … to the </w:t>
            </w:r>
            <w:proofErr w:type="gramStart"/>
            <w:r w:rsidRPr="00704B44">
              <w:rPr>
                <w:rFonts w:ascii="Arial" w:hAnsi="Arial" w:cs="Arial"/>
                <w:sz w:val="22"/>
                <w:szCs w:val="22"/>
              </w:rPr>
              <w:t>Register“ (</w:t>
            </w:r>
            <w:proofErr w:type="gramEnd"/>
            <w:r w:rsidRPr="00704B44">
              <w:rPr>
                <w:rFonts w:ascii="Arial" w:hAnsi="Arial" w:cs="Arial"/>
                <w:sz w:val="22"/>
                <w:szCs w:val="22"/>
              </w:rPr>
              <w:t xml:space="preserve">Art. 14(1)).  </w:t>
            </w:r>
            <w:proofErr w:type="gramStart"/>
            <w:r w:rsidRPr="00704B44">
              <w:rPr>
                <w:rFonts w:ascii="Arial" w:hAnsi="Arial" w:cs="Arial"/>
                <w:sz w:val="22"/>
                <w:szCs w:val="22"/>
              </w:rPr>
              <w:t>Plus</w:t>
            </w:r>
            <w:proofErr w:type="gramEnd"/>
            <w:r w:rsidRPr="00704B44">
              <w:rPr>
                <w:rFonts w:ascii="Arial" w:hAnsi="Arial" w:cs="Arial"/>
                <w:sz w:val="22"/>
                <w:szCs w:val="22"/>
              </w:rPr>
              <w:t xml:space="preserve"> ongoing fees: “by paying the waste-management fee into the Fund’s account” (Art. 20(1)), plus monthly reporting „</w:t>
            </w:r>
            <w:proofErr w:type="spellStart"/>
            <w:r w:rsidRPr="00704B44">
              <w:rPr>
                <w:rFonts w:ascii="Arial" w:hAnsi="Arial" w:cs="Arial"/>
                <w:sz w:val="22"/>
                <w:szCs w:val="22"/>
              </w:rPr>
              <w:t>jednom</w:t>
            </w:r>
            <w:proofErr w:type="spellEnd"/>
            <w:r w:rsidRPr="00704B44">
              <w:rPr>
                <w:rFonts w:ascii="Arial" w:hAnsi="Arial" w:cs="Arial"/>
                <w:sz w:val="22"/>
                <w:szCs w:val="22"/>
              </w:rPr>
              <w:t xml:space="preserve"> </w:t>
            </w:r>
            <w:proofErr w:type="spellStart"/>
            <w:r w:rsidRPr="00704B44">
              <w:rPr>
                <w:rFonts w:ascii="Arial" w:hAnsi="Arial" w:cs="Arial"/>
                <w:sz w:val="22"/>
                <w:szCs w:val="22"/>
              </w:rPr>
              <w:t>mjesečno</w:t>
            </w:r>
            <w:proofErr w:type="spellEnd"/>
            <w:r w:rsidRPr="00704B44">
              <w:rPr>
                <w:rFonts w:ascii="Arial" w:hAnsi="Arial" w:cs="Arial"/>
                <w:sz w:val="22"/>
                <w:szCs w:val="22"/>
              </w:rPr>
              <w:t xml:space="preserve">, by the 20th of the </w:t>
            </w:r>
            <w:proofErr w:type="gramStart"/>
            <w:r w:rsidRPr="00704B44">
              <w:rPr>
                <w:rFonts w:ascii="Arial" w:hAnsi="Arial" w:cs="Arial"/>
                <w:sz w:val="22"/>
                <w:szCs w:val="22"/>
              </w:rPr>
              <w:t>month“ (</w:t>
            </w:r>
            <w:proofErr w:type="gramEnd"/>
            <w:r w:rsidRPr="00704B44">
              <w:rPr>
                <w:rFonts w:ascii="Arial" w:hAnsi="Arial" w:cs="Arial"/>
                <w:sz w:val="22"/>
                <w:szCs w:val="22"/>
              </w:rPr>
              <w:t xml:space="preserve">Art. 20(7)). </w:t>
            </w:r>
          </w:p>
        </w:tc>
      </w:tr>
      <w:tr w:rsidR="009548EB" w:rsidRPr="00704B44" w14:paraId="7C17CF70" w14:textId="77777777" w:rsidTr="009548EB">
        <w:tc>
          <w:tcPr>
            <w:tcW w:w="0" w:type="auto"/>
            <w:hideMark/>
          </w:tcPr>
          <w:p w14:paraId="3445A89C" w14:textId="77777777" w:rsidR="009548EB" w:rsidRPr="00704B44" w:rsidRDefault="009548EB" w:rsidP="009548EB">
            <w:pPr>
              <w:spacing w:after="160" w:line="278" w:lineRule="auto"/>
              <w:rPr>
                <w:rFonts w:ascii="Arial" w:hAnsi="Arial" w:cs="Arial"/>
                <w:b/>
                <w:bCs/>
                <w:sz w:val="22"/>
                <w:szCs w:val="22"/>
              </w:rPr>
            </w:pPr>
            <w:r w:rsidRPr="00704B44">
              <w:rPr>
                <w:rFonts w:ascii="Arial" w:hAnsi="Arial" w:cs="Arial"/>
                <w:b/>
                <w:bCs/>
                <w:sz w:val="22"/>
                <w:szCs w:val="22"/>
              </w:rPr>
              <w:t>3. Incentives (for manufacturers/companies)</w:t>
            </w:r>
          </w:p>
        </w:tc>
        <w:tc>
          <w:tcPr>
            <w:tcW w:w="0" w:type="auto"/>
            <w:hideMark/>
          </w:tcPr>
          <w:p w14:paraId="6F623C97" w14:textId="77777777" w:rsidR="009548EB" w:rsidRPr="00704B44" w:rsidRDefault="009548EB" w:rsidP="009548EB">
            <w:pPr>
              <w:spacing w:after="160" w:line="278" w:lineRule="auto"/>
              <w:rPr>
                <w:rFonts w:ascii="Arial" w:hAnsi="Arial" w:cs="Arial"/>
                <w:sz w:val="22"/>
                <w:szCs w:val="22"/>
              </w:rPr>
            </w:pPr>
            <w:r w:rsidRPr="00704B44">
              <w:rPr>
                <w:rFonts w:ascii="Arial" w:hAnsi="Arial" w:cs="Arial"/>
                <w:b/>
                <w:bCs/>
                <w:sz w:val="22"/>
                <w:szCs w:val="22"/>
              </w:rPr>
              <w:t>0.75</w:t>
            </w:r>
          </w:p>
        </w:tc>
        <w:tc>
          <w:tcPr>
            <w:tcW w:w="0" w:type="auto"/>
            <w:hideMark/>
          </w:tcPr>
          <w:p w14:paraId="26BB577B" w14:textId="77777777" w:rsidR="009548EB" w:rsidRPr="00704B44" w:rsidRDefault="009548EB" w:rsidP="009548EB">
            <w:pPr>
              <w:spacing w:after="160" w:line="278" w:lineRule="auto"/>
              <w:rPr>
                <w:rFonts w:ascii="Arial" w:hAnsi="Arial" w:cs="Arial"/>
                <w:sz w:val="22"/>
                <w:szCs w:val="22"/>
              </w:rPr>
            </w:pPr>
            <w:r w:rsidRPr="00704B44">
              <w:rPr>
                <w:rFonts w:ascii="Arial" w:hAnsi="Arial" w:cs="Arial"/>
                <w:sz w:val="22"/>
                <w:szCs w:val="22"/>
              </w:rPr>
              <w:t xml:space="preserve">No explicit bonus/malus eco-modulation in the excerpt, but clear indirect cost pressure via </w:t>
            </w:r>
            <w:proofErr w:type="spellStart"/>
            <w:r w:rsidRPr="00704B44">
              <w:rPr>
                <w:rFonts w:ascii="Arial" w:hAnsi="Arial" w:cs="Arial"/>
                <w:sz w:val="22"/>
                <w:szCs w:val="22"/>
              </w:rPr>
              <w:t>producerer</w:t>
            </w:r>
            <w:proofErr w:type="spellEnd"/>
            <w:r w:rsidRPr="00704B44">
              <w:rPr>
                <w:rFonts w:ascii="Arial" w:hAnsi="Arial" w:cs="Arial"/>
                <w:sz w:val="22"/>
                <w:szCs w:val="22"/>
              </w:rPr>
              <w:t xml:space="preserve">-funded waste management: Producers meet their target contributions “proportionate to quantity … by paying a fee” (Art. 20(1)). In addition, the system logic is explicitly oriented toward “promoting … reuse … recycling and recovery” (Art. 14(1)) – however without a clear financial “bonus” for circular design. </w:t>
            </w:r>
          </w:p>
        </w:tc>
      </w:tr>
      <w:tr w:rsidR="009548EB" w:rsidRPr="00704B44" w14:paraId="3C4B55FD" w14:textId="77777777" w:rsidTr="009548EB">
        <w:tc>
          <w:tcPr>
            <w:tcW w:w="0" w:type="auto"/>
            <w:hideMark/>
          </w:tcPr>
          <w:p w14:paraId="387E0003" w14:textId="77777777" w:rsidR="009548EB" w:rsidRPr="00704B44" w:rsidRDefault="009548EB" w:rsidP="009548EB">
            <w:pPr>
              <w:spacing w:after="160" w:line="278" w:lineRule="auto"/>
              <w:rPr>
                <w:rFonts w:ascii="Arial" w:hAnsi="Arial" w:cs="Arial"/>
                <w:b/>
                <w:bCs/>
                <w:sz w:val="22"/>
                <w:szCs w:val="22"/>
              </w:rPr>
            </w:pPr>
            <w:r w:rsidRPr="00704B44">
              <w:rPr>
                <w:rFonts w:ascii="Arial" w:hAnsi="Arial" w:cs="Arial"/>
                <w:b/>
                <w:bCs/>
                <w:sz w:val="22"/>
                <w:szCs w:val="22"/>
              </w:rPr>
              <w:t>4. Data, traceability and information impact</w:t>
            </w:r>
          </w:p>
        </w:tc>
        <w:tc>
          <w:tcPr>
            <w:tcW w:w="0" w:type="auto"/>
            <w:hideMark/>
          </w:tcPr>
          <w:p w14:paraId="54D34489" w14:textId="77777777" w:rsidR="009548EB" w:rsidRPr="00704B44" w:rsidRDefault="009548EB" w:rsidP="009548EB">
            <w:pPr>
              <w:spacing w:after="160" w:line="278" w:lineRule="auto"/>
              <w:rPr>
                <w:rFonts w:ascii="Arial" w:hAnsi="Arial" w:cs="Arial"/>
                <w:sz w:val="22"/>
                <w:szCs w:val="22"/>
              </w:rPr>
            </w:pPr>
            <w:r w:rsidRPr="00704B44">
              <w:rPr>
                <w:rFonts w:ascii="Arial" w:hAnsi="Arial" w:cs="Arial"/>
                <w:b/>
                <w:bCs/>
                <w:sz w:val="22"/>
                <w:szCs w:val="22"/>
              </w:rPr>
              <w:t>0.75</w:t>
            </w:r>
          </w:p>
        </w:tc>
        <w:tc>
          <w:tcPr>
            <w:tcW w:w="0" w:type="auto"/>
            <w:hideMark/>
          </w:tcPr>
          <w:p w14:paraId="47F9269E" w14:textId="77777777" w:rsidR="009548EB" w:rsidRPr="00704B44" w:rsidRDefault="009548EB" w:rsidP="009548EB">
            <w:pPr>
              <w:spacing w:after="160" w:line="278" w:lineRule="auto"/>
              <w:rPr>
                <w:rFonts w:ascii="Arial" w:hAnsi="Arial" w:cs="Arial"/>
                <w:sz w:val="22"/>
                <w:szCs w:val="22"/>
              </w:rPr>
            </w:pPr>
            <w:r w:rsidRPr="00704B44">
              <w:rPr>
                <w:rFonts w:ascii="Arial" w:hAnsi="Arial" w:cs="Arial"/>
                <w:sz w:val="22"/>
                <w:szCs w:val="22"/>
              </w:rPr>
              <w:t xml:space="preserve">Strong register/data regime: producers receive a “unique registration number” (Art. 14(3)) and public register data “must be available” (Art. 14(5)). In addition, concrete information obligations for reuse/treatment: the producer must provide “information on preparation for reuse and treatment” (Art. 24(1)). </w:t>
            </w:r>
          </w:p>
        </w:tc>
      </w:tr>
      <w:tr w:rsidR="009548EB" w:rsidRPr="00704B44" w14:paraId="6988DA30" w14:textId="77777777" w:rsidTr="009548EB">
        <w:tc>
          <w:tcPr>
            <w:tcW w:w="0" w:type="auto"/>
            <w:hideMark/>
          </w:tcPr>
          <w:p w14:paraId="312E958A" w14:textId="77777777" w:rsidR="009548EB" w:rsidRPr="00704B44" w:rsidRDefault="009548EB" w:rsidP="009548EB">
            <w:pPr>
              <w:spacing w:after="160" w:line="278" w:lineRule="auto"/>
              <w:rPr>
                <w:rFonts w:ascii="Arial" w:hAnsi="Arial" w:cs="Arial"/>
                <w:b/>
                <w:bCs/>
                <w:sz w:val="22"/>
                <w:szCs w:val="22"/>
              </w:rPr>
            </w:pPr>
            <w:r w:rsidRPr="00704B44">
              <w:rPr>
                <w:rFonts w:ascii="Arial" w:hAnsi="Arial" w:cs="Arial"/>
                <w:b/>
                <w:bCs/>
                <w:sz w:val="22"/>
                <w:szCs w:val="22"/>
              </w:rPr>
              <w:t xml:space="preserve">5. Operationalizability / Practical </w:t>
            </w:r>
            <w:proofErr w:type="spellStart"/>
            <w:r w:rsidRPr="00704B44">
              <w:rPr>
                <w:rFonts w:ascii="Arial" w:hAnsi="Arial" w:cs="Arial"/>
                <w:b/>
                <w:bCs/>
                <w:sz w:val="22"/>
                <w:szCs w:val="22"/>
              </w:rPr>
              <w:t>implementability</w:t>
            </w:r>
            <w:proofErr w:type="spellEnd"/>
          </w:p>
        </w:tc>
        <w:tc>
          <w:tcPr>
            <w:tcW w:w="0" w:type="auto"/>
            <w:hideMark/>
          </w:tcPr>
          <w:p w14:paraId="632BA5AC" w14:textId="77777777" w:rsidR="009548EB" w:rsidRPr="00704B44" w:rsidRDefault="009548EB" w:rsidP="009548EB">
            <w:pPr>
              <w:spacing w:after="160" w:line="278" w:lineRule="auto"/>
              <w:rPr>
                <w:rFonts w:ascii="Arial" w:hAnsi="Arial" w:cs="Arial"/>
                <w:sz w:val="22"/>
                <w:szCs w:val="22"/>
              </w:rPr>
            </w:pPr>
            <w:r w:rsidRPr="00704B44">
              <w:rPr>
                <w:rFonts w:ascii="Arial" w:hAnsi="Arial" w:cs="Arial"/>
                <w:b/>
                <w:bCs/>
                <w:sz w:val="22"/>
                <w:szCs w:val="22"/>
              </w:rPr>
              <w:t>0.75</w:t>
            </w:r>
          </w:p>
        </w:tc>
        <w:tc>
          <w:tcPr>
            <w:tcW w:w="0" w:type="auto"/>
            <w:hideMark/>
          </w:tcPr>
          <w:p w14:paraId="1C7FAFD2" w14:textId="77777777" w:rsidR="009548EB" w:rsidRPr="00704B44" w:rsidRDefault="009548EB" w:rsidP="009548EB">
            <w:pPr>
              <w:spacing w:after="160" w:line="278" w:lineRule="auto"/>
              <w:rPr>
                <w:rFonts w:ascii="Arial" w:hAnsi="Arial" w:cs="Arial"/>
                <w:sz w:val="22"/>
                <w:szCs w:val="22"/>
              </w:rPr>
            </w:pPr>
            <w:r w:rsidRPr="00704B44">
              <w:rPr>
                <w:rFonts w:ascii="Arial" w:hAnsi="Arial" w:cs="Arial"/>
                <w:sz w:val="22"/>
                <w:szCs w:val="22"/>
              </w:rPr>
              <w:t>Processes/roles/deadlines are largely clear: oversight/monitoring “is supervised by the Customs Administration” (Art. 20(2)). Reporting deadlines “by the 20th of the month” (Art. 20(7)) and annual data collection by the fund “The Fund is obliged … to collect data” (Art. 35(1)). At the same time, detailed processes are partly delegated to fund guidance (“The Fund, by instruction, … publishes”, Art. 15(8)/20(8)), which creates some need for interpretation/</w:t>
            </w:r>
            <w:proofErr w:type="gramStart"/>
            <w:r w:rsidRPr="00704B44">
              <w:rPr>
                <w:rFonts w:ascii="Arial" w:hAnsi="Arial" w:cs="Arial"/>
                <w:sz w:val="22"/>
                <w:szCs w:val="22"/>
              </w:rPr>
              <w:t>implementation..</w:t>
            </w:r>
            <w:proofErr w:type="gramEnd"/>
          </w:p>
        </w:tc>
      </w:tr>
    </w:tbl>
    <w:p w14:paraId="4227478B" w14:textId="77777777" w:rsidR="009548EB" w:rsidRPr="00704B44" w:rsidRDefault="00C062F8">
      <w:pPr>
        <w:rPr>
          <w:rFonts w:ascii="Arial" w:hAnsi="Arial" w:cs="Arial"/>
          <w:sz w:val="22"/>
          <w:szCs w:val="22"/>
          <w:lang w:val="de-DE"/>
        </w:rPr>
      </w:pPr>
      <m:oMathPara>
        <m:oMath>
          <m:r>
            <w:rPr>
              <w:rFonts w:ascii="Cambria Math" w:hAnsi="Cambria Math" w:cs="Arial"/>
              <w:sz w:val="22"/>
              <w:szCs w:val="22"/>
            </w:rPr>
            <m:t>Q=</m:t>
          </m:r>
          <m:r>
            <m:rPr>
              <m:sty m:val="p"/>
            </m:rPr>
            <w:rPr>
              <w:rFonts w:ascii="Cambria Math" w:hAnsi="Cambria Math" w:cs="Arial"/>
              <w:sz w:val="22"/>
              <w:szCs w:val="22"/>
            </w:rPr>
            <m:t>0,3399</m:t>
          </m:r>
          <m:r>
            <w:rPr>
              <w:rFonts w:ascii="Cambria Math" w:hAnsi="Cambria Math" w:cs="Arial"/>
              <w:sz w:val="22"/>
              <w:szCs w:val="22"/>
            </w:rPr>
            <m:t>⋅</m:t>
          </m:r>
          <m:r>
            <m:rPr>
              <m:sty m:val="p"/>
            </m:rPr>
            <w:rPr>
              <w:rFonts w:ascii="Cambria Math" w:hAnsi="Cambria Math" w:cs="Arial"/>
              <w:sz w:val="22"/>
              <w:szCs w:val="22"/>
            </w:rPr>
            <m:t>1</m:t>
          </m:r>
          <m:r>
            <w:rPr>
              <w:rFonts w:ascii="Cambria Math" w:hAnsi="Cambria Math" w:cs="Arial"/>
              <w:sz w:val="22"/>
              <w:szCs w:val="22"/>
            </w:rPr>
            <m:t>+</m:t>
          </m:r>
          <m:r>
            <m:rPr>
              <m:sty m:val="p"/>
            </m:rPr>
            <w:rPr>
              <w:rFonts w:ascii="Cambria Math" w:hAnsi="Cambria Math" w:cs="Arial"/>
              <w:sz w:val="22"/>
              <w:szCs w:val="22"/>
            </w:rPr>
            <m:t>0,1235</m:t>
          </m:r>
          <m:r>
            <w:rPr>
              <w:rFonts w:ascii="Cambria Math" w:hAnsi="Cambria Math" w:cs="Arial"/>
              <w:sz w:val="22"/>
              <w:szCs w:val="22"/>
            </w:rPr>
            <m:t>⋅</m:t>
          </m:r>
          <m:r>
            <m:rPr>
              <m:sty m:val="p"/>
            </m:rPr>
            <w:rPr>
              <w:rFonts w:ascii="Cambria Math" w:hAnsi="Cambria Math" w:cs="Arial"/>
              <w:sz w:val="22"/>
              <w:szCs w:val="22"/>
            </w:rPr>
            <m:t>0,5</m:t>
          </m:r>
          <m:r>
            <w:rPr>
              <w:rFonts w:ascii="Cambria Math" w:hAnsi="Cambria Math" w:cs="Arial"/>
              <w:sz w:val="22"/>
              <w:szCs w:val="22"/>
            </w:rPr>
            <m:t>+</m:t>
          </m:r>
          <m:r>
            <m:rPr>
              <m:sty m:val="p"/>
            </m:rPr>
            <w:rPr>
              <w:rFonts w:ascii="Cambria Math" w:hAnsi="Cambria Math" w:cs="Arial"/>
              <w:sz w:val="22"/>
              <w:szCs w:val="22"/>
            </w:rPr>
            <m:t>0,0732</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0,1235</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0,3399</m:t>
          </m:r>
          <m:r>
            <w:rPr>
              <w:rFonts w:ascii="Cambria Math" w:hAnsi="Cambria Math" w:cs="Arial"/>
              <w:sz w:val="22"/>
              <w:szCs w:val="22"/>
            </w:rPr>
            <m:t>⋅</m:t>
          </m:r>
          <m:r>
            <m:rPr>
              <m:sty m:val="p"/>
            </m:rPr>
            <w:rPr>
              <w:rFonts w:ascii="Cambria Math" w:hAnsi="Cambria Math" w:cs="Arial"/>
              <w:sz w:val="22"/>
              <w:szCs w:val="22"/>
            </w:rPr>
            <m:t>0,75</m:t>
          </m:r>
          <m:r>
            <w:rPr>
              <w:rFonts w:ascii="Cambria Math" w:hAnsi="Cambria Math" w:cs="Arial"/>
              <w:sz w:val="22"/>
              <w:szCs w:val="22"/>
            </w:rPr>
            <m:t>=</m:t>
          </m:r>
          <m:r>
            <m:rPr>
              <m:sty m:val="p"/>
            </m:rPr>
            <w:rPr>
              <w:rFonts w:ascii="Cambria Math" w:hAnsi="Cambria Math" w:cs="Arial"/>
              <w:sz w:val="22"/>
              <w:szCs w:val="22"/>
            </w:rPr>
            <m:t>0,804</m:t>
          </m:r>
        </m:oMath>
      </m:oMathPara>
    </w:p>
    <w:sectPr w:rsidR="009548EB" w:rsidRPr="00704B44" w:rsidSect="00704B4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21575" w14:textId="77777777" w:rsidR="002F307D" w:rsidRDefault="002F307D">
      <w:pPr>
        <w:spacing w:after="0" w:line="240" w:lineRule="auto"/>
      </w:pPr>
      <w:r>
        <w:separator/>
      </w:r>
    </w:p>
  </w:endnote>
  <w:endnote w:type="continuationSeparator" w:id="0">
    <w:p w14:paraId="7597D978" w14:textId="77777777" w:rsidR="002F307D" w:rsidRDefault="002F3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04DD1" w14:textId="77777777" w:rsidR="002F307D" w:rsidRDefault="002F307D">
      <w:pPr>
        <w:spacing w:after="0" w:line="240" w:lineRule="auto"/>
      </w:pPr>
      <w:r>
        <w:separator/>
      </w:r>
    </w:p>
  </w:footnote>
  <w:footnote w:type="continuationSeparator" w:id="0">
    <w:p w14:paraId="1D9FBD53" w14:textId="77777777" w:rsidR="002F307D" w:rsidRDefault="002F30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9A2"/>
    <w:multiLevelType w:val="multilevel"/>
    <w:tmpl w:val="2C96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80102"/>
    <w:multiLevelType w:val="hybridMultilevel"/>
    <w:tmpl w:val="30EE9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46060F"/>
    <w:multiLevelType w:val="hybridMultilevel"/>
    <w:tmpl w:val="4F247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33CF1"/>
    <w:multiLevelType w:val="hybridMultilevel"/>
    <w:tmpl w:val="DCDA21F4"/>
    <w:lvl w:ilvl="0" w:tplc="3ECC881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D2508"/>
    <w:multiLevelType w:val="multilevel"/>
    <w:tmpl w:val="A0B2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26015"/>
    <w:multiLevelType w:val="multilevel"/>
    <w:tmpl w:val="BC5C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10139">
    <w:abstractNumId w:val="3"/>
  </w:num>
  <w:num w:numId="2" w16cid:durableId="886641881">
    <w:abstractNumId w:val="2"/>
  </w:num>
  <w:num w:numId="3" w16cid:durableId="456994829">
    <w:abstractNumId w:val="5"/>
  </w:num>
  <w:num w:numId="4" w16cid:durableId="102071728">
    <w:abstractNumId w:val="4"/>
  </w:num>
  <w:num w:numId="5" w16cid:durableId="419330653">
    <w:abstractNumId w:val="1"/>
  </w:num>
  <w:num w:numId="6" w16cid:durableId="2002922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E6C"/>
    <w:rsid w:val="0002205B"/>
    <w:rsid w:val="00095AC0"/>
    <w:rsid w:val="000E16E2"/>
    <w:rsid w:val="001A48EB"/>
    <w:rsid w:val="002621BC"/>
    <w:rsid w:val="00285223"/>
    <w:rsid w:val="002F307D"/>
    <w:rsid w:val="00312048"/>
    <w:rsid w:val="0039529A"/>
    <w:rsid w:val="003C6DDA"/>
    <w:rsid w:val="005C39CD"/>
    <w:rsid w:val="0061390D"/>
    <w:rsid w:val="006C490C"/>
    <w:rsid w:val="00704B44"/>
    <w:rsid w:val="00844E70"/>
    <w:rsid w:val="00882413"/>
    <w:rsid w:val="008A3907"/>
    <w:rsid w:val="009274E1"/>
    <w:rsid w:val="009548EB"/>
    <w:rsid w:val="00975E16"/>
    <w:rsid w:val="009B5DA1"/>
    <w:rsid w:val="00A84E6C"/>
    <w:rsid w:val="00BC2120"/>
    <w:rsid w:val="00C062F8"/>
    <w:rsid w:val="00C215B0"/>
    <w:rsid w:val="00CD3143"/>
    <w:rsid w:val="00FD28D9"/>
    <w:rsid w:val="00FE164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30E8F"/>
  <w15:chartTrackingRefBased/>
  <w15:docId w15:val="{71DFCF60-6BA4-478F-86E6-063842B1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E6C"/>
  </w:style>
  <w:style w:type="paragraph" w:styleId="Heading1">
    <w:name w:val="heading 1"/>
    <w:basedOn w:val="Normal"/>
    <w:next w:val="Normal"/>
    <w:link w:val="Heading1Char"/>
    <w:uiPriority w:val="9"/>
    <w:qFormat/>
    <w:rsid w:val="00A84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E6C"/>
    <w:rPr>
      <w:rFonts w:eastAsiaTheme="majorEastAsia" w:cstheme="majorBidi"/>
      <w:color w:val="272727" w:themeColor="text1" w:themeTint="D8"/>
    </w:rPr>
  </w:style>
  <w:style w:type="paragraph" w:styleId="Title">
    <w:name w:val="Title"/>
    <w:basedOn w:val="Normal"/>
    <w:next w:val="Normal"/>
    <w:link w:val="TitleChar"/>
    <w:uiPriority w:val="10"/>
    <w:qFormat/>
    <w:rsid w:val="00A84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E6C"/>
    <w:pPr>
      <w:spacing w:before="160"/>
      <w:jc w:val="center"/>
    </w:pPr>
    <w:rPr>
      <w:i/>
      <w:iCs/>
      <w:color w:val="404040" w:themeColor="text1" w:themeTint="BF"/>
    </w:rPr>
  </w:style>
  <w:style w:type="character" w:customStyle="1" w:styleId="QuoteChar">
    <w:name w:val="Quote Char"/>
    <w:basedOn w:val="DefaultParagraphFont"/>
    <w:link w:val="Quote"/>
    <w:uiPriority w:val="29"/>
    <w:rsid w:val="00A84E6C"/>
    <w:rPr>
      <w:i/>
      <w:iCs/>
      <w:color w:val="404040" w:themeColor="text1" w:themeTint="BF"/>
    </w:rPr>
  </w:style>
  <w:style w:type="paragraph" w:styleId="ListParagraph">
    <w:name w:val="List Paragraph"/>
    <w:basedOn w:val="Normal"/>
    <w:uiPriority w:val="34"/>
    <w:qFormat/>
    <w:rsid w:val="00A84E6C"/>
    <w:pPr>
      <w:ind w:left="720"/>
      <w:contextualSpacing/>
    </w:pPr>
  </w:style>
  <w:style w:type="character" w:styleId="IntenseEmphasis">
    <w:name w:val="Intense Emphasis"/>
    <w:basedOn w:val="DefaultParagraphFont"/>
    <w:uiPriority w:val="21"/>
    <w:qFormat/>
    <w:rsid w:val="00A84E6C"/>
    <w:rPr>
      <w:i/>
      <w:iCs/>
      <w:color w:val="0F4761" w:themeColor="accent1" w:themeShade="BF"/>
    </w:rPr>
  </w:style>
  <w:style w:type="paragraph" w:styleId="IntenseQuote">
    <w:name w:val="Intense Quote"/>
    <w:basedOn w:val="Normal"/>
    <w:next w:val="Normal"/>
    <w:link w:val="IntenseQuoteChar"/>
    <w:uiPriority w:val="30"/>
    <w:qFormat/>
    <w:rsid w:val="00A84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E6C"/>
    <w:rPr>
      <w:i/>
      <w:iCs/>
      <w:color w:val="0F4761" w:themeColor="accent1" w:themeShade="BF"/>
    </w:rPr>
  </w:style>
  <w:style w:type="character" w:styleId="IntenseReference">
    <w:name w:val="Intense Reference"/>
    <w:basedOn w:val="DefaultParagraphFont"/>
    <w:uiPriority w:val="32"/>
    <w:qFormat/>
    <w:rsid w:val="00A84E6C"/>
    <w:rPr>
      <w:b/>
      <w:bCs/>
      <w:smallCaps/>
      <w:color w:val="0F4761" w:themeColor="accent1" w:themeShade="BF"/>
      <w:spacing w:val="5"/>
    </w:rPr>
  </w:style>
  <w:style w:type="character" w:styleId="Hyperlink">
    <w:name w:val="Hyperlink"/>
    <w:basedOn w:val="DefaultParagraphFont"/>
    <w:uiPriority w:val="99"/>
    <w:unhideWhenUsed/>
    <w:rsid w:val="00A84E6C"/>
    <w:rPr>
      <w:color w:val="467886" w:themeColor="hyperlink"/>
      <w:u w:val="single"/>
    </w:rPr>
  </w:style>
  <w:style w:type="table" w:styleId="TableGridLight">
    <w:name w:val="Grid Table Light"/>
    <w:basedOn w:val="TableNormal"/>
    <w:uiPriority w:val="40"/>
    <w:rsid w:val="00A84E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84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84E6C"/>
    <w:rPr>
      <w:color w:val="605E5C"/>
      <w:shd w:val="clear" w:color="auto" w:fill="E1DFDD"/>
    </w:rPr>
  </w:style>
  <w:style w:type="character" w:styleId="FollowedHyperlink">
    <w:name w:val="FollowedHyperlink"/>
    <w:basedOn w:val="DefaultParagraphFont"/>
    <w:uiPriority w:val="99"/>
    <w:semiHidden/>
    <w:unhideWhenUsed/>
    <w:rsid w:val="00A84E6C"/>
    <w:rPr>
      <w:color w:val="96607D" w:themeColor="followedHyperlink"/>
      <w:u w:val="single"/>
    </w:rPr>
  </w:style>
  <w:style w:type="paragraph" w:styleId="Header">
    <w:name w:val="header"/>
    <w:basedOn w:val="Normal"/>
    <w:link w:val="HeaderChar"/>
    <w:uiPriority w:val="99"/>
    <w:unhideWhenUsed/>
    <w:rsid w:val="00FE164D"/>
    <w:pPr>
      <w:tabs>
        <w:tab w:val="center" w:pos="4703"/>
        <w:tab w:val="right" w:pos="9406"/>
      </w:tabs>
      <w:spacing w:after="0" w:line="240" w:lineRule="auto"/>
    </w:pPr>
  </w:style>
  <w:style w:type="character" w:customStyle="1" w:styleId="HeaderChar">
    <w:name w:val="Header Char"/>
    <w:basedOn w:val="DefaultParagraphFont"/>
    <w:link w:val="Header"/>
    <w:uiPriority w:val="99"/>
    <w:rsid w:val="00FE164D"/>
  </w:style>
  <w:style w:type="paragraph" w:styleId="Footer">
    <w:name w:val="footer"/>
    <w:basedOn w:val="Normal"/>
    <w:link w:val="FooterChar"/>
    <w:uiPriority w:val="99"/>
    <w:unhideWhenUsed/>
    <w:rsid w:val="00FE164D"/>
    <w:pPr>
      <w:tabs>
        <w:tab w:val="center" w:pos="4703"/>
        <w:tab w:val="right" w:pos="9406"/>
      </w:tabs>
      <w:spacing w:after="0" w:line="240" w:lineRule="auto"/>
    </w:pPr>
  </w:style>
  <w:style w:type="character" w:customStyle="1" w:styleId="FooterChar">
    <w:name w:val="Footer Char"/>
    <w:basedOn w:val="DefaultParagraphFont"/>
    <w:link w:val="Footer"/>
    <w:uiPriority w:val="99"/>
    <w:rsid w:val="00FE1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server.bundestag.de/brd/2025/0775-25.pdf" TargetMode="External"/><Relationship Id="rId13" Type="http://schemas.openxmlformats.org/officeDocument/2006/relationships/hyperlink" Target="https://www.ema.europa.eu/en/documents/regulatory-procedural-guideline/report-chmp-working-group-benefit-risk-assessment-models-and-methods_en.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ur-lex.europa.eu/legal-content/EN/ALL/?uri=CELEX%3A32017R0746&amp;utm_source=chatgpt.com" TargetMode="External"/><Relationship Id="rId12" Type="http://schemas.openxmlformats.org/officeDocument/2006/relationships/hyperlink" Target="https://link.springer.com/article/10.1007/s40258-015-0203-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setze-im-internet.de/mpdg/BJNR096010020.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med.ncbi.nlm.nih.gov/26797229/" TargetMode="External"/><Relationship Id="rId5" Type="http://schemas.openxmlformats.org/officeDocument/2006/relationships/footnotes" Target="footnotes.xml"/><Relationship Id="rId15" Type="http://schemas.openxmlformats.org/officeDocument/2006/relationships/hyperlink" Target="https://eur-lex.europa.eu/legal-content/EN/ALL/?uri=CELEX%3A32017R0745&amp;utm_source=chatgpt.com" TargetMode="External"/><Relationship Id="rId10" Type="http://schemas.openxmlformats.org/officeDocument/2006/relationships/hyperlink" Target="https://link.springer.com/article/10.1007/s40273-014-0135-0" TargetMode="External"/><Relationship Id="rId4" Type="http://schemas.openxmlformats.org/officeDocument/2006/relationships/webSettings" Target="webSettings.xml"/><Relationship Id="rId9" Type="http://schemas.openxmlformats.org/officeDocument/2006/relationships/hyperlink" Target="https://stm.dk/media/qqhoewvs/lovgivning-folketingsaaret-2025-2026.pdf" TargetMode="External"/><Relationship Id="rId14" Type="http://schemas.openxmlformats.org/officeDocument/2006/relationships/hyperlink" Target="https://www.oecd.org/content/dam/oecd/en/publications/reports/2005/08/handbook-on-constructing-composite-indicators_g17a16e3/533411815016.pdf"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3169</Words>
  <Characters>18067</Characters>
  <Application>Microsoft Office Word</Application>
  <DocSecurity>0</DocSecurity>
  <Lines>150</Lines>
  <Paragraphs>42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Petke</dc:creator>
  <cp:keywords/>
  <dc:description/>
  <cp:lastModifiedBy>DDIG9HCtlrDohz2s</cp:lastModifiedBy>
  <cp:revision>6</cp:revision>
  <dcterms:created xsi:type="dcterms:W3CDTF">2026-01-18T13:13:00Z</dcterms:created>
  <dcterms:modified xsi:type="dcterms:W3CDTF">2026-06-21T17:10:00Z</dcterms:modified>
</cp:coreProperties>
</file>