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1CF" w:rsidRPr="009E11CF" w:rsidRDefault="009E11CF" w:rsidP="009E11CF">
      <w:pPr>
        <w:widowControl w:val="0"/>
        <w:adjustRightInd w:val="0"/>
        <w:spacing w:after="0" w:line="276" w:lineRule="auto"/>
        <w:jc w:val="center"/>
        <w:textAlignment w:val="baseline"/>
        <w:rPr>
          <w:rFonts w:ascii="Calisto MT" w:eastAsia="Times New Roman" w:hAnsi="Calisto MT" w:cs="Arial"/>
          <w:b/>
          <w:sz w:val="22"/>
          <w:szCs w:val="24"/>
          <w:u w:val="single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u w:val="single"/>
          <w:lang w:eastAsia="pt-BR"/>
        </w:rPr>
        <w:t>PARECER JURÍDICO</w:t>
      </w:r>
    </w:p>
    <w:p w:rsidR="009E11CF" w:rsidRPr="009E11CF" w:rsidRDefault="009E11CF" w:rsidP="009E11CF">
      <w:pPr>
        <w:widowControl w:val="0"/>
        <w:adjustRightInd w:val="0"/>
        <w:spacing w:after="0" w:line="276" w:lineRule="auto"/>
        <w:jc w:val="center"/>
        <w:textAlignment w:val="baseline"/>
        <w:rPr>
          <w:rFonts w:ascii="Calisto MT" w:eastAsia="Times New Roman" w:hAnsi="Calisto MT" w:cs="Arial"/>
          <w:sz w:val="22"/>
          <w:szCs w:val="24"/>
          <w:u w:val="single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360" w:lineRule="auto"/>
        <w:jc w:val="both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_____________________________________________________________________________________</w:t>
      </w: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_______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 xml:space="preserve">REQUERENTE: 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Secretaria Municipal de Compras e Licitação.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ASSUNTO: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 [ASSUNTO].</w:t>
      </w:r>
    </w:p>
    <w:p w:rsidR="00DE63D3" w:rsidRDefault="009E11CF" w:rsidP="009E11CF">
      <w:pPr>
        <w:widowControl w:val="0"/>
        <w:adjustRightInd w:val="0"/>
        <w:spacing w:after="0" w:line="240" w:lineRule="auto"/>
        <w:textAlignment w:val="baseline"/>
        <w:rPr>
          <w:rFonts w:ascii="Calisto MT" w:eastAsia="Times New Roman" w:hAnsi="Calisto MT" w:cs="Arial"/>
          <w:b/>
          <w:bCs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bCs/>
          <w:sz w:val="22"/>
          <w:szCs w:val="24"/>
          <w:lang w:eastAsia="pt-BR"/>
        </w:rPr>
        <w:t>REFERÊNCIA: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 </w:t>
      </w:r>
      <w:r w:rsidRPr="009E11CF">
        <w:rPr>
          <w:rFonts w:ascii="Calisto MT" w:eastAsia="Times New Roman" w:hAnsi="Calisto MT" w:cs="Arial"/>
          <w:b/>
          <w:bCs/>
          <w:sz w:val="22"/>
          <w:szCs w:val="24"/>
          <w:lang w:eastAsia="pt-BR"/>
        </w:rPr>
        <w:t> </w:t>
      </w:r>
    </w:p>
    <w:p w:rsidR="00DE63D3" w:rsidRDefault="009E11CF" w:rsidP="009E11CF">
      <w:pPr>
        <w:widowControl w:val="0"/>
        <w:adjustRightInd w:val="0"/>
        <w:spacing w:after="0" w:line="240" w:lineRule="auto"/>
        <w:textAlignment w:val="baseline"/>
        <w:rPr>
          <w:rFonts w:ascii="Calisto MT" w:eastAsia="Times New Roman" w:hAnsi="Calisto MT" w:cs="Arial"/>
          <w:bCs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Cs/>
          <w:sz w:val="22"/>
          <w:szCs w:val="24"/>
          <w:lang w:eastAsia="pt-BR"/>
        </w:rPr>
        <w:t xml:space="preserve">Pregão N° [MODALIDADE_N]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Cs/>
          <w:sz w:val="22"/>
          <w:szCs w:val="24"/>
          <w:lang w:eastAsia="pt-BR"/>
        </w:rPr>
        <w:t>Processo N° [PROCESSO_N]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____________________________________________________________________________________________</w:t>
      </w:r>
    </w:p>
    <w:p w:rsidR="009E11CF" w:rsidRPr="009E11CF" w:rsidRDefault="009E11CF" w:rsidP="009E11CF">
      <w:pPr>
        <w:widowControl w:val="0"/>
        <w:adjustRightInd w:val="0"/>
        <w:spacing w:after="0" w:line="36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numPr>
          <w:ilvl w:val="0"/>
          <w:numId w:val="1"/>
        </w:numPr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Relatório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Vencida a fase inicial de aprovação e publicação da minuta, foi encaminhado pelo Pregoeiro desta Prefeitura Municipal, para esta Consultoria Jurídica proceder a análise dos autos do procedimento licitatório, com a finalidade de garantir a observância das formalidades legais para que se possa dar prosseguimento aos trâmites legais.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numPr>
          <w:ilvl w:val="0"/>
          <w:numId w:val="1"/>
        </w:numPr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Da Análise Legal do Procedimento Licitatório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Verificamos, pelos documentos constantes dos autos, que os procedimentos iniciais para abertura de procedimento licitatório foram corretamente observados.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Quanto à adoção da modalidade Pregão Presencial para atender ao Setor Interessado, há que se tecer algumas considerações.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0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0"/>
          <w:szCs w:val="24"/>
          <w:lang w:eastAsia="pt-BR"/>
        </w:rPr>
        <w:t xml:space="preserve">A Lei nº 10.520/02, que disciplina esta modalidade, dispõe em seu Art. 1º, parágrafo único, </w:t>
      </w:r>
      <w:r w:rsidRPr="009E11CF">
        <w:rPr>
          <w:rFonts w:ascii="Calisto MT" w:eastAsia="Times New Roman" w:hAnsi="Calisto MT" w:cs="Arial"/>
          <w:i/>
          <w:sz w:val="20"/>
          <w:szCs w:val="24"/>
          <w:lang w:eastAsia="pt-BR"/>
        </w:rPr>
        <w:t xml:space="preserve">in </w:t>
      </w:r>
      <w:proofErr w:type="spellStart"/>
      <w:r w:rsidRPr="009E11CF">
        <w:rPr>
          <w:rFonts w:ascii="Calisto MT" w:eastAsia="Times New Roman" w:hAnsi="Calisto MT" w:cs="Arial"/>
          <w:i/>
          <w:sz w:val="20"/>
          <w:szCs w:val="24"/>
          <w:lang w:eastAsia="pt-BR"/>
        </w:rPr>
        <w:t>verbis</w:t>
      </w:r>
      <w:proofErr w:type="spellEnd"/>
      <w:r w:rsidRPr="009E11CF">
        <w:rPr>
          <w:rFonts w:ascii="Calisto MT" w:eastAsia="Times New Roman" w:hAnsi="Calisto MT" w:cs="Arial"/>
          <w:sz w:val="20"/>
          <w:szCs w:val="24"/>
          <w:lang w:eastAsia="pt-BR"/>
        </w:rPr>
        <w:t>: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left="2268"/>
        <w:jc w:val="both"/>
        <w:textAlignment w:val="baseline"/>
        <w:rPr>
          <w:rFonts w:ascii="Calisto MT" w:eastAsia="Times New Roman" w:hAnsi="Calisto MT" w:cs="Arial"/>
          <w:sz w:val="18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18"/>
          <w:szCs w:val="24"/>
          <w:lang w:eastAsia="pt-BR"/>
        </w:rPr>
        <w:t xml:space="preserve">Art. 1º - Para aquisição de bens e serviços comuns, poderá ser adotada a licitação na modalidade de pregão, que será regida por esta Lei. Parágrafo único: Consideram-se bens e serviços comuns, para os fins e efeitos deste artigo, aqueles cujos padrões de desempenho e qualidade possam ser objetivamente definidos pelo edital, por meio de especificações usuais no mercado.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Pela leitura retro apresentada, constatamos que o objeto do processo em análise pode ser classificado como “comum”, tendo em vista que não se trata de objeto de maior complexidade e que não possui nenhuma especificidade que prejudique a elaboração da proposta.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Nesse contexto, da análise dos procedimentos até então realizados, verifica-se que guardam conformidade com as disposições regentes da Lei nº 8.666/1993 e Lei nº 10.520/02, encontrando-se livre de quaisquer vícios que gerem nulidade do ato, não ocorrendo, deste modo, nenhuma transgressão à legalidade administrativa.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Ademais, ao procedimento foi dada ampla publicidade, bem como atendidos os princípios da licitação.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Eventuais recursos interpostos foram sanados em pareceres próprios.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numPr>
          <w:ilvl w:val="0"/>
          <w:numId w:val="1"/>
        </w:numPr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Conclusão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240" w:lineRule="auto"/>
        <w:ind w:left="360" w:firstLine="77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Ante o exposto, esta consultoria jurídica </w:t>
      </w: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OPINA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 pela </w:t>
      </w: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legalidade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 e regular continuidade do certame. 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 xml:space="preserve">É o parecer, </w:t>
      </w:r>
      <w:r w:rsidRPr="009E11CF">
        <w:rPr>
          <w:rFonts w:ascii="Calisto MT" w:eastAsia="Times New Roman" w:hAnsi="Calisto MT" w:cs="Arial"/>
          <w:i/>
          <w:sz w:val="22"/>
          <w:szCs w:val="24"/>
          <w:lang w:eastAsia="pt-BR"/>
        </w:rPr>
        <w:t>sub censura</w:t>
      </w: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.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240" w:lineRule="auto"/>
        <w:ind w:firstLine="1134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sz w:val="22"/>
          <w:szCs w:val="24"/>
          <w:lang w:eastAsia="pt-BR"/>
        </w:rPr>
        <w:t>Rio Pardo de Minas/MG, [DATA].</w:t>
      </w:r>
    </w:p>
    <w:p w:rsidR="009E11CF" w:rsidRPr="009E11CF" w:rsidRDefault="009E11CF" w:rsidP="009E11CF">
      <w:pPr>
        <w:widowControl w:val="0"/>
        <w:adjustRightInd w:val="0"/>
        <w:spacing w:after="0" w:line="360" w:lineRule="atLeast"/>
        <w:jc w:val="both"/>
        <w:textAlignment w:val="baseline"/>
        <w:rPr>
          <w:rFonts w:ascii="Calisto MT" w:eastAsia="Times New Roman" w:hAnsi="Calisto MT" w:cs="Arial"/>
          <w:sz w:val="22"/>
          <w:szCs w:val="24"/>
          <w:lang w:eastAsia="pt-BR"/>
        </w:rPr>
      </w:pP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__________________________________________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JOANNE SÂMELA COSTA SANTOS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Secretária Municipal de Assuntos Jurídicos Seg. Pública</w:t>
      </w:r>
    </w:p>
    <w:p w:rsidR="009E11CF" w:rsidRPr="009E11CF" w:rsidRDefault="009E11CF" w:rsidP="009E11CF">
      <w:pPr>
        <w:widowControl w:val="0"/>
        <w:adjustRightInd w:val="0"/>
        <w:spacing w:after="0" w:line="240" w:lineRule="auto"/>
        <w:jc w:val="center"/>
        <w:textAlignment w:val="baseline"/>
        <w:rPr>
          <w:rFonts w:ascii="Calisto MT" w:eastAsia="Times New Roman" w:hAnsi="Calisto MT" w:cs="Arial"/>
          <w:b/>
          <w:sz w:val="22"/>
          <w:szCs w:val="24"/>
          <w:lang w:eastAsia="pt-BR"/>
        </w:rPr>
      </w:pPr>
      <w:r w:rsidRPr="009E11CF">
        <w:rPr>
          <w:rFonts w:ascii="Calisto MT" w:eastAsia="Times New Roman" w:hAnsi="Calisto MT" w:cs="Arial"/>
          <w:b/>
          <w:sz w:val="22"/>
          <w:szCs w:val="24"/>
          <w:lang w:eastAsia="pt-BR"/>
        </w:rPr>
        <w:t>OAB/MG 197.300</w:t>
      </w:r>
    </w:p>
    <w:p w:rsidR="003F7FE7" w:rsidRDefault="003F7FE7">
      <w:bookmarkStart w:id="0" w:name="_GoBack"/>
      <w:bookmarkEnd w:id="0"/>
    </w:p>
    <w:sectPr w:rsidR="003F7FE7" w:rsidSect="002E5637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567" w:bottom="567" w:left="1134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A33" w:rsidRDefault="00132A33">
      <w:pPr>
        <w:spacing w:after="0" w:line="240" w:lineRule="auto"/>
      </w:pPr>
      <w:r>
        <w:separator/>
      </w:r>
    </w:p>
  </w:endnote>
  <w:endnote w:type="continuationSeparator" w:id="0">
    <w:p w:rsidR="00132A33" w:rsidRDefault="0013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0BC" w:rsidRDefault="009E11CF" w:rsidP="005520BC">
    <w:pPr>
      <w:pStyle w:val="Rodap"/>
      <w:jc w:val="center"/>
    </w:pPr>
    <w:r w:rsidRPr="001705CC">
      <w:rPr>
        <w:noProof/>
      </w:rPr>
      <w:drawing>
        <wp:inline distT="0" distB="0" distL="0" distR="0">
          <wp:extent cx="4552950" cy="476250"/>
          <wp:effectExtent l="0" t="0" r="0" b="0"/>
          <wp:docPr id="7" name="Imagem 7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3A61" w:rsidRDefault="00132A33" w:rsidP="00605595">
    <w:pPr>
      <w:pStyle w:val="Rodap"/>
      <w:ind w:right="-1133" w:hanging="127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A33" w:rsidRDefault="00132A33">
      <w:pPr>
        <w:spacing w:after="0" w:line="240" w:lineRule="auto"/>
      </w:pPr>
      <w:r>
        <w:separator/>
      </w:r>
    </w:p>
  </w:footnote>
  <w:footnote w:type="continuationSeparator" w:id="0">
    <w:p w:rsidR="00132A33" w:rsidRDefault="0013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132A3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7" o:spid="_x0000_s2059" type="#_x0000_t75" style="position:absolute;left:0;text-align:left;margin-left:0;margin-top:0;width:10in;height:405pt;z-index:-251655168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9E11CF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9" name="Caixa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9E11CF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9E11CF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9E11CF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9E11CF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132A33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132A33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6" type="#_x0000_t202" style="position:absolute;left:0;text-align:left;margin-left:127.5pt;margin-top:17pt;width:349.4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CtotiM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9E11CF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9E11CF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9E11CF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9E11CF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Pública</w:t>
                    </w:r>
                    <w:proofErr w:type="spellEnd"/>
                  </w:p>
                  <w:p w:rsidR="00BA3C72" w:rsidRPr="002C3148" w:rsidRDefault="009E11CF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9E11CF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32A3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8" o:spid="_x0000_s2060" type="#_x0000_t75" style="position:absolute;left:0;text-align:left;margin-left:0;margin-top:0;width:10in;height:405pt;z-index:-251654144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  <w:r>
      <w:rPr>
        <w:noProof/>
      </w:rPr>
      <w:drawing>
        <wp:inline distT="0" distB="0" distL="0" distR="0">
          <wp:extent cx="1924050" cy="1076325"/>
          <wp:effectExtent l="0" t="0" r="0" b="9525"/>
          <wp:docPr id="8" name="Imagem 8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TIMBRE 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A61" w:rsidRDefault="00132A3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17746" o:spid="_x0000_s2058" type="#_x0000_t75" style="position:absolute;left:0;text-align:left;margin-left:0;margin-top:0;width:10in;height:405pt;z-index:-251656192;mso-position-horizontal:center;mso-position-horizontal-relative:margin;mso-position-vertical:center;mso-position-vertical-relative:margin" o:allowincell="f">
          <v:imagedata r:id="rId1" o:title="TIMBRE NOV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EE4"/>
    <w:multiLevelType w:val="hybridMultilevel"/>
    <w:tmpl w:val="2FF29D00"/>
    <w:lvl w:ilvl="0" w:tplc="8F7AA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F6"/>
    <w:rsid w:val="00132A33"/>
    <w:rsid w:val="003F7FE7"/>
    <w:rsid w:val="005C1885"/>
    <w:rsid w:val="008B64F6"/>
    <w:rsid w:val="009E11CF"/>
    <w:rsid w:val="00B34424"/>
    <w:rsid w:val="00D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5:chartTrackingRefBased/>
  <w15:docId w15:val="{7AE9EFE1-F668-4B0F-AFEC-3C0A62B0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1CF"/>
    <w:pPr>
      <w:widowControl w:val="0"/>
      <w:tabs>
        <w:tab w:val="center" w:pos="4252"/>
        <w:tab w:val="right" w:pos="8504"/>
      </w:tabs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9E11CF"/>
    <w:rPr>
      <w:rFonts w:ascii="Times New Roman" w:eastAsia="Times New Roman" w:hAnsi="Times New Roman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11CF"/>
    <w:pPr>
      <w:widowControl w:val="0"/>
      <w:tabs>
        <w:tab w:val="center" w:pos="4252"/>
        <w:tab w:val="right" w:pos="8504"/>
      </w:tabs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9E11CF"/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399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2023-12-14T13:45:00Z</dcterms:created>
  <dcterms:modified xsi:type="dcterms:W3CDTF">2023-12-14T13:58:00Z</dcterms:modified>
</cp:coreProperties>
</file>