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 w:eastAsia="Arial"/>
          <w:b/>
          <w:i w:val="0"/>
          <w:color w:val="2563EB"/>
          <w:sz w:val="18"/>
        </w:rPr>
        <w:t>ДОГОВОР № SHF-Д-2026-01</w:t>
      </w:r>
    </w:p>
    <w:p>
      <w:pPr>
        <w:spacing w:after="80"/>
        <w:jc w:val="left"/>
      </w:pPr>
      <w:r>
        <w:rPr>
          <w:rFonts w:ascii="Arial" w:hAnsi="Arial" w:eastAsia="Arial"/>
          <w:b/>
          <w:i w:val="0"/>
          <w:color w:val="0B1930"/>
          <w:sz w:val="44"/>
        </w:rPr>
        <w:t>ДОГОВОР</w:t>
      </w:r>
    </w:p>
    <w:p>
      <w:pPr>
        <w:spacing w:after="280"/>
        <w:jc w:val="left"/>
        <w:pBdr>
          <w:bottom w:val="single" w:sz="10" w:space="6" w:color="2563EB"/>
        </w:pBdr>
      </w:pPr>
      <w:r>
        <w:rPr>
          <w:rFonts w:ascii="Arial" w:hAnsi="Arial" w:eastAsia="Arial"/>
          <w:b w:val="0"/>
          <w:i/>
          <w:color w:val="6B7280"/>
          <w:sz w:val="25"/>
        </w:rPr>
        <w:t>на разработку программного обеспечения, интеграций и HR-платформы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8278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ДАТА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04 августа 2026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МЕСТО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г. Алматы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СТОИМОСТЬ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5 200 000 ₸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СРОК MVP</w:t>
            </w:r>
          </w:p>
        </w:tc>
        <w:tc>
          <w:tcPr>
            <w:tcW w:type="dxa" w:w="82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B1930"/>
                <w:sz w:val="20"/>
              </w:rPr>
              <w:t>до 6 недель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Arial" w:hAnsi="Arial" w:eastAsia="Arial"/>
          <w:b w:val="0"/>
          <w:i w:val="0"/>
          <w:color w:val="182235"/>
          <w:sz w:val="19"/>
        </w:rPr>
        <w:t>Индивидуальный предприниматель «STUDYSTORIES.APP», БИН 880607300110, в лице владельца Цая Платона Львовича, действующего на основании уведомления о начале деятельности индивидуального предпринимателя, именуемый далее «Исполнитель», с одной стороны, и ________________________________, БИН/ИИН ____________________, в лице Айдара ________________________________, действующего на основании ____________________, именуемое далее «Заказчик»,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1.1. </w:t>
      </w:r>
      <w:r>
        <w:rPr>
          <w:rFonts w:ascii="Arial" w:hAnsi="Arial" w:eastAsia="Arial"/>
          <w:b w:val="0"/>
          <w:i w:val="0"/>
          <w:color w:val="182235"/>
          <w:sz w:val="19"/>
        </w:rPr>
        <w:t>Исполнитель обязуется разработать, настроить и передать Заказчику программную систему SHAFRAN Control для сетей ресторанов «Шафран» и «Фиш-фрайд», а Заказчик обязуется принять и оплатить Работы.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1.2. </w:t>
      </w:r>
      <w:r>
        <w:rPr>
          <w:rFonts w:ascii="Arial" w:hAnsi="Arial" w:eastAsia="Arial"/>
          <w:b w:val="0"/>
          <w:i w:val="0"/>
          <w:color w:val="182235"/>
          <w:sz w:val="19"/>
        </w:rPr>
        <w:t>Состав и критерии приёмки определяются Техническим заданием Pllato_TZ_SHAFRAN_Control, версия 1.0 от 04.08.2026 (Приложение № 1) и Коммерческим предложением от 04.08.2026 (Приложение № 2). При расхождении настоящий Договор имеет приоритет по цене, оплате, правам и ответственности, а ТЗ - по функциональному результату.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1.3. </w:t>
      </w:r>
      <w:r>
        <w:rPr>
          <w:rFonts w:ascii="Arial" w:hAnsi="Arial" w:eastAsia="Arial"/>
          <w:b w:val="0"/>
          <w:i w:val="0"/>
          <w:color w:val="182235"/>
          <w:sz w:val="19"/>
        </w:rPr>
        <w:t>Демонстрационная версия по адресу pllato.kz/app/shafran.html иллюстрирует целевую логику интерфейса. Демонстрационные данные не являются обязательным составом результата и не расширяют ТЗ.</w:t>
      </w:r>
    </w:p>
    <w:p>
      <w:pPr>
        <w:pStyle w:val="Heading1"/>
      </w:pPr>
      <w:r>
        <w:t>2. Состав Работ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2.1. </w:t>
      </w:r>
      <w:r>
        <w:rPr>
          <w:rFonts w:ascii="Arial" w:hAnsi="Arial" w:eastAsia="Arial"/>
          <w:b w:val="0"/>
          <w:i w:val="0"/>
          <w:color w:val="182235"/>
          <w:sz w:val="19"/>
        </w:rPr>
        <w:t>Основной операционный портал стоимостью 2 500 000 тенге: ролевые кабинеты, сеть и рестораны, закуп и аудит, склад, производство и техкарты, food cost, финансы, промо, задачи, проектные доски, wiki, аналитика и интеграционный слой iiko/POS.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2.2. </w:t>
      </w:r>
      <w:r>
        <w:rPr>
          <w:rFonts w:ascii="Arial" w:hAnsi="Arial" w:eastAsia="Arial"/>
          <w:b w:val="0"/>
          <w:i w:val="0"/>
          <w:color w:val="182235"/>
          <w:sz w:val="19"/>
        </w:rPr>
        <w:t>HR-система стоимостью 1 500 000 тенге: вакансии и кандидаты, HeadHunter, этапы отбора, тестирование, интервью, обучение, тренажёры, аттестации, сертификаты и карьерные треки.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2.3. </w:t>
      </w:r>
      <w:r>
        <w:rPr>
          <w:rFonts w:ascii="Arial" w:hAnsi="Arial" w:eastAsia="Arial"/>
          <w:b w:val="0"/>
          <w:i w:val="0"/>
          <w:color w:val="182235"/>
          <w:sz w:val="19"/>
        </w:rPr>
        <w:t>Интеграция с 1С стоимостью 800 000 тенге: OData-коннектор для одной согласованной базы/конфигурации, карта данных, согласованные сценарии чтения/записи, очередь, журнал, повторы и контроль ошибок.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2.4. </w:t>
      </w:r>
      <w:r>
        <w:rPr>
          <w:rFonts w:ascii="Arial" w:hAnsi="Arial" w:eastAsia="Arial"/>
          <w:b w:val="0"/>
          <w:i w:val="0"/>
          <w:color w:val="182235"/>
          <w:sz w:val="19"/>
        </w:rPr>
        <w:t>Обучение персонала стоимостью 400 000 тенге: пять дистанционных Zoom-конференций общей продолжительностью до 10 часов по работе с Системой. Состав групп, расписание и программа согласуются Сторонами.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2.5. </w:t>
      </w:r>
      <w:r>
        <w:rPr>
          <w:rFonts w:ascii="Arial" w:hAnsi="Arial" w:eastAsia="Arial"/>
          <w:b w:val="0"/>
          <w:i w:val="0"/>
          <w:color w:val="182235"/>
          <w:sz w:val="19"/>
        </w:rPr>
        <w:t>Не входят: лицензии, серверы и домены, платные API, оборудование, доработка сторонних продуктов, дополнительные базы 1С, неподдерживаемые интеграции, ручной ввод вместо доступной выгрузки, внедрение на месте во всех ресторанах, обучение сверх пяти Zoom-конференций и функции вне ТЗ.</w:t>
      </w:r>
    </w:p>
    <w:p>
      <w:pPr>
        <w:pStyle w:val="Heading1"/>
      </w:pPr>
      <w:r>
        <w:t>3. Сроки и этапы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3.1. </w:t>
      </w:r>
      <w:r>
        <w:rPr>
          <w:rFonts w:ascii="Arial" w:hAnsi="Arial" w:eastAsia="Arial"/>
          <w:b w:val="0"/>
          <w:i w:val="0"/>
          <w:color w:val="182235"/>
          <w:sz w:val="19"/>
        </w:rPr>
        <w:t>Исполнитель приступает к Работам в течение 2 рабочих дней после подписания Договора, поступления стартового платежа и передачи необходимых материалов, доступов и тестовых контуров.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6078"/>
        <w:gridCol w:w="220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Этап</w:t>
            </w:r>
          </w:p>
        </w:tc>
        <w:tc>
          <w:tcPr>
            <w:tcW w:type="dxa" w:w="60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Результат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Срок от старта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Проектирование</w:t>
            </w:r>
          </w:p>
        </w:tc>
        <w:tc>
          <w:tcPr>
            <w:tcW w:type="dxa" w:w="6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Карта процессов, архитектура, роли и интеграционный план</w:t>
            </w:r>
          </w:p>
        </w:tc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дни 1-3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Этап 1 · ядро</w:t>
            </w:r>
          </w:p>
        </w:tc>
        <w:tc>
          <w:tcPr>
            <w:tcW w:type="dxa" w:w="6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Рабочее ядро портала, HR-прототип и тестовый обмен</w:t>
            </w:r>
          </w:p>
        </w:tc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до 10 рабочих дней</w:t>
            </w:r>
          </w:p>
        </w:tc>
      </w:tr>
      <w:tr>
        <w:tc>
          <w:tcPr>
            <w:tcW w:type="dxa" w:w="17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Этап 2 · MVP</w:t>
            </w:r>
          </w:p>
        </w:tc>
        <w:tc>
          <w:tcPr>
            <w:tcW w:type="dxa" w:w="60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Согласованный функционал, интеграции, пилот и передача</w:t>
            </w:r>
          </w:p>
        </w:tc>
        <w:tc>
          <w:tcPr>
            <w:tcW w:type="dxa" w:w="22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до 6 недель</w:t>
            </w:r>
          </w:p>
        </w:tc>
      </w:tr>
    </w:tbl>
    <w:p>
      <w:pPr>
        <w:spacing w:after="0"/>
      </w:pP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3.2. </w:t>
      </w:r>
      <w:r>
        <w:rPr>
          <w:rFonts w:ascii="Arial" w:hAnsi="Arial" w:eastAsia="Arial"/>
          <w:b w:val="0"/>
          <w:i w:val="0"/>
          <w:color w:val="182235"/>
          <w:sz w:val="19"/>
        </w:rPr>
        <w:t>Срок автоматически продлевается на период задержки материалов, доступов, обратной связи или решений Заказчика, а также на период недоступности внешних API и иных обстоятельств вне контроля Исполнителя.</w:t>
      </w:r>
    </w:p>
    <w:p>
      <w:pPr>
        <w:pStyle w:val="Heading1"/>
      </w:pPr>
      <w:r>
        <w:t>4. Цена и порядок оплаты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4.1. </w:t>
      </w:r>
      <w:r>
        <w:rPr>
          <w:rFonts w:ascii="Arial" w:hAnsi="Arial" w:eastAsia="Arial"/>
          <w:b w:val="0"/>
          <w:i w:val="0"/>
          <w:color w:val="182235"/>
          <w:sz w:val="19"/>
        </w:rPr>
        <w:t>Общая стоимость Работ составляет 5 200 000 (пять миллионов двести тысяч) тенге. НДС не предъявляется.</w:t>
      </w:r>
    </w:p>
    <w:tbl>
      <w:tblPr>
        <w:tblW w:type="dxa" w:w="9978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5678"/>
        <w:gridCol w:w="240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Платёж</w:t>
            </w:r>
          </w:p>
        </w:tc>
        <w:tc>
          <w:tcPr>
            <w:tcW w:type="dxa" w:w="567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Основание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vAlign w:val="center"/>
            <w:shd w:fill="0B193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Сумма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1. Предоплата 10%</w:t>
            </w:r>
          </w:p>
        </w:tc>
        <w:tc>
          <w:tcPr>
            <w:tcW w:type="dxa" w:w="5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подписание Договора и старт Работ</w:t>
            </w:r>
          </w:p>
        </w:tc>
        <w:tc>
          <w:tcPr>
            <w:tcW w:type="dxa" w:w="24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520 000 ₸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2. Этап 1 · 45%</w:t>
            </w:r>
          </w:p>
        </w:tc>
        <w:tc>
          <w:tcPr>
            <w:tcW w:type="dxa" w:w="5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согласование и демонстрация рабочего ядра</w:t>
            </w:r>
          </w:p>
        </w:tc>
        <w:tc>
          <w:tcPr>
            <w:tcW w:type="dxa" w:w="24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2F6FB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2 340 000 ₸</w:t>
            </w:r>
          </w:p>
        </w:tc>
      </w:tr>
      <w:tr>
        <w:tc>
          <w:tcPr>
            <w:tcW w:type="dxa" w:w="19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3. Этап 2 · 45%</w:t>
            </w:r>
          </w:p>
        </w:tc>
        <w:tc>
          <w:tcPr>
            <w:tcW w:type="dxa" w:w="5678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финальная приёмка MVP</w:t>
            </w:r>
          </w:p>
        </w:tc>
        <w:tc>
          <w:tcPr>
            <w:tcW w:type="dxa" w:w="2400"/>
            <w:vAlign w:val="center"/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82235"/>
                <w:sz w:val="17"/>
              </w:rPr>
              <w:t>2 340 000 ₸</w:t>
            </w:r>
          </w:p>
        </w:tc>
      </w:tr>
    </w:tbl>
    <w:p>
      <w:pPr>
        <w:spacing w:after="0"/>
      </w:pP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4.2. </w:t>
      </w:r>
      <w:r>
        <w:rPr>
          <w:rFonts w:ascii="Arial" w:hAnsi="Arial" w:eastAsia="Arial"/>
          <w:b w:val="0"/>
          <w:i w:val="0"/>
          <w:color w:val="182235"/>
          <w:sz w:val="19"/>
        </w:rPr>
        <w:t>Предоплата вносится в течение 3 рабочих дней после подписания Договора. Платежи № 2 и № 3 вносятся в течение 5 банковских дней после приёмки соответствующего этапа.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4.3. </w:t>
      </w:r>
      <w:r>
        <w:rPr>
          <w:rFonts w:ascii="Arial" w:hAnsi="Arial" w:eastAsia="Arial"/>
          <w:b w:val="0"/>
          <w:i w:val="0"/>
          <w:color w:val="182235"/>
          <w:sz w:val="19"/>
        </w:rPr>
        <w:t>Оплата производится на банковский счёт Исполнителя либо на карту Kaspi Gold, указанную в реквизитах, с назначением платежа «Оплата по договору № SHF-Д-2026-01».</w:t>
      </w:r>
    </w:p>
    <w:p>
      <w:pPr>
        <w:pStyle w:val="Heading1"/>
      </w:pPr>
      <w:r>
        <w:t>5. Сдача и приёмка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5.1. </w:t>
      </w:r>
      <w:r>
        <w:rPr>
          <w:rFonts w:ascii="Arial" w:hAnsi="Arial" w:eastAsia="Arial"/>
          <w:b w:val="0"/>
          <w:i w:val="0"/>
          <w:color w:val="182235"/>
          <w:sz w:val="19"/>
        </w:rPr>
        <w:t>Исполнитель уведомляет о готовности этапа и предоставляет доступ к результату. Заказчик в течение 5 рабочих дней принимает этап либо направляет единый перечень мотивированных замечаний со ссылками на ТЗ.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5.2. </w:t>
      </w:r>
      <w:r>
        <w:rPr>
          <w:rFonts w:ascii="Arial" w:hAnsi="Arial" w:eastAsia="Arial"/>
          <w:b w:val="0"/>
          <w:i w:val="0"/>
          <w:color w:val="182235"/>
          <w:sz w:val="19"/>
        </w:rPr>
        <w:t>Исполнитель устраняет подтверждённые несоответствия ТЗ в согласованный разумный срок. Пожелания и новые функции вне ТЗ оформляются как изменение объёма.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5.3. </w:t>
      </w:r>
      <w:r>
        <w:rPr>
          <w:rFonts w:ascii="Arial" w:hAnsi="Arial" w:eastAsia="Arial"/>
          <w:b w:val="0"/>
          <w:i w:val="0"/>
          <w:color w:val="182235"/>
          <w:sz w:val="19"/>
        </w:rPr>
        <w:t>Если в установленный срок ответ не получен, Исполнитель направляет повторное уведомление. При отсутствии ответа ещё 3 рабочих дня этап считается принятым, если результат доступен для проверки и отсутствуют подтверждённые блокирующие дефекты.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5.4. </w:t>
      </w:r>
      <w:r>
        <w:rPr>
          <w:rFonts w:ascii="Arial" w:hAnsi="Arial" w:eastAsia="Arial"/>
          <w:b w:val="0"/>
          <w:i w:val="0"/>
          <w:color w:val="182235"/>
          <w:sz w:val="19"/>
        </w:rPr>
        <w:t>Приёмка подтверждается актом, письмом, сообщением в согласованном мессенджере либо электронной подписью. Полная приёмка MVP является основанием для финального платежа и начала гарантии.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5.5. </w:t>
      </w:r>
      <w:r>
        <w:rPr>
          <w:rFonts w:ascii="Arial" w:hAnsi="Arial" w:eastAsia="Arial"/>
          <w:b w:val="0"/>
          <w:i w:val="0"/>
          <w:color w:val="182235"/>
          <w:sz w:val="19"/>
        </w:rPr>
        <w:t>Услуга обучения считается оказанной по факту проведения пяти согласованных Zoom-конференций. Если Заказчик не обеспечивает участие сотрудников в согласованное время, встреча переносится один раз на новый согласованный срок; повторная неявка не препятствует приёмке соответствующей сессии.</w:t>
      </w:r>
    </w:p>
    <w:p>
      <w:pPr>
        <w:pStyle w:val="Heading1"/>
      </w:pPr>
      <w:r>
        <w:t>6. Изменение объёма и внешние зависимости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6.1. </w:t>
      </w:r>
      <w:r>
        <w:rPr>
          <w:rFonts w:ascii="Arial" w:hAnsi="Arial" w:eastAsia="Arial"/>
          <w:b w:val="0"/>
          <w:i w:val="0"/>
          <w:color w:val="182235"/>
          <w:sz w:val="19"/>
        </w:rPr>
        <w:t>Уточнение полей и исправления внутри утверждённой логики входят в цену. Новые модули, дополнительные интеграции, базы 1С, рестораны с отдельной архитектурой или изменение утверждённого фрейма оцениваются отдельно.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6.2. </w:t>
      </w:r>
      <w:r>
        <w:rPr>
          <w:rFonts w:ascii="Arial" w:hAnsi="Arial" w:eastAsia="Arial"/>
          <w:b w:val="0"/>
          <w:i w:val="0"/>
          <w:color w:val="182235"/>
          <w:sz w:val="19"/>
        </w:rPr>
        <w:t>Интеграции выполняются через официальный API, OData, разрешённый импорт/экспорт или иной законный механизм. Изменение правил, тарифов, лимитов или отказ внешнего сервиса не является нарушением Исполнителя.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6.3. </w:t>
      </w:r>
      <w:r>
        <w:rPr>
          <w:rFonts w:ascii="Arial" w:hAnsi="Arial" w:eastAsia="Arial"/>
          <w:b w:val="0"/>
          <w:i w:val="0"/>
          <w:color w:val="182235"/>
          <w:sz w:val="19"/>
        </w:rPr>
        <w:t>Целевой лаг до 30 секунд применяется только к технически поддерживаемым операциям при доступной инфраструктуре. Это целевой показатель, а не безусловная гарантия внешних сервисов и каналов связи.</w:t>
      </w:r>
    </w:p>
    <w:p>
      <w:pPr>
        <w:pStyle w:val="Heading1"/>
      </w:pPr>
      <w:r>
        <w:t>7. Обязанности Сторон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7.1. </w:t>
      </w:r>
      <w:r>
        <w:rPr>
          <w:rFonts w:ascii="Arial" w:hAnsi="Arial" w:eastAsia="Arial"/>
          <w:b w:val="0"/>
          <w:i w:val="0"/>
          <w:color w:val="182235"/>
          <w:sz w:val="19"/>
        </w:rPr>
        <w:t>Исполнитель обязан вести разработку, демонстрировать этапы, сохранять конфиденциальность, устранять подтверждённые несоответствия, передать результат и провести пять Zoom-конференций по обучению персонала в согласованном объёме.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7.2. </w:t>
      </w:r>
      <w:r>
        <w:rPr>
          <w:rFonts w:ascii="Arial" w:hAnsi="Arial" w:eastAsia="Arial"/>
          <w:b w:val="0"/>
          <w:i w:val="0"/>
          <w:color w:val="182235"/>
          <w:sz w:val="19"/>
        </w:rPr>
        <w:t>Заказчик обязан своевременно оплачивать Работы, назначить владельца продукта, предоставить достоверные материалы, доступы и тестовые данные, обеспечить участие специалистов iiko/POS, 1С и бизнес-подразделений, а также принимать решения в согласованные сроки.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7.3. </w:t>
      </w:r>
      <w:r>
        <w:rPr>
          <w:rFonts w:ascii="Arial" w:hAnsi="Arial" w:eastAsia="Arial"/>
          <w:b w:val="0"/>
          <w:i w:val="0"/>
          <w:color w:val="182235"/>
          <w:sz w:val="19"/>
        </w:rPr>
        <w:t>Заказчик гарантирует законность передачи данных, доступов, контента и методик, наличие необходимых согласий субъектов персональных данных и права использования материалов.</w:t>
      </w:r>
    </w:p>
    <w:p>
      <w:pPr>
        <w:pStyle w:val="Heading1"/>
      </w:pPr>
      <w:r>
        <w:t>8. Данные и права на результат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8.1. </w:t>
      </w:r>
      <w:r>
        <w:rPr>
          <w:rFonts w:ascii="Arial" w:hAnsi="Arial" w:eastAsia="Arial"/>
          <w:b w:val="0"/>
          <w:i w:val="0"/>
          <w:color w:val="182235"/>
          <w:sz w:val="19"/>
        </w:rPr>
        <w:t>Все исходные данные Заказчика и данные, сформированные в ходе эксплуатации, принадлежат Заказчику. Исполнитель обрабатывает их только для исполнения Договора и применяет разумные организационные и технические меры защиты.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8.2. </w:t>
      </w:r>
      <w:r>
        <w:rPr>
          <w:rFonts w:ascii="Arial" w:hAnsi="Arial" w:eastAsia="Arial"/>
          <w:b w:val="0"/>
          <w:i w:val="0"/>
          <w:color w:val="182235"/>
          <w:sz w:val="19"/>
        </w:rPr>
        <w:t>До полной оплаты Заказчик получает право использовать переданные этапы для тестирования и внутренней работы. После полной оплаты Исполнитель передаёт исходный код и исключительные имущественные права на специально созданный для Заказчика результат без ограничения территории и срока.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8.3. </w:t>
      </w:r>
      <w:r>
        <w:rPr>
          <w:rFonts w:ascii="Arial" w:hAnsi="Arial" w:eastAsia="Arial"/>
          <w:b w:val="0"/>
          <w:i w:val="0"/>
          <w:color w:val="182235"/>
          <w:sz w:val="19"/>
        </w:rPr>
        <w:t>Права на сторонние библиотеки, сервисы и компоненты сохраняются за их правообладателями. Универсальные инструменты Исполнителя, не содержащие данные и уникальную бизнес-логику Заказчика, могут использоваться повторно; Заказчик вправе использовать их в составе Системы.</w:t>
      </w:r>
    </w:p>
    <w:p>
      <w:pPr>
        <w:pStyle w:val="Heading1"/>
      </w:pPr>
      <w:r>
        <w:t>9. Гарантия и эксплуатация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9.1. </w:t>
      </w:r>
      <w:r>
        <w:rPr>
          <w:rFonts w:ascii="Arial" w:hAnsi="Arial" w:eastAsia="Arial"/>
          <w:b w:val="0"/>
          <w:i w:val="0"/>
          <w:color w:val="182235"/>
          <w:sz w:val="19"/>
        </w:rPr>
        <w:t>Гарантийный срок составляет 30 календарных дней с даты финальной приёмки. В этот период Исполнитель безвозмездно устраняет воспроизводимые несоответствия утверждённому ТЗ.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9.2. </w:t>
      </w:r>
      <w:r>
        <w:rPr>
          <w:rFonts w:ascii="Arial" w:hAnsi="Arial" w:eastAsia="Arial"/>
          <w:b w:val="0"/>
          <w:i w:val="0"/>
          <w:color w:val="182235"/>
          <w:sz w:val="19"/>
        </w:rPr>
        <w:t>Гарантия не распространяется на новые функции, изменение процессов, ошибки пользователей, некорректные исходные данные, сбои инфраструктуры и внешних API, а также изменения, внесённые третьими лицами.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9.3. </w:t>
      </w:r>
      <w:r>
        <w:rPr>
          <w:rFonts w:ascii="Arial" w:hAnsi="Arial" w:eastAsia="Arial"/>
          <w:b w:val="0"/>
          <w:i w:val="0"/>
          <w:color w:val="182235"/>
          <w:sz w:val="19"/>
        </w:rPr>
        <w:t>Обязательная ежемесячная лицензия Pllato не предусмотрена. Сервер, домен, платные сервисы и последующее сопровождение оплачиваются Заказчиком отдельно.</w:t>
      </w:r>
    </w:p>
    <w:p>
      <w:pPr>
        <w:pStyle w:val="Heading1"/>
      </w:pPr>
      <w:r>
        <w:t>10. Ответственность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10.1. </w:t>
      </w:r>
      <w:r>
        <w:rPr>
          <w:rFonts w:ascii="Arial" w:hAnsi="Arial" w:eastAsia="Arial"/>
          <w:b w:val="0"/>
          <w:i w:val="0"/>
          <w:color w:val="182235"/>
          <w:sz w:val="19"/>
        </w:rPr>
        <w:t>За просрочку оплаты Заказчик уплачивает пеню 0,1% от просроченной суммы за каждый календарный день, но не более 10%. При просрочке более 10 дней после уведомления Исполнитель вправе приостановить Работы и доступ, сохраняя данные не менее 30 дней.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10.2. </w:t>
      </w:r>
      <w:r>
        <w:rPr>
          <w:rFonts w:ascii="Arial" w:hAnsi="Arial" w:eastAsia="Arial"/>
          <w:b w:val="0"/>
          <w:i w:val="0"/>
          <w:color w:val="182235"/>
          <w:sz w:val="19"/>
        </w:rPr>
        <w:t>Стороны отвечают за документально подтверждённый прямой ущерб. Совокупная ответственность Исполнителя ограничена суммой, фактически полученной по Договору, кроме случаев, когда такое ограничение запрещено законом. Упущенная выгода и косвенные потери не возмещаются.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10.3. </w:t>
      </w:r>
      <w:r>
        <w:rPr>
          <w:rFonts w:ascii="Arial" w:hAnsi="Arial" w:eastAsia="Arial"/>
          <w:b w:val="0"/>
          <w:i w:val="0"/>
          <w:color w:val="182235"/>
          <w:sz w:val="19"/>
        </w:rPr>
        <w:t>Исполнитель не отвечает за решения пользователей, качество и полноту исходных данных, недоступность инфраструктуры и внешних сервисов и действия третьих лиц.</w:t>
      </w:r>
    </w:p>
    <w:p>
      <w:pPr>
        <w:pStyle w:val="Heading1"/>
      </w:pPr>
      <w:r>
        <w:t>11. Конфиденциальность и публичность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11.1. </w:t>
      </w:r>
      <w:r>
        <w:rPr>
          <w:rFonts w:ascii="Arial" w:hAnsi="Arial" w:eastAsia="Arial"/>
          <w:b w:val="0"/>
          <w:i w:val="0"/>
          <w:color w:val="182235"/>
          <w:sz w:val="19"/>
        </w:rPr>
        <w:t>Стороны не раскрывают коммерческую, техническую и персональную информацию, полученную при исполнении Договора, кроме случаев, предусмотренных законодательством или письменным согласием другой Стороны.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11.2. </w:t>
      </w:r>
      <w:r>
        <w:rPr>
          <w:rFonts w:ascii="Arial" w:hAnsi="Arial" w:eastAsia="Arial"/>
          <w:b w:val="0"/>
          <w:i w:val="0"/>
          <w:color w:val="182235"/>
          <w:sz w:val="19"/>
        </w:rPr>
        <w:t>Публикация названия Заказчика, логотипов, кейса, результатов или факта сотрудничества допускается Исполнителем только после отдельного письменного согласия Заказчика.</w:t>
      </w:r>
    </w:p>
    <w:p>
      <w:pPr>
        <w:pStyle w:val="Heading1"/>
      </w:pPr>
      <w:r>
        <w:t>12. Форс-мажор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12.1. </w:t>
      </w:r>
      <w:r>
        <w:rPr>
          <w:rFonts w:ascii="Arial" w:hAnsi="Arial" w:eastAsia="Arial"/>
          <w:b w:val="0"/>
          <w:i w:val="0"/>
          <w:color w:val="182235"/>
          <w:sz w:val="19"/>
        </w:rPr>
        <w:t>Сторона освобождается от ответственности за неисполнение вследствие обстоятельств непреодолимой силы при своевременном уведомлении другой Стороны. Срок исполнения продлевается на период действия таких обстоятельств и их последствий.</w:t>
      </w:r>
    </w:p>
    <w:p>
      <w:pPr>
        <w:pStyle w:val="Heading1"/>
      </w:pPr>
      <w:r>
        <w:t>13. Срок, расторжение и споры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13.1. </w:t>
      </w:r>
      <w:r>
        <w:rPr>
          <w:rFonts w:ascii="Arial" w:hAnsi="Arial" w:eastAsia="Arial"/>
          <w:b w:val="0"/>
          <w:i w:val="0"/>
          <w:color w:val="182235"/>
          <w:sz w:val="19"/>
        </w:rPr>
        <w:t>Договор действует с даты подписания до полного исполнения. При досрочном прекращении Заказчик оплачивает принятые этапы и документально подтверждённый фактически выполненный объём; неиспользованный остаток аванса возвращается после зачёта Работ и расходов.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13.2. </w:t>
      </w:r>
      <w:r>
        <w:rPr>
          <w:rFonts w:ascii="Arial" w:hAnsi="Arial" w:eastAsia="Arial"/>
          <w:b w:val="0"/>
          <w:i w:val="0"/>
          <w:color w:val="182235"/>
          <w:sz w:val="19"/>
        </w:rPr>
        <w:t>Споры разрешаются переговорами и письменной претензией со сроком ответа 10 рабочих дней, затем - в судебном порядке по законодательству Республики Казахстан.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13.3. </w:t>
      </w:r>
      <w:r>
        <w:rPr>
          <w:rFonts w:ascii="Arial" w:hAnsi="Arial" w:eastAsia="Arial"/>
          <w:b w:val="0"/>
          <w:i w:val="0"/>
          <w:color w:val="182235"/>
          <w:sz w:val="19"/>
        </w:rPr>
        <w:t>Операционные уведомления с подтверждённых номеров и e-mail Сторон признаются доказательством рабочих решений. Изменение предмета, цены и графика оформляется подписанным дополнительным соглашением.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13.4. </w:t>
      </w:r>
      <w:r>
        <w:rPr>
          <w:rFonts w:ascii="Arial" w:hAnsi="Arial" w:eastAsia="Arial"/>
          <w:b w:val="0"/>
          <w:i w:val="0"/>
          <w:color w:val="182235"/>
          <w:sz w:val="19"/>
        </w:rPr>
        <w:t>Договор может быть подписан на бумаге либо электронной цифровой подписью. Электронный документ, удостоверенный действующей ЭЦП уполномоченного лица, равнозначен подписанному бумажному документу.</w:t>
      </w:r>
    </w:p>
    <w:p>
      <w:pPr>
        <w:pStyle w:val="Clause"/>
        <w:keepLines w:val="0"/>
      </w:pPr>
      <w:r>
        <w:rPr>
          <w:rFonts w:ascii="Arial" w:hAnsi="Arial" w:eastAsia="Arial"/>
          <w:b/>
          <w:i w:val="0"/>
          <w:color w:val="2563EB"/>
          <w:sz w:val="19"/>
        </w:rPr>
        <w:t xml:space="preserve">13.5. </w:t>
      </w:r>
      <w:r>
        <w:rPr>
          <w:rFonts w:ascii="Arial" w:hAnsi="Arial" w:eastAsia="Arial"/>
          <w:b w:val="0"/>
          <w:i w:val="0"/>
          <w:color w:val="182235"/>
          <w:sz w:val="19"/>
        </w:rPr>
        <w:t>Приложения: № 1 - Техническое задание; № 2 - Коммерческое предложение; № 3 - счёт SHF-2026-01 от 04.08.2026.</w:t>
      </w:r>
    </w:p>
    <w:p>
      <w:pPr>
        <w:pStyle w:val="Heading1"/>
      </w:pPr>
      <w:r>
        <w:t>14. Реквизиты и подписи Сторон</w:t>
      </w:r>
    </w:p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89"/>
        <w:gridCol w:w="4989"/>
      </w:tblGrid>
      <w:tr>
        <w:tc>
          <w:tcPr>
            <w:tcW w:type="dxa" w:w="4989"/>
            <w:tcMar>
              <w:top w:w="160" w:type="dxa"/>
              <w:start w:w="170" w:type="dxa"/>
              <w:bottom w:w="180" w:type="dxa"/>
              <w:end w:w="17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shd w:fill="F2F6FB"/>
          </w:tcPr>
          <w:p>
            <w:r/>
            <w:r>
              <w:rPr>
                <w:rFonts w:ascii="Arial" w:hAnsi="Arial" w:eastAsia="Arial"/>
                <w:b/>
                <w:i w:val="0"/>
                <w:color w:val="2563EB"/>
                <w:sz w:val="18"/>
              </w:rPr>
              <w:t>ИСПОЛНИТЕЛЬ</w:t>
              <w:br/>
            </w:r>
            <w:r>
              <w:rPr>
                <w:rFonts w:ascii="Arial" w:hAnsi="Arial" w:eastAsia="Arial"/>
                <w:b/>
                <w:i w:val="0"/>
                <w:color w:val="0B1930"/>
                <w:sz w:val="18"/>
              </w:rPr>
              <w:t>ИП «STUDYSTORIES.APP»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БИН: 880607300110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Владелец: Цай Платон Львович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Уд. № 044758231 от 22.07.2019, МВД РК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Адрес: г. Алматы, ул. Желтоксан, 118, офис 407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АО «Kaspi Bank», БИК CASPKZKA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IBAN: KZ88722C000023882301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Карта: 4400 4303 0208 4337, PLATON TSAY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Тел.: +7 701 123 99 99</w:t>
              <w:br/>
              <w:t>E-mail: uurraa@gmail.com</w:t>
              <w:br/>
              <w:br/>
            </w:r>
            <w:r>
              <w:rPr>
                <w:rFonts w:ascii="Arial" w:hAnsi="Arial" w:eastAsia="Arial"/>
                <w:b/>
                <w:i w:val="0"/>
                <w:color w:val="0B1930"/>
                <w:sz w:val="18"/>
              </w:rPr>
              <w:t>Подпись / ЭЦП: __________________</w:t>
              <w:br/>
              <w:t>/ Цай П.Л. /     М.П.</w:t>
            </w:r>
          </w:p>
        </w:tc>
        <w:tc>
          <w:tcPr>
            <w:tcW w:type="dxa" w:w="4989"/>
            <w:tcMar>
              <w:top w:w="160" w:type="dxa"/>
              <w:start w:w="170" w:type="dxa"/>
              <w:bottom w:w="180" w:type="dxa"/>
              <w:end w:w="170" w:type="dxa"/>
            </w:tcMar>
            <w:tcBorders>
              <w:top w:val="single" w:sz="6" w:color="D9E1EA"/>
              <w:left w:val="single" w:sz="6" w:color="D9E1EA"/>
              <w:bottom w:val="single" w:sz="6" w:color="D9E1EA"/>
              <w:right w:val="single" w:sz="6" w:color="D9E1EA"/>
              <w:insideH w:val="single" w:sz="6" w:color="D9E1EA"/>
              <w:insideV w:val="single" w:sz="6" w:color="D9E1EA"/>
            </w:tcBorders>
            <w:shd w:fill="F2F6FB"/>
          </w:tcPr>
          <w:p>
            <w:r/>
            <w:r>
              <w:rPr>
                <w:rFonts w:ascii="Arial" w:hAnsi="Arial" w:eastAsia="Arial"/>
                <w:b/>
                <w:i w:val="0"/>
                <w:color w:val="2563EB"/>
                <w:sz w:val="18"/>
              </w:rPr>
              <w:t>ЗАКАЗЧИК</w:t>
              <w:br/>
            </w:r>
            <w:r>
              <w:rPr>
                <w:rFonts w:ascii="Arial" w:hAnsi="Arial" w:eastAsia="Arial"/>
                <w:b/>
                <w:i w:val="0"/>
                <w:color w:val="0B1930"/>
                <w:sz w:val="18"/>
              </w:rPr>
              <w:t>Организация / ИП: 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БИН/ИИН: ______________________________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Представитель: Айдар 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Основание: _____________________________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Адрес: _________________________________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Банк / БИК: ____________________________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IBAN: __________________________________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Тел.: __________________________________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18"/>
              </w:rPr>
              <w:t>E-mail: _________________________________</w:t>
              <w:br/>
              <w:br/>
            </w:r>
            <w:r>
              <w:rPr>
                <w:rFonts w:ascii="Arial" w:hAnsi="Arial" w:eastAsia="Arial"/>
                <w:b/>
                <w:i w:val="0"/>
                <w:color w:val="0B1930"/>
                <w:sz w:val="18"/>
              </w:rPr>
              <w:t>Подпись / ЭЦП: _________________________</w:t>
              <w:br/>
              <w:t>/ __________________ /     М.П.</w:t>
            </w:r>
          </w:p>
        </w:tc>
      </w:tr>
    </w:tbl>
    <w:tbl>
      <w:tblPr>
        <w:tblW w:type="dxa" w:w="99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78"/>
      </w:tblGrid>
      <w:tr>
        <w:tc>
          <w:tcPr>
            <w:tcW w:type="dxa" w:w="9978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single" w:sz="0" w:color="FFF1E8"/>
              <w:left w:val="single" w:sz="0" w:color="FFF1E8"/>
              <w:bottom w:val="single" w:sz="0" w:color="FFF1E8"/>
              <w:right w:val="single" w:sz="0" w:color="FFF1E8"/>
              <w:insideH w:val="single" w:sz="0" w:color="FFF1E8"/>
              <w:insideV w:val="single" w:sz="0" w:color="FFF1E8"/>
            </w:tcBorders>
            <w:shd w:fill="FFF1E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i w:val="0"/>
                <w:color w:val="8C4527"/>
                <w:sz w:val="18"/>
              </w:rPr>
              <w:t>ЗАПОЛНИТЬ ПЕРЕД ПОДПИСАНИЕМ</w:t>
              <w:br/>
            </w:r>
            <w:r>
              <w:rPr>
                <w:rFonts w:ascii="Arial" w:hAnsi="Arial" w:eastAsia="Arial"/>
                <w:b w:val="0"/>
                <w:i w:val="0"/>
                <w:color w:val="182235"/>
                <w:sz w:val="20"/>
              </w:rPr>
              <w:t>Юридическое наименование Заказчика, БИН/ИИН, полное ФИО и полномочия Айдара, адрес, банк, IBAN, телефон и e-mail.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79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7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828"/>
      <w:gridCol w:w="1150"/>
    </w:tblGrid>
    <w:tr>
      <w:tc>
        <w:tcPr>
          <w:tcW w:type="dxa" w:w="8828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Pllato  |  pllato.kz  |  +7 701 123 99 99  |  конфиденциально</w:t>
          </w:r>
        </w:p>
      </w:tc>
      <w:tc>
        <w:tcPr>
          <w:tcW w:type="dxa" w:w="1150"/>
          <w:tcMar>
            <w:top w:w="0" w:type="dxa"/>
            <w:start w:w="0" w:type="dxa"/>
            <w:bottom w:w="0" w:type="dxa"/>
            <w:end w:w="0" w:type="dxa"/>
          </w:tcMar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B7280"/>
              <w:sz w:val="17"/>
            </w:rPr>
            <w:t xml:space="preserve">стр. </w:t>
          </w:r>
          <w:fldSimple w:instr="PAGE">
            <w:r>
              <w:rPr>
                <w:color w:val="6B7280"/>
                <w:sz w:val="17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i w:val="0"/>
        <w:color w:val="2563EB"/>
        <w:sz w:val="19"/>
      </w:rPr>
      <w:t>PLLATO</w:t>
    </w:r>
    <w:r>
      <w:rPr>
        <w:rFonts w:ascii="Arial" w:hAnsi="Arial" w:eastAsia="Arial"/>
        <w:b/>
        <w:i w:val="0"/>
        <w:color w:val="0B1930"/>
        <w:sz w:val="17"/>
      </w:rPr>
      <w:t xml:space="preserve">  |  SHAFRAN CONTROL</w:t>
    </w:r>
    <w:r>
      <w:rPr>
        <w:rFonts w:ascii="Arial" w:hAnsi="Arial" w:eastAsia="Arial"/>
        <w:b w:val="0"/>
        <w:i w:val="0"/>
        <w:color w:val="6B7280"/>
        <w:sz w:val="16"/>
      </w:rPr>
      <w:t xml:space="preserve">    Договор № SHF-Д-2026-01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520" w:hanging="260"/>
      </w:pPr>
      <w:suff w:val="space"/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520" w:hanging="260"/>
      </w:pPr>
      <w:rPr>
        <w:rFonts w:ascii="Symbol" w:hAnsi="Symbol" w:hint="default"/>
      </w:rPr>
      <w:suff w:val="space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70" w:line="254" w:lineRule="auto"/>
    </w:pPr>
    <w:rPr>
      <w:rFonts w:ascii="Arial" w:hAnsi="Arial"/>
      <w:color w:val="1822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193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B19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54" w:lineRule="auto"/>
      <w:ind w:left="490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54" w:lineRule="auto"/>
      <w:ind w:left="490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ause">
    <w:name w:val="Clause"/>
    <w:basedOn w:val="Normal"/>
    <w:pPr>
      <w:spacing w:after="70" w:line="254" w:lineRule="auto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SHF-Д-2026-01</dc:title>
  <dc:subject>Разработка SHAFRAN Control</dc:subject>
  <dc:creator>ИП STUDYSTORIES.APP / Pllato</dc:creator>
  <cp:keywords>SHAFRAN, Pllato, ресторанная сеть, iiko, 1С, HR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