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 w:eastAsia="Arial"/>
          <w:b/>
          <w:i w:val="0"/>
          <w:color w:val="2563EB"/>
          <w:sz w:val="18"/>
        </w:rPr>
        <w:t>ТЕХНИЧЕСКОЕ ЗАДАНИЕ</w:t>
      </w:r>
    </w:p>
    <w:p>
      <w:pPr>
        <w:spacing w:after="80"/>
        <w:jc w:val="left"/>
      </w:pPr>
      <w:r>
        <w:rPr>
          <w:rFonts w:ascii="Arial" w:hAnsi="Arial" w:eastAsia="Arial"/>
          <w:b/>
          <w:i w:val="0"/>
          <w:color w:val="0B1930"/>
          <w:sz w:val="44"/>
        </w:rPr>
        <w:t>SHAFRAN CONTROL</w:t>
      </w:r>
    </w:p>
    <w:p>
      <w:pPr>
        <w:spacing w:after="280"/>
        <w:jc w:val="left"/>
        <w:pBdr>
          <w:bottom w:val="single" w:sz="10" w:space="6" w:color="2563EB"/>
        </w:pBdr>
      </w:pPr>
      <w:r>
        <w:rPr>
          <w:rFonts w:ascii="Arial" w:hAnsi="Arial" w:eastAsia="Arial"/>
          <w:b w:val="0"/>
          <w:i/>
          <w:color w:val="6B7280"/>
          <w:sz w:val="25"/>
        </w:rPr>
        <w:t>Операционный портал, HR-платформа и интеграции iiko/POS + 1С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278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ВЕРСИЯ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1.0 от 04.08.2026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ЗАКАЗЧИК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Айдар · «Шафран» / «Фиш-фрайд»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ИСПОЛНИТЕЛЬ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ИП «STUDYSTORIES.APP» / Pllato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СРОК MVP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до 6 недель</w:t>
            </w:r>
          </w:p>
        </w:tc>
      </w:tr>
    </w:tbl>
    <w:p>
      <w:pPr>
        <w:spacing w:after="0"/>
      </w:pP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78"/>
      </w:tblGrid>
      <w:tr>
        <w:tc>
          <w:tcPr>
            <w:tcW w:type="dxa" w:w="9978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0" w:color="E8F0FF"/>
              <w:left w:val="single" w:sz="0" w:color="E8F0FF"/>
              <w:bottom w:val="single" w:sz="0" w:color="E8F0FF"/>
              <w:right w:val="single" w:sz="0" w:color="E8F0FF"/>
              <w:insideH w:val="single" w:sz="0" w:color="E8F0FF"/>
              <w:insideV w:val="single" w:sz="0" w:color="E8F0FF"/>
            </w:tcBorders>
            <w:shd w:fill="E8F0FF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2563EB"/>
                <w:sz w:val="18"/>
              </w:rPr>
              <w:t>НАЗНАЧЕНИЕ ДОКУМЕНТА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20"/>
              </w:rPr>
              <w:t>ТЗ фиксирует согласованный функциональный объём MVP. Детальные поля, справочники, форматы обмена и макеты уточняются на этапе проектирования без изменения согласованной бизнес-логики.</w:t>
            </w:r>
          </w:p>
        </w:tc>
      </w:tr>
    </w:tbl>
    <w:p>
      <w:pPr>
        <w:spacing w:after="0"/>
      </w:pPr>
    </w:p>
    <w:p>
      <w:pPr>
        <w:pStyle w:val="Heading1"/>
      </w:pPr>
      <w:r>
        <w:t>1. Контекст и цели</w:t>
      </w:r>
    </w:p>
    <w:p>
      <w:pPr>
        <w:keepLines w:val="0"/>
      </w:pPr>
      <w:r>
        <w:rPr>
          <w:rFonts w:ascii="Arial" w:hAnsi="Arial" w:eastAsia="Arial"/>
          <w:b w:val="0"/>
          <w:i w:val="0"/>
          <w:color w:val="182235"/>
          <w:sz w:val="19"/>
        </w:rPr>
        <w:t>Система предназначена для централизованного управления ресторанными сетями «Шафран» и «Фиш-фрайд», включая закуп, склад, производство, финансы, промо, HR и совместную работу. Решение не заменяет iiko/POS и 1С, а объединяет данные и управленческие действия в одном ролевом портале.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Снизить непрозрачность закупок, списаний и изменений food cost.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Получать онлайн-остатки и отклонения по ресторанам в течение операционного дня.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Автоматизировать реакции на скоропорт, излишки и критические остатки.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Сократить ручные операции найма, обучения и аттестации при массовом потоке кандидатов.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Создать архитектурный каркас, который можно расширять через согласованные конструкторы.</w:t>
      </w:r>
    </w:p>
    <w:p>
      <w:pPr>
        <w:pStyle w:val="Heading1"/>
      </w:pPr>
      <w:r>
        <w:t>2. Пользователи и роли</w:t>
      </w:r>
    </w:p>
    <w:tbl>
      <w:tblPr>
        <w:tblW w:type="dxa" w:w="997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778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Роль</w:t>
            </w:r>
          </w:p>
        </w:tc>
        <w:tc>
          <w:tcPr>
            <w:tcW w:type="dxa" w:w="77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Основные права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Собственник</w:t>
            </w:r>
          </w:p>
        </w:tc>
        <w:tc>
          <w:tcPr>
            <w:tcW w:type="dxa" w:w="77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Вся сеть, KPI, финансы, риски, согласования и управленческие действия.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Операционный директор</w:t>
            </w:r>
          </w:p>
        </w:tc>
        <w:tc>
          <w:tcPr>
            <w:tcW w:type="dxa" w:w="77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Точки, процессы, задачи, отклонения, производство и качество.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Закуп / аудитор</w:t>
            </w:r>
          </w:p>
        </w:tc>
        <w:tc>
          <w:tcPr>
            <w:tcW w:type="dxa" w:w="77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Заявки, поставщики, цены, чеки, лимиты, аномалии и проверки.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Склад / логистика</w:t>
            </w:r>
          </w:p>
        </w:tc>
        <w:tc>
          <w:tcPr>
            <w:tcW w:type="dxa" w:w="77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Поступления, списания, перемещения, инвентаризации и партии.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Шеф / технолог</w:t>
            </w:r>
          </w:p>
        </w:tc>
        <w:tc>
          <w:tcPr>
            <w:tcW w:type="dxa" w:w="77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Техкарты, нормы, себестоимость, выпуск, качество и промо-решения.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Финансы / бухгалтерия</w:t>
            </w:r>
          </w:p>
        </w:tc>
        <w:tc>
          <w:tcPr>
            <w:tcW w:type="dxa" w:w="77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План-факт, P&amp;L, документы, 1С-обмен и сверки.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HR / рекрутер / тренер</w:t>
            </w:r>
          </w:p>
        </w:tc>
        <w:tc>
          <w:tcPr>
            <w:tcW w:type="dxa" w:w="77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Вакансии, кандидаты, тесты, обучение, аттестации и отчёты.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Маркетинг</w:t>
            </w:r>
          </w:p>
        </w:tc>
        <w:tc>
          <w:tcPr>
            <w:tcW w:type="dxa" w:w="77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Кампании, промо, согласование, эффект и контент-задачи.</w:t>
            </w:r>
          </w:p>
        </w:tc>
      </w:tr>
      <w:tr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Директор ресторана</w:t>
            </w:r>
          </w:p>
        </w:tc>
        <w:tc>
          <w:tcPr>
            <w:tcW w:type="dxa" w:w="77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Данные своей точки, локальные документы, задачи и команда.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Основной операционный портал</w:t>
      </w:r>
    </w:p>
    <w:p>
      <w:pPr>
        <w:pStyle w:val="Heading2"/>
      </w:pPr>
      <w:r>
        <w:t>3.1. Управление сетью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Главный экран собственника: выручка, средний чек, food cost, списания, остатки, выполнение плана и активные риски.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Карта географии, фильтры по бренду, стране, городу и статусу.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Рейтинг ресторанов и карточка точки с расшифровкой показателей до документов и задач.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Настраиваемые периоды, сравнение точек и экспорт согласованных отчётов.</w:t>
      </w:r>
    </w:p>
    <w:p>
      <w:pPr>
        <w:pStyle w:val="Heading2"/>
      </w:pPr>
      <w:r>
        <w:t>3.2. Закуп и контроль «нал/базар»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Электронная заявка: инициатор, ресторан, позиция, количество, срок, бюджет и обоснование.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Предодобренные поставщики/каталоги, лимиты по цене и количеству, маршруты согласования.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Раздельные процессы безналичного закупа и «нал/базар» с ответственным агентом/закупщиком.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Обязательная фиксация чека или накладной, фото и фактической цены.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Сравнение с последней, средней и референсной ценой; флаги аномалий и журнал аудита.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Передача фактической закупочной цены в расчёт себестоимости и food cost.</w:t>
      </w:r>
    </w:p>
    <w:p>
      <w:pPr>
        <w:pStyle w:val="Heading2"/>
      </w:pPr>
      <w:r>
        <w:t>3.3. Склад, производство и техкарты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Документы поступления, списания, перемещения и инвентаризации с историей изменений.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Остатки по складам/ресторанам, партиям, срокам годности и резервам.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Мобильный режим ревизии и фиксация расхождений в день пересчёта.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Виртуальный склад ингредиентов и блюд; выпуск и обратное списание по техкартам.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Нормы закладки, ужарки/упарки, выходы, версии техкарт и согласование изменений.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Пересчёт себестоимости, food cost и маржи при изменении закупочной цены.</w:t>
      </w:r>
    </w:p>
    <w:p>
      <w:pPr>
        <w:pStyle w:val="Heading2"/>
      </w:pPr>
      <w:r>
        <w:t>3.4. Финансы и управленческая аналитика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Выручка, средний чек, гости, себестоимость, food cost, валовая маржа и P&amp;L.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План-факт по ресторану, бренду, городу и сети с расшифровкой источника.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Закупочные отклонения, списания, недостачи, пересортица и эффект промо.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Единые определения KPI и журнал времени последней синхронизации.</w:t>
      </w:r>
    </w:p>
    <w:p>
      <w:r>
        <w:br w:type="page"/>
      </w:r>
    </w:p>
    <w:p>
      <w:pPr>
        <w:pStyle w:val="Heading1"/>
      </w:pPr>
      <w:r>
        <w:t>4. Промо по остаткам и срокам годности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Правила риска: срок годности, избыточный остаток, низкая оборачиваемость и прогноз спроса.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Автоматическое создание предложения по промо: блюдо, ресторан, период, скидка/механика и ожидаемый объём.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Согласование ответственным; по умолчанию система не публикует акцию без подтверждения.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Задачи кухне, менеджеру и маркетингу; уведомления и контроль исполнения.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Факт продаж, списаний и экономического эффекта после завершения акции.</w:t>
      </w:r>
    </w:p>
    <w:p>
      <w:pPr>
        <w:pStyle w:val="Heading1"/>
      </w:pPr>
      <w:r>
        <w:t>5. Совместная работа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Доски процессов: продажи/банкеты, производство, строительство и иные настроенные потоки.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Карточка задачи: ответственный, срок, приоритет, чек-лист, вложения, связь с рестораном/документом.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Календарь, уведомления, комментарии, история статусов и контроль просрочки.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Внутренняя wiki: регламенты, инструкции, стандарты и версии документов.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Рабочий чат/обсуждение в рамках согласованного канала; внешние мессенджеры подключаются отдельно.</w:t>
      </w:r>
    </w:p>
    <w:p>
      <w:pPr>
        <w:pStyle w:val="Heading1"/>
      </w:pPr>
      <w:r>
        <w:t>6. HR-система</w:t>
      </w:r>
    </w:p>
    <w:p>
      <w:pPr>
        <w:pStyle w:val="Heading2"/>
      </w:pPr>
      <w:r>
        <w:t>6.1. Найм и воронка кандидатов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Вакансии, рестораны, потребность, план найма, источники и ответственные.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Интеграция с HeadHunter через доступный официальный API/выгрузку; импорт откликов и статусов.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Этапы: отклик → анкета → тест → интервью → тренировочный день → оффер → выход.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Таймеры и SLA, пакетные действия, шаблоны сообщений, календарь слотов и автонапоминания.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Рейтинг кандидатов, причины отказов и контролируемый автоотсев по утверждённым правилам.</w:t>
      </w:r>
    </w:p>
    <w:p>
      <w:pPr>
        <w:pStyle w:val="Heading2"/>
      </w:pPr>
      <w:r>
        <w:t>6.2. Оценка, обучение и карьера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Библиотека тестов: профессиональные знания, ситуационные кейсы, когнитивные и иные согласованные методики.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Разные профили оценки и пороги для официанта, повара, менеджера и других ролей.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Курсы, инструкции, видео, тренажёры, вопросы, попытки, баллы и прогресс.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Аттестация, сертификат уровня, срок действия, переаттестация и допуск к посту.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Матрица компетенций, карьерные уровни, кадровый резерв и рекомендации по развитию.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Конструктор материалов и тестов внутри утверждённых шаблонов без изменения ядра системы.</w:t>
      </w:r>
    </w:p>
    <w:p>
      <w:pPr>
        <w:pStyle w:val="Heading2"/>
      </w:pPr>
      <w:r>
        <w:t>6.3. Обучение персонала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Пять дистанционных Zoom-конференций общей продолжительностью до 10 часов.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Группы и программа согласуются с Заказчиком: администраторы, владельцы процессов, руководители и операционные сотрудники.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Темы включают роли и доступы, закуп, склад, производство, HR, задачи, аналитику и практические рабочие сценарии.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Каждая сессия включает демонстрацию, практический разбор и ответы на вопросы участников.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Краткие материалы передаются после занятий; запись предоставляется при наличии технической возможности и согласия участников.</w:t>
      </w:r>
    </w:p>
    <w:p>
      <w:r>
        <w:br w:type="page"/>
      </w:r>
    </w:p>
    <w:p>
      <w:pPr>
        <w:pStyle w:val="Heading1"/>
      </w:pPr>
      <w:r>
        <w:t>7. Интеграции</w:t>
      </w:r>
    </w:p>
    <w:p>
      <w:pPr>
        <w:pStyle w:val="Heading2"/>
      </w:pPr>
      <w:r>
        <w:t>7.1. iiko/POS</w:t>
      </w:r>
    </w:p>
    <w:tbl>
      <w:tblPr>
        <w:tblW w:type="dxa" w:w="997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8078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Направление</w:t>
            </w:r>
          </w:p>
        </w:tc>
        <w:tc>
          <w:tcPr>
            <w:tcW w:type="dxa" w:w="80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Согласуемые данные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В систему</w:t>
            </w:r>
          </w:p>
        </w:tc>
        <w:tc>
          <w:tcPr>
            <w:tcW w:type="dxa" w:w="80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Продажи, чеки, оплаты, меню, цены, точки, смены и иные доступные сущности.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Из системы</w:t>
            </w:r>
          </w:p>
        </w:tc>
        <w:tc>
          <w:tcPr>
            <w:tcW w:type="dxa" w:w="80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Только согласованные справочники/решения, поддерживаемые официальным интерфейсом.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Контроль</w:t>
            </w:r>
          </w:p>
        </w:tc>
        <w:tc>
          <w:tcPr>
            <w:tcW w:type="dxa" w:w="80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Очередь, журнал запросов, статус, ошибка, повтор и уведомление.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Частота</w:t>
            </w:r>
          </w:p>
        </w:tc>
        <w:tc>
          <w:tcPr>
            <w:tcW w:type="dxa" w:w="80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Целевой режим близкий к реальному времени; итоговая частота после теста API.</w:t>
            </w:r>
          </w:p>
        </w:tc>
      </w:tr>
    </w:tbl>
    <w:p>
      <w:pPr>
        <w:spacing w:after="0"/>
      </w:pPr>
    </w:p>
    <w:p>
      <w:pPr>
        <w:pStyle w:val="Heading2"/>
      </w:pPr>
      <w:r>
        <w:t>7.2. 1С через OData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Одна согласованная база/конфигурация 1С и один опубликованный OData-контур в базовой цене.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Инвентаризация метаданных и таблица соответствия справочников, документов, статусов и идентификаторов.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Сценарии чтения/записи фиксируются после технической сессии и одобряются обеими сторонами.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Инкрементальная синхронизация, идемпотентность, очередь, повтор, карантин ошибки и ручной перезапуск.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Целевой лаг до 30 секунд для поддерживаемых операций при доступных API и инфраструктуре.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Дополнительные базы, нетиповые расширения и изменение конфигурации 1С - отдельный объём.</w:t>
      </w:r>
    </w:p>
    <w:p>
      <w:pPr>
        <w:pStyle w:val="Heading2"/>
      </w:pPr>
      <w:r>
        <w:t>7.3. HeadHunter и другие сервисы</w:t>
      </w:r>
    </w:p>
    <w:p>
      <w:pPr>
        <w:keepLines w:val="0"/>
      </w:pPr>
      <w:r>
        <w:rPr>
          <w:rFonts w:ascii="Arial" w:hAnsi="Arial" w:eastAsia="Arial"/>
          <w:b w:val="0"/>
          <w:i w:val="0"/>
          <w:color w:val="182235"/>
          <w:sz w:val="19"/>
        </w:rPr>
        <w:t>Подключение выполняется через официальный API, разрешённый импорт/экспорт или иной законный механизм. Платные тарифы, лицензии и согласования владельцев внешних сервисов оплачиваются Заказчиком.</w:t>
      </w:r>
    </w:p>
    <w:p>
      <w:pPr>
        <w:pStyle w:val="Heading1"/>
      </w:pPr>
      <w:r>
        <w:t>8. Данные, конструктор и миграция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Импорт согласованных справочников ресторанов, пользователей, меню, техкарт, поставщиков и ролей.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Контрольная загрузка, отчёт об ошибках, основной импорт и итоговая сверка.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Конструкторы контента, тестов, тренажёров, полей и маршрутов - только в границах утверждённого фрейма.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Изменение архитектуры, новые самостоятельные модули и неподдерживаемые источники оформляются отдельно.</w:t>
      </w:r>
    </w:p>
    <w:p>
      <w:r>
        <w:br w:type="page"/>
      </w:r>
    </w:p>
    <w:p>
      <w:pPr>
        <w:pStyle w:val="Heading1"/>
      </w:pPr>
      <w:r>
        <w:t>9. Нефункциональные требования</w:t>
      </w:r>
    </w:p>
    <w:tbl>
      <w:tblPr>
        <w:tblW w:type="dxa" w:w="997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678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Область</w:t>
            </w:r>
          </w:p>
        </w:tc>
        <w:tc>
          <w:tcPr>
            <w:tcW w:type="dxa" w:w="76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Требование MVP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Доступ</w:t>
            </w:r>
          </w:p>
        </w:tc>
        <w:tc>
          <w:tcPr>
            <w:tcW w:type="dxa" w:w="76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Ролевая модель, авторизация, разграничение по сети/бренду/ресторану.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Аудит</w:t>
            </w:r>
          </w:p>
        </w:tc>
        <w:tc>
          <w:tcPr>
            <w:tcW w:type="dxa" w:w="76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Журнал критичных операций, изменений, согласований и интеграционных событий.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Интерфейс</w:t>
            </w:r>
          </w:p>
        </w:tc>
        <w:tc>
          <w:tcPr>
            <w:tcW w:type="dxa" w:w="76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Адаптивный web-интерфейс для компьютера, планшета и современного смартфона.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Надёжность</w:t>
            </w:r>
          </w:p>
        </w:tc>
        <w:tc>
          <w:tcPr>
            <w:tcW w:type="dxa" w:w="76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Резервное копирование по согласованной политике; мониторинг интеграций.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Производительность</w:t>
            </w:r>
          </w:p>
        </w:tc>
        <w:tc>
          <w:tcPr>
            <w:tcW w:type="dxa" w:w="76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Типовые страницы - целевой отклик до 3 секунд при штатной нагрузке и связи.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Безопасность</w:t>
            </w:r>
          </w:p>
        </w:tc>
        <w:tc>
          <w:tcPr>
            <w:tcW w:type="dxa" w:w="76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HTTPS, хранение секретов вне клиентского кода, минимально необходимые права.</w:t>
            </w:r>
          </w:p>
        </w:tc>
      </w:tr>
      <w:tr>
        <w:tc>
          <w:tcPr>
            <w:tcW w:type="dxa" w:w="23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Масштабирование</w:t>
            </w:r>
          </w:p>
        </w:tc>
        <w:tc>
          <w:tcPr>
            <w:tcW w:type="dxa" w:w="76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Добавление ресторанов и пользователей без изменения базовой архитектуры.</w:t>
            </w:r>
          </w:p>
        </w:tc>
      </w:tr>
    </w:tbl>
    <w:p>
      <w:pPr>
        <w:spacing w:after="0"/>
      </w:pPr>
    </w:p>
    <w:p>
      <w:pPr>
        <w:pStyle w:val="Heading1"/>
      </w:pPr>
      <w:r>
        <w:t>10. Этапы и результаты</w:t>
      </w:r>
    </w:p>
    <w:tbl>
      <w:tblPr>
        <w:tblW w:type="dxa" w:w="997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1800"/>
        <w:gridCol w:w="6528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Этап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Срок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165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Проектирование</w:t>
            </w:r>
          </w:p>
        </w:tc>
        <w:tc>
          <w:tcPr>
            <w:tcW w:type="dxa" w:w="18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дни 1-3</w:t>
            </w:r>
          </w:p>
        </w:tc>
        <w:tc>
          <w:tcPr>
            <w:tcW w:type="dxa" w:w="652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Карта процессов, роли, архитектура, интеграционная карта.</w:t>
            </w:r>
          </w:p>
        </w:tc>
      </w:tr>
      <w:tr>
        <w:tc>
          <w:tcPr>
            <w:tcW w:type="dxa" w:w="165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Этап 1 · ядро</w:t>
            </w:r>
          </w:p>
        </w:tc>
        <w:tc>
          <w:tcPr>
            <w:tcW w:type="dxa" w:w="18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до 10 раб. дней</w:t>
            </w:r>
          </w:p>
        </w:tc>
        <w:tc>
          <w:tcPr>
            <w:tcW w:type="dxa" w:w="652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Рабочий каркас портала, ключевые справочники, HR-прототип, тестовый обмен.</w:t>
            </w:r>
          </w:p>
        </w:tc>
      </w:tr>
      <w:tr>
        <w:tc>
          <w:tcPr>
            <w:tcW w:type="dxa" w:w="165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Этап 2 · MVP</w:t>
            </w:r>
          </w:p>
        </w:tc>
        <w:tc>
          <w:tcPr>
            <w:tcW w:type="dxa" w:w="18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до 6 недель</w:t>
            </w:r>
          </w:p>
        </w:tc>
        <w:tc>
          <w:tcPr>
            <w:tcW w:type="dxa" w:w="652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Согласованный функционал, интеграции, пилот, 5 Zoom-сессий и передача.</w:t>
            </w:r>
          </w:p>
        </w:tc>
      </w:tr>
    </w:tbl>
    <w:p>
      <w:pPr>
        <w:spacing w:after="0"/>
      </w:pPr>
    </w:p>
    <w:p>
      <w:pPr>
        <w:pStyle w:val="Heading1"/>
      </w:pPr>
      <w:r>
        <w:t>11. Критерии приёмки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Пользователь входит под своей ролью и видит только разрешённые разделы и рестораны.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Ключевые сценарии закупа, склада, техкарт, промо, HR и задач выполняются без блокирующих дефектов.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Тестовый обмен с iiko/POS и одной базой 1С подтверждён на согласованных контрольных примерах.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Расчёт KPI и food cost сверяется на согласованной выборке документов.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HR-воронка и пилотный тренажёр проходят от создания кандидата до результата/сертификата.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Переданы доступы, инструкция, резервная копия/репозиторий и проведены пять Zoom-конференций для персонала.</w:t>
      </w:r>
    </w:p>
    <w:p>
      <w:pPr>
        <w:pStyle w:val="Heading1"/>
      </w:pPr>
      <w:r>
        <w:t>12. Не входит в MVP</w:t>
      </w:r>
    </w:p>
    <w:p>
      <w:pPr>
        <w:keepLines w:val="0"/>
      </w:pPr>
      <w:r>
        <w:rPr>
          <w:rFonts w:ascii="Arial" w:hAnsi="Arial" w:eastAsia="Arial"/>
          <w:b w:val="0"/>
          <w:i w:val="0"/>
          <w:color w:val="182235"/>
          <w:sz w:val="19"/>
        </w:rPr>
        <w:t>Лицензии и доработка iiko, 1С, HeadHunter и иных сторонних продуктов; оборудование; серверы и домены; платные API; интеграции, не перечисленные в ТЗ; ввод данных вручную вместо доступной выгрузки; on-site внедрение во всех ресторанах; обучение сверх пяти Zoom-конференций; регулярное сопровождение после гарантии; юридическая/психологическая валидация методик оценки.</w:t>
      </w:r>
    </w:p>
    <w:p>
      <w:pPr>
        <w:pStyle w:val="Heading1"/>
      </w:pPr>
      <w:r>
        <w:t>13. Открытые вопросы до старта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Точное юридическое лицо Заказчика и ответственные владельцы процессов.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Версия и количество инстансов iiko/POS и 1С, доступность API/OData и тестового контура.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Список сценариев записи в 1С и iiko/POS, допустимые задержки и объём истории.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182235"/>
          <w:sz w:val="19"/>
        </w:rPr>
        <w:t>Приоритет пилотного ресторана/поста и материалы для первого HR-тренажёра.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78"/>
      </w:tblGrid>
      <w:tr>
        <w:tc>
          <w:tcPr>
            <w:tcW w:type="dxa" w:w="9978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0" w:color="FFF1E8"/>
              <w:left w:val="single" w:sz="0" w:color="FFF1E8"/>
              <w:bottom w:val="single" w:sz="0" w:color="FFF1E8"/>
              <w:right w:val="single" w:sz="0" w:color="FFF1E8"/>
              <w:insideH w:val="single" w:sz="0" w:color="FFF1E8"/>
              <w:insideV w:val="single" w:sz="0" w:color="FFF1E8"/>
            </w:tcBorders>
            <w:shd w:fill="FFF1E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8C4527"/>
                <w:sz w:val="18"/>
              </w:rPr>
              <w:t>ПРИОРИТЕТ ДОКУМЕНТОВ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20"/>
              </w:rPr>
              <w:t>При расхождении ТЗ с демонстрацией приоритет имеет настоящее ТЗ. Демонстрационные данные и интерфейсы иллюстрируют логику, но не расширяют объём обязательств.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79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78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828"/>
      <w:gridCol w:w="1150"/>
    </w:tblGrid>
    <w:tr>
      <w:tc>
        <w:tcPr>
          <w:tcW w:type="dxa" w:w="8828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pPr>
            <w:spacing w:before="0" w:after="0" w:line="252" w:lineRule="auto"/>
            <w:jc w:val="left"/>
          </w:pPr>
          <w:r/>
          <w:r>
            <w:rPr>
              <w:rFonts w:ascii="Arial" w:hAnsi="Arial" w:eastAsia="Arial"/>
              <w:b w:val="0"/>
              <w:i w:val="0"/>
              <w:color w:val="6B7280"/>
              <w:sz w:val="16"/>
            </w:rPr>
            <w:t>Pllato  |  pllato.kz  |  +7 701 123 99 99  |  конфиденциально</w:t>
          </w:r>
        </w:p>
      </w:tc>
      <w:tc>
        <w:tcPr>
          <w:tcW w:type="dxa" w:w="1150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B7280"/>
              <w:sz w:val="17"/>
            </w:rPr>
            <w:t xml:space="preserve">стр. </w:t>
          </w:r>
          <w:fldSimple w:instr="PAGE">
            <w:r>
              <w:rPr>
                <w:color w:val="6B7280"/>
                <w:sz w:val="17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b/>
        <w:i w:val="0"/>
        <w:color w:val="2563EB"/>
        <w:sz w:val="19"/>
      </w:rPr>
      <w:t>PLLATO</w:t>
    </w:r>
    <w:r>
      <w:rPr>
        <w:rFonts w:ascii="Arial" w:hAnsi="Arial" w:eastAsia="Arial"/>
        <w:b/>
        <w:i w:val="0"/>
        <w:color w:val="0B1930"/>
        <w:sz w:val="17"/>
      </w:rPr>
      <w:t xml:space="preserve">  |  SHAFRAN CONTROL</w:t>
    </w:r>
    <w:r>
      <w:rPr>
        <w:rFonts w:ascii="Arial" w:hAnsi="Arial" w:eastAsia="Arial"/>
        <w:b w:val="0"/>
        <w:i w:val="0"/>
        <w:color w:val="6B7280"/>
        <w:sz w:val="16"/>
      </w:rPr>
      <w:t xml:space="preserve">    Техническое задание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520" w:hanging="260"/>
      </w:pPr>
      <w:suff w:val="space"/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520" w:hanging="260"/>
      </w:pPr>
      <w:rPr>
        <w:rFonts w:ascii="Symbol" w:hAnsi="Symbol" w:hint="default"/>
      </w:rPr>
      <w:suff w:val="space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1822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193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B19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259" w:lineRule="auto"/>
      <w:ind w:left="490" w:hanging="23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259" w:lineRule="auto"/>
      <w:ind w:left="490" w:hanging="23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">
    <w:name w:val="Clause"/>
    <w:basedOn w:val="Normal"/>
    <w:pPr>
      <w:spacing w:after="80" w:line="259" w:lineRule="auto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SHAFRAN Control: функциональные и интеграционные требования</dc:subject>
  <dc:creator>ИП STUDYSTORIES.APP / Pllato</dc:creator>
  <cp:keywords>SHAFRAN, Pllato, ресторанная сеть, iiko, 1С, HR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