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0" w:after="40" w:line="240" w:lineRule="auto"/>
      </w:pPr>
      <w:r>
        <w:rPr>
          <w:rFonts w:ascii="Arial" w:hAnsi="Arial" w:eastAsia="Arial"/>
          <w:b/>
          <w:color w:val="08162D"/>
          <w:sz w:val="42"/>
        </w:rPr>
        <w:t>ДОГОВОР</w:t>
      </w:r>
    </w:p>
    <w:p>
      <w:pPr>
        <w:keepNext w:val="0"/>
        <w:spacing w:before="0" w:after="60" w:line="240" w:lineRule="auto"/>
      </w:pPr>
      <w:r>
        <w:rPr>
          <w:rFonts w:ascii="Arial" w:hAnsi="Arial" w:eastAsia="Arial"/>
          <w:b/>
          <w:color w:val="2563EB"/>
          <w:sz w:val="26"/>
        </w:rPr>
        <w:t>на разработку программного обеспечения и сайта</w:t>
      </w:r>
    </w:p>
    <w:p>
      <w:pPr>
        <w:keepNext w:val="0"/>
        <w:spacing w:before="0" w:after="200" w:line="240" w:lineRule="auto"/>
      </w:pPr>
      <w:r>
        <w:rPr>
          <w:rFonts w:ascii="Arial" w:hAnsi="Arial" w:eastAsia="Arial"/>
          <w:b/>
          <w:color w:val="667085"/>
          <w:sz w:val="17"/>
        </w:rPr>
        <w:t>№ NUK-Д-2026-01  •  проект NUK Control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type="dxa" w:w="328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2563EB"/>
                <w:sz w:val="13"/>
              </w:rPr>
              <w:t>ДАТА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8162D"/>
                <w:sz w:val="20"/>
              </w:rPr>
              <w:t>04 августа 2026</w:t>
            </w:r>
          </w:p>
        </w:tc>
        <w:tc>
          <w:tcPr>
            <w:tcW w:type="dxa" w:w="328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2563EB"/>
                <w:sz w:val="13"/>
              </w:rPr>
              <w:t>СРОК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8162D"/>
                <w:sz w:val="20"/>
              </w:rPr>
              <w:t>до 6 недель</w:t>
            </w:r>
          </w:p>
        </w:tc>
        <w:tc>
          <w:tcPr>
            <w:tcW w:type="dxa" w:w="3288"/>
            <w:shd w:fill="08162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РАСЧЁТНАЯ СТОИМОСТЬ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4 000 USD</w:t>
            </w:r>
          </w:p>
        </w:tc>
      </w:tr>
    </w:tbl>
    <w:p>
      <w:pPr>
        <w:keepNext w:val="0"/>
        <w:spacing w:before="160" w:after="100" w:line="259" w:lineRule="auto"/>
        <w:jc w:val="both"/>
      </w:pPr>
      <w:r>
        <w:rPr>
          <w:rFonts w:ascii="Arial" w:hAnsi="Arial" w:eastAsia="Arial"/>
          <w:b/>
          <w:color w:val="101828"/>
          <w:sz w:val="17"/>
        </w:rPr>
        <w:t xml:space="preserve">г. Алматы, 04 августа 2026 года. </w:t>
      </w:r>
      <w:r>
        <w:rPr>
          <w:rFonts w:ascii="Arial" w:hAnsi="Arial" w:eastAsia="Arial"/>
          <w:color w:val="101828"/>
          <w:sz w:val="17"/>
        </w:rPr>
        <w:t>Индивидуальный предприниматель «STUDYSTORIES.APP», БИН 880607300110, в лице владельца Цая Платона Львовича, действующего на основании уведомления о начале деятельности индивидуального предпринимателя, именуемый далее «Исполнитель», с одной стороны, и гражданин Республики Казахстан Нурлан ________________________________, ИИН ____________________, удостоверение личности № ____________________, выдано ____________________, адрес: ________________________________, телефон +7 700 790 01 01, именуемый далее «Заказчик», с другой стороны, совместно именуемые «Стороны», заключили настоящий Договор о нижеследующем.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1. Предмет Договора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1.1. </w:t>
      </w:r>
      <w:r>
        <w:rPr>
          <w:rFonts w:ascii="Arial" w:hAnsi="Arial" w:eastAsia="Arial"/>
          <w:color w:val="101828"/>
          <w:sz w:val="17"/>
        </w:rPr>
        <w:t>Исполнитель обязуется разработать, настроить и передать Заказчику программную систему NUK Control для управления BMW-авторазбором, складом, продажами и публичным каталогом (далее - «Система» и «Работы»), а Заказчик обязуется принять результат и оплатить Работы.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1.2. </w:t>
      </w:r>
      <w:r>
        <w:rPr>
          <w:rFonts w:ascii="Arial" w:hAnsi="Arial" w:eastAsia="Arial"/>
          <w:color w:val="101828"/>
          <w:sz w:val="17"/>
        </w:rPr>
        <w:t>Функциональный состав, критерии приёмки и ограничения определяются Техническим заданием Pllato_TZ_NUK_Auto от 04.08.2026 (Приложение № 1) и Коммерческим предложением Pllato_KP_NUK_Auto, версия 2.0 от 04.08.2026 (Приложение № 2). При расхождении настоящий Договор имеет приоритет по цене, оплате, правам и ответственности, а ТЗ - по функциональному результату.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1.3. </w:t>
      </w:r>
      <w:r>
        <w:rPr>
          <w:rFonts w:ascii="Arial" w:hAnsi="Arial" w:eastAsia="Arial"/>
          <w:color w:val="101828"/>
          <w:sz w:val="17"/>
        </w:rPr>
        <w:t>Демонстрационная версия по адресу pllato.kz/app/nukrazbor.html иллюстрирует согласованную логику интерфейса, но объём обязательств определяется ТЗ, а не демонстрационными данными.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2. Состав Работ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2.1. </w:t>
      </w:r>
      <w:r>
        <w:rPr>
          <w:rFonts w:ascii="Arial" w:hAnsi="Arial" w:eastAsia="Arial"/>
          <w:color w:val="101828"/>
          <w:sz w:val="17"/>
        </w:rPr>
        <w:t>В Работы входят: внутренний складской портал NUK Control; автомобили-доноры и разбор; поступления; адресный склад на двух площадках; каталог деталей; продажи, CRM и задачи; аналитика; роли и журнал действий; сайт с BMW-каталогом; универсальный рекламный лендинг; предварительная техническая SEO-подготовка; перенос согласованных данных Bazon и доступных штрихкодов; обучение и развёртывание.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2.2. </w:t>
      </w:r>
      <w:r>
        <w:rPr>
          <w:rFonts w:ascii="Arial" w:hAnsi="Arial" w:eastAsia="Arial"/>
          <w:color w:val="101828"/>
          <w:sz w:val="17"/>
        </w:rPr>
        <w:t>Каждая деталь получает карточку NUK и связь со всеми доступными прежними штрихкодами. Каждая зона, стеллаж и полка получают складской код. Сканирование детали и места хранения используется для размещения, перемещения, инвентаризации и выдачи.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2.3. </w:t>
      </w:r>
      <w:r>
        <w:rPr>
          <w:rFonts w:ascii="Arial" w:hAnsi="Arial" w:eastAsia="Arial"/>
          <w:color w:val="101828"/>
          <w:sz w:val="17"/>
        </w:rPr>
        <w:t>Не входят: сервер и домен, платные API, WhatsApp Business, телефония, рекламный бюджет, регулярное SEO-продвижение, оборудование и расходные материалы, а также физическая наклейка этикеток силами Исполнителя. Эти расходы несёт Заказчик, если Стороны письменно не согласуют иное.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3. Сроки и этапы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3.1. </w:t>
      </w:r>
      <w:r>
        <w:rPr>
          <w:rFonts w:ascii="Arial" w:hAnsi="Arial" w:eastAsia="Arial"/>
          <w:color w:val="101828"/>
          <w:sz w:val="17"/>
        </w:rPr>
        <w:t>Исполнитель приступает к Работам в течение 2 (двух) рабочих дней после подписания Договора, получения стартового платежа и передачи Заказчиком необходимых материалов, доступов и тестовой выгрузки.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0"/>
        <w:gridCol w:w="6500"/>
        <w:gridCol w:w="1714"/>
      </w:tblGrid>
      <w:tr>
        <w:trPr>
          <w:tblHeader/>
          <w:cantSplit/>
        </w:trPr>
        <w:tc>
          <w:tcPr>
            <w:tcW w:type="dxa" w:w="16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6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171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Срок от старта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1. Старт</w:t>
            </w:r>
          </w:p>
        </w:tc>
        <w:tc>
          <w:tcPr>
            <w:tcW w:type="dxa" w:w="6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Интервью, карта процессов, модель данных и план миграции</w:t>
            </w:r>
          </w:p>
        </w:tc>
        <w:tc>
          <w:tcPr>
            <w:tcW w:type="dxa" w:w="171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дни 1-3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2. Рабочее ядро</w:t>
            </w:r>
          </w:p>
        </w:tc>
        <w:tc>
          <w:tcPr>
            <w:tcW w:type="dxa" w:w="6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Роли, доноры, каталог, остатки, адресный склад и штрихкоды</w:t>
            </w:r>
          </w:p>
        </w:tc>
        <w:tc>
          <w:tcPr>
            <w:tcW w:type="dxa" w:w="171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7-10 рабочих дней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3. MVP и запуск</w:t>
            </w:r>
          </w:p>
        </w:tc>
        <w:tc>
          <w:tcPr>
            <w:tcW w:type="dxa" w:w="6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Все модули, сайт, лендинг, SEO, миграция, обучение и сдача</w:t>
            </w:r>
          </w:p>
        </w:tc>
        <w:tc>
          <w:tcPr>
            <w:tcW w:type="dxa" w:w="171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до 6 недель</w:t>
            </w:r>
          </w:p>
        </w:tc>
      </w:tr>
    </w:tbl>
    <w:p>
      <w:pPr>
        <w:pStyle w:val="ContractClause"/>
        <w:keepNext w:val="0"/>
        <w:spacing w:before="0" w:after="80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3.2. </w:t>
      </w:r>
      <w:r>
        <w:rPr>
          <w:rFonts w:ascii="Arial" w:hAnsi="Arial" w:eastAsia="Arial"/>
          <w:color w:val="101828"/>
          <w:sz w:val="17"/>
        </w:rPr>
        <w:t>Срок автоматически продлевается на период задержки материалов, доступов, решений и приёмки со стороны Заказчика, а также на период недоступности официальных API или иных внешних зависимостей, не контролируемых Исполнителем.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4. Цена и порядок оплаты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4.1. </w:t>
      </w:r>
      <w:r>
        <w:rPr>
          <w:rFonts w:ascii="Arial" w:hAnsi="Arial" w:eastAsia="Arial"/>
          <w:color w:val="101828"/>
          <w:sz w:val="17"/>
        </w:rPr>
        <w:t>Расчётная стоимость Работ фиксируется в размере, эквивалентном 4 000 (четырём тысячам) долларов США. Оплата осуществляется исключительно в тенге. Сумма каждого платежа в тенге определяется по официальному курсу Национального Банка Республики Казахстан на дату выставления соответствующего счёта.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4.2. </w:t>
      </w:r>
      <w:r>
        <w:rPr>
          <w:rFonts w:ascii="Arial" w:hAnsi="Arial" w:eastAsia="Arial"/>
          <w:color w:val="101828"/>
          <w:sz w:val="17"/>
        </w:rPr>
        <w:t>По официальному курсу 475,38 тенге за 1 USD на 04.08.2026 справочный эквивалент общей стоимости составляет 1 901 520 (один миллион девятьсот одна тысяча пятьсот двадцать) тенге. Фактическая общая сумма в тенге может измениться вследствие изменения курса к датам платежей.</w:t>
      </w:r>
    </w:p>
    <w:p>
      <w:r>
        <w:br w:type="page"/>
      </w:r>
    </w:p>
    <w:p>
      <w:pPr>
        <w:pStyle w:val="Heading1"/>
        <w:keepNext/>
        <w:spacing w:before="0" w:after="90" w:line="240" w:lineRule="auto"/>
      </w:pPr>
      <w:r>
        <w:rPr>
          <w:rFonts w:ascii="Arial" w:hAnsi="Arial" w:eastAsia="Arial"/>
          <w:b/>
          <w:color w:val="08162D"/>
          <w:sz w:val="22"/>
        </w:rPr>
        <w:t>График платежей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00"/>
        <w:gridCol w:w="3680"/>
        <w:gridCol w:w="1900"/>
        <w:gridCol w:w="2284"/>
      </w:tblGrid>
      <w:tr>
        <w:trPr>
          <w:tblHeader/>
          <w:cantSplit/>
        </w:trPr>
        <w:tc>
          <w:tcPr>
            <w:tcW w:type="dxa" w:w="20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Платёж</w:t>
            </w:r>
          </w:p>
        </w:tc>
        <w:tc>
          <w:tcPr>
            <w:tcW w:type="dxa" w:w="368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Основание</w:t>
            </w:r>
          </w:p>
        </w:tc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Расчётная величина</w:t>
            </w:r>
          </w:p>
        </w:tc>
        <w:tc>
          <w:tcPr>
            <w:tcW w:type="dxa" w:w="22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08162D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Справочно на 04.08.2026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1. Предоплата 10%</w:t>
            </w:r>
          </w:p>
        </w:tc>
        <w:tc>
          <w:tcPr>
            <w:tcW w:type="dxa" w:w="368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подписание и старт Работ</w:t>
            </w:r>
          </w:p>
        </w:tc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400 USD</w:t>
            </w:r>
          </w:p>
        </w:tc>
        <w:tc>
          <w:tcPr>
            <w:tcW w:type="dxa" w:w="22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190 152 тенге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2. Ядро 45%</w:t>
            </w:r>
          </w:p>
        </w:tc>
        <w:tc>
          <w:tcPr>
            <w:tcW w:type="dxa" w:w="368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согласование рабочего ядра</w:t>
            </w:r>
          </w:p>
        </w:tc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1 800 USD</w:t>
            </w:r>
          </w:p>
        </w:tc>
        <w:tc>
          <w:tcPr>
            <w:tcW w:type="dxa" w:w="22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  <w:shd w:fill="F4F7FB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855 684 тенге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3. MVP 45%</w:t>
            </w:r>
          </w:p>
        </w:tc>
        <w:tc>
          <w:tcPr>
            <w:tcW w:type="dxa" w:w="368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финальная приёмка MVP</w:t>
            </w:r>
          </w:p>
        </w:tc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1 800 USD</w:t>
            </w:r>
          </w:p>
        </w:tc>
        <w:tc>
          <w:tcPr>
            <w:tcW w:type="dxa" w:w="22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  <w:insideH w:val="single" w:sz="5" w:color="D8E0EC"/>
              <w:insideV w:val="single" w:sz="5" w:color="D8E0EC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5"/>
              </w:rPr>
              <w:t>855 684 тенге</w:t>
            </w:r>
          </w:p>
        </w:tc>
      </w:tr>
    </w:tbl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4.3. </w:t>
      </w:r>
      <w:r>
        <w:rPr>
          <w:rFonts w:ascii="Arial" w:hAnsi="Arial" w:eastAsia="Arial"/>
          <w:color w:val="101828"/>
          <w:sz w:val="17"/>
        </w:rPr>
        <w:t>Предоплата вносится в течение 3 (трёх) рабочих дней после подписания. Платежи № 2 и № 3 вносятся в течение 5 (пяти) банковских дней после приёмки соответствующего этапа. Обязательство по оплате считается исполненным после зачисления средств.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4.4. </w:t>
      </w:r>
      <w:r>
        <w:rPr>
          <w:rFonts w:ascii="Arial" w:hAnsi="Arial" w:eastAsia="Arial"/>
          <w:color w:val="101828"/>
          <w:sz w:val="17"/>
        </w:rPr>
        <w:t>Оплата производится в АО «Kaspi Bank»: БИК CASPKZKA, IBAN KZ88722C000023882301, либо на карту Kaspi Gold 4400 4303 0208 4337, держатель PLATON TSAY, с назначением «Оплата по договору NUK-Д-2026-01, платёж № __». НДС не предъявляется.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0" w:color="2563EB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2563EB"/>
                <w:sz w:val="16"/>
              </w:rPr>
              <w:t>Правило курса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color w:val="101828"/>
                <w:sz w:val="16"/>
              </w:rPr>
              <w:t>USD используется только как расчётная величина согласованной стоимости. Платёж и расчётный документ оформляются в тенге по официальному курсу НБ РК на дату счёта.</w:t>
            </w:r>
          </w:p>
        </w:tc>
      </w:tr>
    </w:tbl>
    <w:p>
      <w:pPr>
        <w:keepNext w:val="0"/>
        <w:spacing w:before="0" w:after="0" w:line="259" w:lineRule="auto"/>
      </w:pP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5. Сдача и приёмка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5.1. </w:t>
      </w:r>
      <w:r>
        <w:rPr>
          <w:rFonts w:ascii="Arial" w:hAnsi="Arial" w:eastAsia="Arial"/>
          <w:color w:val="101828"/>
          <w:sz w:val="17"/>
        </w:rPr>
        <w:t>Исполнитель уведомляет о готовности этапа и предоставляет доступ к результату. Заказчик в течение 5 (пяти) рабочих дней принимает этап либо направляет единый перечень мотивированных замечаний со ссылками на ТЗ.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5.2. </w:t>
      </w:r>
      <w:r>
        <w:rPr>
          <w:rFonts w:ascii="Arial" w:hAnsi="Arial" w:eastAsia="Arial"/>
          <w:color w:val="101828"/>
          <w:sz w:val="17"/>
        </w:rPr>
        <w:t>Исполнитель устраняет подтверждённые несоответствия ТЗ в разумный согласованный срок и повторно предъявляет результат. Пожелания и функции вне ТЗ оформляются как изменение объёма.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5.3. </w:t>
      </w:r>
      <w:r>
        <w:rPr>
          <w:rFonts w:ascii="Arial" w:hAnsi="Arial" w:eastAsia="Arial"/>
          <w:color w:val="101828"/>
          <w:sz w:val="17"/>
        </w:rPr>
        <w:t>Если Заказчик не направил ответ в установленный срок, Исполнитель направляет повторное уведомление. При отсутствии ответа ещё 3 (три) рабочих дня этап считается принятым, если результат доступен для проверки и отсутствуют подтверждённые критические дефекты.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5.4. </w:t>
      </w:r>
      <w:r>
        <w:rPr>
          <w:rFonts w:ascii="Arial" w:hAnsi="Arial" w:eastAsia="Arial"/>
          <w:color w:val="101828"/>
          <w:sz w:val="17"/>
        </w:rPr>
        <w:t>Приёмка подтверждается актом, письмом, сообщением в согласованном мессенджере либо подписью ЭЦП. Полная приёмка MVP является основанием для финального платежа и начала гарантийного срока.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6. Изменения объёма и внешние зависимости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6.1. </w:t>
      </w:r>
      <w:r>
        <w:rPr>
          <w:rFonts w:ascii="Arial" w:hAnsi="Arial" w:eastAsia="Arial"/>
          <w:color w:val="101828"/>
          <w:sz w:val="17"/>
        </w:rPr>
        <w:t>Уточнения и исправления внутри утверждённого ТЗ входят в цену. Новые самостоятельные модули, изменение архитектуры, дополнительные площадки, интеграции и миграция данных, отсутствующих в согласованной выгрузке, оцениваются отдельно до начала таких работ.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6.2. </w:t>
      </w:r>
      <w:r>
        <w:rPr>
          <w:rFonts w:ascii="Arial" w:hAnsi="Arial" w:eastAsia="Arial"/>
          <w:color w:val="101828"/>
          <w:sz w:val="17"/>
        </w:rPr>
        <w:t>Интеграции с Bazon, WhatsApp Business, телефонией, Kolesa и иными площадками выполняются только через официальный API, разрешённый импорт, фид или иной законный механизм. Изменение правил или отказ внешнего сервиса в доступе не считается нарушением Исполнителя.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7. Миграция, штрихкоды и склад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7.1. </w:t>
      </w:r>
      <w:r>
        <w:rPr>
          <w:rFonts w:ascii="Arial" w:hAnsi="Arial" w:eastAsia="Arial"/>
          <w:color w:val="101828"/>
          <w:sz w:val="17"/>
        </w:rPr>
        <w:t>Заказчик предоставляет доступную выгрузку Bazon, фотоархив, реестр штрихкодов и описание складских адресов. Исполнитель проводит аудит, контрольный импорт 50-100 карточек, основной перенос и финальную сверку.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7.2. </w:t>
      </w:r>
      <w:r>
        <w:rPr>
          <w:rFonts w:ascii="Arial" w:hAnsi="Arial" w:eastAsia="Arial"/>
          <w:color w:val="101828"/>
          <w:sz w:val="17"/>
        </w:rPr>
        <w:t>Исполнитель переносит все доступные в согласованной выгрузке прежние штрихкоды и формирует связь «старый код - карточка NUK». Отсутствующие, дублирующиеся, повреждённые или конфликтующие коды фиксируются в отдельном отчёте и не считаются потерянными без записи причины.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7.3. </w:t>
      </w:r>
      <w:r>
        <w:rPr>
          <w:rFonts w:ascii="Arial" w:hAnsi="Arial" w:eastAsia="Arial"/>
          <w:color w:val="101828"/>
          <w:sz w:val="17"/>
        </w:rPr>
        <w:t>Исполнитель предоставляет модель кодов, шаблоны и массовую печать. Заказчик организует фактическую инвентаризацию, подтверждает адреса, приобретает принтеры, сканеры, этикетки и самостоятельно выполняет физическую маркировку склада и деталей.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8. Права на результат и данные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8.1. </w:t>
      </w:r>
      <w:r>
        <w:rPr>
          <w:rFonts w:ascii="Arial" w:hAnsi="Arial" w:eastAsia="Arial"/>
          <w:color w:val="101828"/>
          <w:sz w:val="17"/>
        </w:rPr>
        <w:t>До полной оплаты Заказчику предоставляется неисключительное право использовать переданные этапы для своей деятельности. После полной оплаты Исполнитель передаёт исходный код, рабочую базу и исключительные имущественные права на специально созданный для Заказчика код без ограничения по территории и сроку.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8.2. </w:t>
      </w:r>
      <w:r>
        <w:rPr>
          <w:rFonts w:ascii="Arial" w:hAnsi="Arial" w:eastAsia="Arial"/>
          <w:color w:val="101828"/>
          <w:sz w:val="17"/>
        </w:rPr>
        <w:t>Права на сторонние библиотеки, сервисы и компоненты сохраняются за их правообладателями. Универсальные инструменты и наработки Исполнителя, не содержащие данные и уникальную бизнес-логику Заказчика, могут использоваться повторно; Заказчик получает право использовать их в составе Системы.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8.3. </w:t>
      </w:r>
      <w:r>
        <w:rPr>
          <w:rFonts w:ascii="Arial" w:hAnsi="Arial" w:eastAsia="Arial"/>
          <w:color w:val="101828"/>
          <w:sz w:val="17"/>
        </w:rPr>
        <w:t>Все данные Заказчика, включая карточки, фото, штрихкоды, клиентов, сделки и журнал операций, принадлежат Заказчику. Исполнитель обрабатывает их только для исполнения Договора и применяет разумные организационные и технические меры защиты.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9. Гарантия и эксплуатация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9.1. </w:t>
      </w:r>
      <w:r>
        <w:rPr>
          <w:rFonts w:ascii="Arial" w:hAnsi="Arial" w:eastAsia="Arial"/>
          <w:color w:val="101828"/>
          <w:sz w:val="17"/>
        </w:rPr>
        <w:t>Гарантийный срок составляет 30 (тридцать) календарных дней с даты финальной приёмки. В этот период Исполнитель безвозмездно устраняет воспроизводимые несоответствия утверждённому ТЗ.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9.2. </w:t>
      </w:r>
      <w:r>
        <w:rPr>
          <w:rFonts w:ascii="Arial" w:hAnsi="Arial" w:eastAsia="Arial"/>
          <w:color w:val="101828"/>
          <w:sz w:val="17"/>
        </w:rPr>
        <w:t>В гарантию не входят новые функции, изменение бизнес-процессов, администрирование сервера, ошибки пользователей, некорректные исходные данные, сбои инфраструктуры и изменения внешних API.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9.3. </w:t>
      </w:r>
      <w:r>
        <w:rPr>
          <w:rFonts w:ascii="Arial" w:hAnsi="Arial" w:eastAsia="Arial"/>
          <w:color w:val="101828"/>
          <w:sz w:val="17"/>
        </w:rPr>
        <w:t>Обязательная ежемесячная лицензия Pllato не предусмотрена. Сервер, домен, внешние сервисы и последующее сопровождение оплачиваются Заказчиком отдельно.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10. Обязанности Сторон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10.1. </w:t>
      </w:r>
      <w:r>
        <w:rPr>
          <w:rFonts w:ascii="Arial" w:hAnsi="Arial" w:eastAsia="Arial"/>
          <w:color w:val="101828"/>
          <w:sz w:val="17"/>
        </w:rPr>
        <w:t>Исполнитель обязан вести разработку, демонстрировать этапы, сохранять конфиденциальность, устранять подтверждённые несоответствия и передать результат в согласованном объёме.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10.2. </w:t>
      </w:r>
      <w:r>
        <w:rPr>
          <w:rFonts w:ascii="Arial" w:hAnsi="Arial" w:eastAsia="Arial"/>
          <w:color w:val="101828"/>
          <w:sz w:val="17"/>
        </w:rPr>
        <w:t>Заказчик обязан своевременно платить, назначить ответственного, предоставить достоверные данные, сервер, доступы, API и решения, обеспечить участие сотрудников в интервью, тестировании и приёмке, а также законность предоставленных данных и доступов.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11. Ответственность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11.1. </w:t>
      </w:r>
      <w:r>
        <w:rPr>
          <w:rFonts w:ascii="Arial" w:hAnsi="Arial" w:eastAsia="Arial"/>
          <w:color w:val="101828"/>
          <w:sz w:val="17"/>
        </w:rPr>
        <w:t>За просрочку оплаты Заказчик уплачивает пеню 0,1% от просроченной суммы за каждый календарный день, но не более 10%. При просрочке более 10 календарных дней после письменного уведомления Исполнитель вправе приостановить Работы и доступ, сохраняя данные не менее 30 дней.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11.2. </w:t>
      </w:r>
      <w:r>
        <w:rPr>
          <w:rFonts w:ascii="Arial" w:hAnsi="Arial" w:eastAsia="Arial"/>
          <w:color w:val="101828"/>
          <w:sz w:val="17"/>
        </w:rPr>
        <w:t>Стороны отвечают за документально подтверждённый прямой ущерб. Совокупная ответственность Исполнителя ограничивается суммой, фактически полученной по Договору; упущенная выгода и косвенные потери не возмещаются, кроме случаев, когда такое ограничение запрещено законом.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11.3. </w:t>
      </w:r>
      <w:r>
        <w:rPr>
          <w:rFonts w:ascii="Arial" w:hAnsi="Arial" w:eastAsia="Arial"/>
          <w:color w:val="101828"/>
          <w:sz w:val="17"/>
        </w:rPr>
        <w:t>Исполнитель не отвечает за качество и полноту исходных данных, действия пользователей, недоступность инфраструктуры и внешних сервисов, а также за нарушение Заказчиком правил третьих платформ.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12. Конфиденциальность и форс-мажор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12.1. </w:t>
      </w:r>
      <w:r>
        <w:rPr>
          <w:rFonts w:ascii="Arial" w:hAnsi="Arial" w:eastAsia="Arial"/>
          <w:color w:val="101828"/>
          <w:sz w:val="17"/>
        </w:rPr>
        <w:t>Стороны не раскрывают коммерческую, техническую и персональную информацию, полученную при исполнении Договора, кроме случаев, предусмотренных законодательством или письменным согласием другой Стороны.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12.2. </w:t>
      </w:r>
      <w:r>
        <w:rPr>
          <w:rFonts w:ascii="Arial" w:hAnsi="Arial" w:eastAsia="Arial"/>
          <w:color w:val="101828"/>
          <w:sz w:val="17"/>
        </w:rPr>
        <w:t>Сторона освобождается от ответственности за неисполнение вследствие обстоятельств непреодолимой силы при своевременном уведомлении другой Стороны. Срок исполнения продлевается на период действия таких обстоятельств и их последствий.</w:t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13. Расторжение, споры и электронное взаимодействие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13.1. </w:t>
      </w:r>
      <w:r>
        <w:rPr>
          <w:rFonts w:ascii="Arial" w:hAnsi="Arial" w:eastAsia="Arial"/>
          <w:color w:val="101828"/>
          <w:sz w:val="17"/>
        </w:rPr>
        <w:t>Договор действует с даты подписания до полного исполнения. При прекращении Заказчик оплачивает принятые этапы и документально подтверждённый фактически выполненный объём. Неиспользованный остаток аванса возвращается после зачёта выполненных Работ и расходов.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13.2. </w:t>
      </w:r>
      <w:r>
        <w:rPr>
          <w:rFonts w:ascii="Arial" w:hAnsi="Arial" w:eastAsia="Arial"/>
          <w:color w:val="101828"/>
          <w:sz w:val="17"/>
        </w:rPr>
        <w:t>Споры разрешаются переговорами и письменной претензией со сроком ответа 10 рабочих дней, затем - в судебном порядке в соответствии с законодательством Республики Казахстан.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13.3. </w:t>
      </w:r>
      <w:r>
        <w:rPr>
          <w:rFonts w:ascii="Arial" w:hAnsi="Arial" w:eastAsia="Arial"/>
          <w:color w:val="101828"/>
          <w:sz w:val="17"/>
        </w:rPr>
        <w:t>Операционные уведомления и согласования с телефонных номеров +7 701 123 99 99 (Исполнитель) и +7 700 790 01 01 (Заказчик), а также с подтверждённых электронных адресов признаются доказательством рабочих решений. Изменение цены, предмета и графика требует письменного дополнительного соглашения.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13.4. </w:t>
      </w:r>
      <w:r>
        <w:rPr>
          <w:rFonts w:ascii="Arial" w:hAnsi="Arial" w:eastAsia="Arial"/>
          <w:color w:val="101828"/>
          <w:sz w:val="17"/>
        </w:rPr>
        <w:t>Договор может быть подписан на бумаге либо электронной цифровой подписью. Электронный документ с действительной ЭЦП равнозначен документу на бумажном носителе. Договор составлен в двух экземплярах равной юридической силы.</w:t>
      </w:r>
    </w:p>
    <w:p>
      <w:pPr>
        <w:pStyle w:val="ContractClause"/>
        <w:keepNext w:val="0"/>
        <w:spacing w:before="0" w:after="64" w:line="264" w:lineRule="auto"/>
      </w:pPr>
      <w:r>
        <w:rPr>
          <w:rFonts w:ascii="Arial" w:hAnsi="Arial" w:eastAsia="Arial"/>
          <w:b/>
          <w:color w:val="2563EB"/>
          <w:sz w:val="17"/>
        </w:rPr>
        <w:t xml:space="preserve">13.5. </w:t>
      </w:r>
      <w:r>
        <w:rPr>
          <w:rFonts w:ascii="Arial" w:hAnsi="Arial" w:eastAsia="Arial"/>
          <w:color w:val="101828"/>
          <w:sz w:val="17"/>
        </w:rPr>
        <w:t>Приложения: № 1 - Техническое задание Pllato_TZ_NUK_Auto от 04.08.2026; № 2 - Коммерческое предложение Pllato_KP_NUK_Auto, версия 2.0 от 04.08.2026; № 3 - счёт NUK-2026-01 от 04.08.2026.</w:t>
      </w:r>
    </w:p>
    <w:p>
      <w:r>
        <w:br w:type="page"/>
      </w:r>
    </w:p>
    <w:p>
      <w:pPr>
        <w:pStyle w:val="Heading1"/>
        <w:keepNext/>
        <w:spacing w:before="160" w:after="90" w:line="240" w:lineRule="auto"/>
      </w:pPr>
      <w:r>
        <w:rPr>
          <w:rFonts w:ascii="Arial" w:hAnsi="Arial" w:eastAsia="Arial"/>
          <w:b/>
          <w:color w:val="08162D"/>
          <w:sz w:val="22"/>
        </w:rPr>
        <w:t>14. Реквизиты и подписи Сторон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Mar>
              <w:top w:w="150" w:type="dxa"/>
              <w:start w:w="170" w:type="dxa"/>
              <w:bottom w:w="160" w:type="dxa"/>
              <w:end w:w="17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</w:tcBorders>
            <w:shd w:fill="F4F7FB"/>
          </w:tcPr>
          <w:p>
            <w:pPr>
              <w:keepNext w:val="0"/>
              <w:spacing w:before="0" w:after="60" w:line="252" w:lineRule="auto"/>
            </w:pPr>
            <w:r/>
            <w:r>
              <w:rPr>
                <w:rFonts w:ascii="Arial" w:hAnsi="Arial" w:eastAsia="Arial"/>
                <w:b/>
                <w:color w:val="2563EB"/>
                <w:sz w:val="16"/>
              </w:rPr>
              <w:t>ИСПОЛНИТЕЛЬ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8162D"/>
                <w:sz w:val="16"/>
              </w:rPr>
              <w:t>ИП «STUDYSTORIES.APP»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БИН: 880607300110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Владелец: Цай Платон Львович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Уд. № 044758231 от 22.07.2019, МВД РК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Адрес: г. Алматы, ул. Желтоксан, 118, офис 407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АО «Kaspi Bank», БИК CASPKZKA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IBAN: KZ88722C000023882301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Карта: 4400 4303 0208 4337, PLATON TSAY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Тел.: +7 701 123 99 99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E-mail: uurraa@gmail.com</w:t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Подпись / ЭЦП: 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8162D"/>
                <w:sz w:val="16"/>
              </w:rPr>
              <w:t>/ Цай П.Л. /     М.П.</w:t>
            </w:r>
          </w:p>
        </w:tc>
        <w:tc>
          <w:tcPr>
            <w:tcW w:type="dxa" w:w="4932"/>
            <w:tcMar>
              <w:top w:w="150" w:type="dxa"/>
              <w:start w:w="170" w:type="dxa"/>
              <w:bottom w:w="160" w:type="dxa"/>
              <w:end w:w="170" w:type="dxa"/>
            </w:tcMar>
            <w:tcBorders>
              <w:top w:val="single" w:sz="5" w:color="D8E0EC"/>
              <w:left w:val="single" w:sz="5" w:color="D8E0EC"/>
              <w:bottom w:val="single" w:sz="5" w:color="D8E0EC"/>
              <w:right w:val="single" w:sz="5" w:color="D8E0EC"/>
            </w:tcBorders>
            <w:shd w:fill="F4F7FB"/>
          </w:tcPr>
          <w:p>
            <w:pPr>
              <w:keepNext w:val="0"/>
              <w:spacing w:before="0" w:after="60" w:line="252" w:lineRule="auto"/>
            </w:pPr>
            <w:r/>
            <w:r>
              <w:rPr>
                <w:rFonts w:ascii="Arial" w:hAnsi="Arial" w:eastAsia="Arial"/>
                <w:b/>
                <w:color w:val="2563EB"/>
                <w:sz w:val="16"/>
              </w:rPr>
              <w:t>ЗАКАЗЧИК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8162D"/>
                <w:sz w:val="16"/>
              </w:rPr>
              <w:t>Нурлан ________________________________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ИИН: 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Уд. личности №: 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Выдано: _____________________________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Адрес: ______________________________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Тел.: +7 700 790 01 01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E-mail: _____________________________</w:t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 w:val="0"/>
                <w:color w:val="101828"/>
                <w:sz w:val="16"/>
              </w:rPr>
              <w:t>Подпись / ЭЦП: ____________________</w:t>
            </w:r>
          </w:p>
          <w:p>
            <w:pPr>
              <w:keepNext w:val="0"/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08162D"/>
                <w:sz w:val="16"/>
              </w:rPr>
              <w:t>/ Нурлан __________________ /</w:t>
            </w:r>
          </w:p>
        </w:tc>
      </w:tr>
    </w:tbl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FFF3E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0" w:color="C2410C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C2410C"/>
                <w:sz w:val="16"/>
              </w:rPr>
              <w:t>Заполнить перед подписанием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color w:val="101828"/>
                <w:sz w:val="16"/>
              </w:rPr>
              <w:t>Полные ФИО Нурлана, ИИН, данные удостоверения личности, адрес и e-mail. Телефон +7 700 790 01 01 уже внесён по счёту NUK-2026-01.</w:t>
            </w:r>
          </w:p>
        </w:tc>
      </w:tr>
    </w:tbl>
    <w:p>
      <w:pPr>
        <w:keepNext w:val="0"/>
        <w:spacing w:before="0" w:after="0" w:line="259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664"/>
    </w:tblGrid>
    <w:tr>
      <w:tc>
        <w:tcPr>
          <w:tcW w:type="dxa" w:w="72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59" w:lineRule="auto"/>
          </w:pPr>
          <w:r>
            <w:rPr>
              <w:rFonts w:ascii="Arial" w:hAnsi="Arial" w:eastAsia="Arial"/>
              <w:color w:val="667085"/>
              <w:sz w:val="14"/>
            </w:rPr>
            <w:t>Pllato  |  pllato.kz  |  +7 701 123 99 99  |  конфиденциально</w:t>
          </w:r>
        </w:p>
      </w:tc>
      <w:tc>
        <w:tcPr>
          <w:tcW w:type="dxa" w:w="26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59" w:lineRule="auto"/>
            <w:jc w:val="right"/>
          </w:pPr>
          <w:r>
            <w:rPr>
              <w:rFonts w:ascii="Arial" w:hAnsi="Arial" w:eastAsia="Arial"/>
              <w:color w:val="667085"/>
              <w:sz w:val="14"/>
            </w:rPr>
            <w:t xml:space="preserve">стр. </w:t>
          </w:r>
          <w:r>
            <w:rPr>
              <w:rFonts w:ascii="Arial" w:hAnsi="Arial" w:eastAsia="Arial"/>
              <w:color w:val="667085"/>
              <w:sz w:val="15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 w:eastAsia="Arial"/>
              <w:color w:val="667085"/>
              <w:sz w:val="14"/>
            </w:rPr>
            <w:t xml:space="preserve"> / </w:t>
          </w:r>
          <w:r>
            <w:rPr>
              <w:rFonts w:ascii="Arial" w:hAnsi="Arial" w:eastAsia="Arial"/>
              <w:color w:val="667085"/>
              <w:sz w:val="15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932"/>
      <w:gridCol w:w="4932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bottom w:val="nil" w:sz="0" w:color="FFFFFF"/>
          </w:tcBorders>
        </w:tcPr>
        <w:p>
          <w:pPr>
            <w:keepNext w:val="0"/>
            <w:spacing w:before="0" w:after="0" w:line="259" w:lineRule="auto"/>
          </w:pPr>
          <w:r>
            <w:rPr>
              <w:rFonts w:ascii="Arial" w:hAnsi="Arial" w:eastAsia="Arial"/>
              <w:b/>
              <w:color w:val="2563EB"/>
              <w:sz w:val="19"/>
            </w:rPr>
            <w:t>PLLATO</w:t>
          </w:r>
          <w:r>
            <w:rPr>
              <w:rFonts w:ascii="Arial" w:hAnsi="Arial" w:eastAsia="Arial"/>
              <w:b/>
              <w:color w:val="08162D"/>
              <w:sz w:val="14"/>
            </w:rPr>
            <w:t xml:space="preserve">  |  NUK CONTROL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bottom w:val="nil" w:sz="0" w:color="FFFFFF"/>
          </w:tcBorders>
        </w:tcPr>
        <w:p>
          <w:pPr>
            <w:keepNext w:val="0"/>
            <w:spacing w:before="0" w:after="0" w:line="259" w:lineRule="auto"/>
            <w:jc w:val="right"/>
          </w:pPr>
          <w:r>
            <w:rPr>
              <w:rFonts w:ascii="Arial" w:hAnsi="Arial" w:eastAsia="Arial"/>
              <w:b/>
              <w:color w:val="667085"/>
              <w:sz w:val="14"/>
            </w:rPr>
            <w:t>ДОГОВОР № NUK-Д-2026-01</w:t>
          </w:r>
        </w:p>
      </w:tc>
    </w:tr>
  </w:tbl>
  <w:p>
    <w:pPr>
      <w:keepNext w:val="0"/>
      <w:spacing w:before="20" w:after="0" w:line="259" w:lineRule="auto"/>
      <w:pBdr>
        <w:bottom w:val="single" w:sz="8" w:space="4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64" w:lineRule="auto"/>
    </w:pPr>
    <w:rPr>
      <w:rFonts w:ascii="Arial" w:hAnsi="Arial"/>
      <w:color w:val="101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Clause">
    <w:name w:val="Contract Clause"/>
    <w:basedOn w:val="Normal"/>
    <w:pPr>
      <w:spacing w:after="64" w:line="264" w:lineRule="auto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разработку NUK Control</dc:title>
  <dc:subject>Складской портал, BMW-каталог, миграция Bazon и штрихкодирование</dc:subject>
  <dc:creator>ИП STUDYSTORIES.APP / Pllato</dc:creator>
  <cp:keywords>NUK, Pllato, договор, разработка, склад, штрихкоды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