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7"/>
          <w:szCs w:val="27"/>
        </w:rPr>
        <w:t xml:space="preserve">Договор № PL-260910-1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19"/>
          <w:szCs w:val="19"/>
        </w:rPr>
        <w:t xml:space="preserve">на разработку программного обеспечения</w:t>
      </w:r>
      <w:r>
        <w:br/>
      </w:r>
      <w:r>
        <w:rPr>
          <w:rFonts w:ascii="Times New Roman" w:cs="Times New Roman" w:eastAsia="Times New Roman" w:hAnsi="Times New Roman"/>
          <w:b w:val="false"/>
          <w:bCs w:val="false"/>
          <w:sz w:val="19"/>
          <w:szCs w:val="19"/>
        </w:rPr>
        <w:t xml:space="preserve">(с условиями о неразглашении конфиденциальной информации — NDA)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c>
          <w:tcPr>
            <w:tcW w:type="dxa" w:w="5103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г. Алматы</w:t>
            </w:r>
          </w:p>
        </w:tc>
        <w:tc>
          <w:tcPr>
            <w:tcW w:type="dxa" w:w="5103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10 сентября 2026 года</w:t>
            </w:r>
          </w:p>
        </w:tc>
      </w:tr>
    </w:tbl>
    <w:p>
      <w:pPr>
        <w:spacing w:after="120"/>
      </w:pPr>
    </w:p>
    <w:p>
      <w:pPr>
        <w:spacing w:after="90" w:line="264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Индивидуальный предприниматель «STUDYSTORIES.APP»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БИН 880607300110, в лице руководителя Цая Платона Леонидовича, действующего на основании свидетельства о государственной регистрации, именуемый в дальнейшем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«Исполнитель»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с одной стороны, и</w:t>
      </w:r>
    </w:p>
    <w:p>
      <w:pPr>
        <w:spacing w:after="90" w:line="264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Мушекбаев Адиль Серикханович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ИИН ______________________________, действующий на основании ______________________________, именуемый в дальнейшем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«Заказчик»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с другой стороны, вместе именуемые «Стороны», заключили настоящий Договор о нижеследующем.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1. Предмет договора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1.1.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Исполнитель обязуется разработать и передать Заказчику программное обеспечение —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систему управления сетью складов индивидуального хранения (self storage) и новый сайт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связанные в единую базу данных (далее — «ПО», «Система»), а Заказчик обязуется принять и оплатить выполненные работы на условиях настоящего Договора.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1.2.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Состав и функциональные требования к ПО определены в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Техническом задании от 24.08.2026 (Приложение № 1)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являющемся неотъемлемой частью настоящего Договора. Ключевые блоки: пульт сети, склады и боксы с планами, договоры и арендаторы, массовое выставление счетов, интеграция Kaspi Платежи, автоматическое управление доступом (включая вход по звонку с определением номера), личный кабинет клиента, CRM с карточкой клиента и воронкой обращений, канбан заявок, эквайринг банковских карт как дополнительный канал оплаты, формирование счетов на оплату для юридических лиц, поле скидки по клиенту и по складу, IP-телефония и WhatsApp, аналитика, роли и права доступа, админка, сайт сети складов, передача данных о заявках и сделках в рекламные системы через Conversions API (CAPI), оформление логотипа и технической части фирменного стиля.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1.3.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ПО разворачивается на сервере Заказчика. Исходный код, доступы и техническая документация (вики) передаются Заказчику в порядке, установленном разделом 5.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1.4.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Согласование состава CRM и прав доступа.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Состав полей карточки клиента, стадии воронки обращений и критерии приёмки блока CRM, а также конкретное распределение прав по ролям (владелец, менеджер, оператор охраны, администратор, клиент)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согласовываются Сторонами на этапе «Ядро»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и фиксируются письменно — перепиской, протоколом созвона или отдельным приложением. Реализуется стандартная сетка прав: по каждому разделу для каждой роли задаётся уровень доступа (нет доступа, просмотр, изменение). После передачи Системы права меняются Заказчиком в админке самостоятельно.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1.5.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Приём оплат.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Помимо сервиса Kaspi Платежи подключается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эквайринг банковских карт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как дополнительный канал. В платёжной форме и назначении платежа указываются основание (склад, номер бокса, договор) и период, за который вносится оплата. Поступление по эквайрингу привязывается к боксу и периоду и снимает автоматическую блокировку доступа наравне с оплатой через Kaspi. Провайдер эквайринга, тарифы и комиссии выбираются и оплачиваются Заказчиком; Исполнитель выполняет программную интеграцию по документации выбранного провайдера.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1.6.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Счета для юридических лиц и скидки.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В Системе формируются счета на оплату для арендаторов — юридических лиц, с реквизитами сторон, перечнем боксов, периодом и суммой, с выгрузкой в PDF. Предусматривается поле скидки, задаваемое как по отдельному клиенту, так и по складу целиком; скидка учитывается при массовом начислении, в счетах и в аналитике.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1.7.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Масштабируемость.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Система и сайт проектируются с расчётом на обслуживание не менее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50 (пятидесяти) складов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сети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без переработки архитектуры и без дополнительной оплаты разработки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: добавление нового склада выполняется Заказчиком самостоятельно в админке. Рост числа складов и нагрузки обеспечивается расширением ресурсов сервера (процессор, оперативная память, дисковое пространство, пропускная способность), которые относятся к расходам Заказчика на содержание инфраструктуры. Соответствие этому требованию проверяется при приёмке итогового этапа. Аналогичная формулировка содержится в пункте 3 раздела 1 Технического задания.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1.8.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Оформление логотипа и технической части фирменного стиля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(логотип в рабочих форматах, цвета, шрифты и правила применения в интерфейсе Системы и на сайте) входит в стоимость работ и передаётся Заказчику вместе с исходными файлами.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1.9.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Детализация требований в пределах Технического задания уточняется Сторонами в рабочем порядке и не является изменением предмета Договора. Работы, выходящие за рамки Технического задания, оформляются дополнительным соглашением.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2. Сроки и порядок выполнения работ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2.1.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Работы выполняются в два этапа:</w:t>
      </w:r>
    </w:p>
    <w:p>
      <w:pPr>
        <w:spacing w:after="60" w:line="264"/>
        <w:ind w:left="840" w:hanging="28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—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Этап 1 «Ядро»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— рабочий каркас Системы и сайта со всеми основными разделами на данных Заказчика (включая перенос данных из текущих таблиц). Заказчик принимает этап фактической работой в Системе;</w:t>
      </w:r>
    </w:p>
    <w:p>
      <w:pPr>
        <w:spacing w:after="60" w:line="264"/>
        <w:ind w:left="840" w:hanging="28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—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Этап 2 «Полировка и передача»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— доработки по обратной связи боевого использования, развёртывание на сервере Заказчика, передача исходного кода, доступов и документации.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2.2.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Общий срок выполнения работ —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4–6 недель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с даты поступления предоплаты, при условии своевременного предоставления Заказчиком данных, доступов и согласований. Срок ответа Заказчика на запросы согласования — до 2 (двух) рабочих дней; задержки согласований соразмерно сдвигают срок сдачи. Ответственность Исполнителя за нарушение срока по зависящим от него причинам установлена п. 10.4 Договора.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2.3.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Заказчик обеспечивает со своей стороны: данные текущих таблиц по складам, доступ к кабинетам Kaspi юридических лиц, номера для подключения WhatsApp и телефонии, документацию Kaspi Платежи, данные по оборудованию доступа (Hikvision, GSM-замки), контент для сайта и одно уполномоченное лицо для согласований.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2.4.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Закупка и монтаж оборудования (GSM-модули замков, усилители связи, камеры и т.п.) — зона ответственности Заказчика. Исполнитель выполняет программную интеграцию оборудования в пределах возможностей, предоставляемых производителем оборудования и API сторонних сервисов.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2.5.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Работа доступа при отсутствии электропитания или связи.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Стороны понимают и фиксируют: при отключении электричества или интернета канал открытия замков не работает — оборудование перестаёт управляться Системой. Это ограничение оборудования и внешних сетей, а не недостаток программной части, и не является основанием для претензий к Исполнителю. Организация доступа в такой ситуации (дежурный оператор, механическое открытие), резервное электропитание и автономные каналы связи обеспечиваются Заказчиком и в состав работ не входят.</w:t>
      </w:r>
    </w:p>
    <w:p>
      <w:r>
        <w:br w:type="page"/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3. Стоимость работ и порядок расчётов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3.1.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Общая стоимость работ по Договору составляет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3 000 000 (три миллиона) тенге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в том числе: система управления сетью складов —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2 500 000 (два миллиона пятьсот тысяч) тенге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сайт —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500 000 (пятьсот тысяч) тенге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. Стоимость является фиксированной и пересмотру не подлежит.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3.2.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Исполнитель не является плательщиком НДС Республики Казахстан. Стоимость работ НДС не облагается.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3.3.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Оплата производится тремя частями:</w:t>
      </w:r>
    </w:p>
    <w:tbl>
      <w:tblPr>
        <w:tblW w:type="dxa" w:w="10206"/>
        <w:tblBorders>
          <w:top w:val="single" w:color="333333" w:sz="4"/>
          <w:left w:val="single" w:color="333333" w:sz="4"/>
          <w:bottom w:val="single" w:color="333333" w:sz="4"/>
          <w:right w:val="single" w:color="333333" w:sz="4"/>
          <w:insideH w:val="single" w:color="333333" w:sz="4"/>
          <w:insideV w:val="single" w:color="333333" w:sz="4"/>
        </w:tblBorders>
      </w:tblPr>
      <w:tblGrid>
        <w:gridCol w:w="4695"/>
        <w:gridCol w:w="3266"/>
        <w:gridCol w:w="2245"/>
      </w:tblGrid>
      <w:tr>
        <w:trPr>
          <w:tblHeader/>
        </w:trPr>
        <w:tc>
          <w:tcPr>
            <w:tcW w:type="dxa" w:w="4695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EFECE4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Платёж</w:t>
            </w:r>
          </w:p>
        </w:tc>
        <w:tc>
          <w:tcPr>
            <w:tcW w:type="dxa" w:w="3266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EFECE4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Условие</w:t>
            </w:r>
          </w:p>
        </w:tc>
        <w:tc>
          <w:tcPr>
            <w:tcW w:type="dxa" w:w="2245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EFECE4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Сумма, тенге</w:t>
            </w:r>
          </w:p>
        </w:tc>
      </w:tr>
      <w:tr>
        <w:trPr>
          <w:tblHeader w:val="false"/>
        </w:trPr>
        <w:tc>
          <w:tcPr>
            <w:tcW w:type="dxa" w:w="4695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Предоплата 10% — старт работ</w:t>
            </w:r>
          </w:p>
        </w:tc>
        <w:tc>
          <w:tcPr>
            <w:tcW w:type="dxa" w:w="3266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 подписании Договора (счёт № ZS-С-2026-02)</w:t>
            </w:r>
          </w:p>
        </w:tc>
        <w:tc>
          <w:tcPr>
            <w:tcW w:type="dxa" w:w="2245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300 000</w:t>
            </w:r>
          </w:p>
        </w:tc>
      </w:tr>
      <w:tr>
        <w:trPr>
          <w:tblHeader w:val="false"/>
        </w:trPr>
        <w:tc>
          <w:tcPr>
            <w:tcW w:type="dxa" w:w="4695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Этап 1 · Ядро — 45%</w:t>
            </w:r>
          </w:p>
        </w:tc>
        <w:tc>
          <w:tcPr>
            <w:tcW w:type="dxa" w:w="3266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после утверждения Заказчиком ядра: основной сайт и система управления со всем функционалом Технического задания</w:t>
            </w:r>
          </w:p>
        </w:tc>
        <w:tc>
          <w:tcPr>
            <w:tcW w:type="dxa" w:w="2245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1 350 000</w:t>
            </w:r>
          </w:p>
        </w:tc>
      </w:tr>
      <w:tr>
        <w:trPr>
          <w:tblHeader w:val="false"/>
        </w:trPr>
        <w:tc>
          <w:tcPr>
            <w:tcW w:type="dxa" w:w="4695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Итоговый этап — 45%</w:t>
            </w:r>
          </w:p>
        </w:tc>
        <w:tc>
          <w:tcPr>
            <w:tcW w:type="dxa" w:w="3266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после передачи Заказчику финальной версии (полировка, развёртывание, исходный код, доступы, документация)</w:t>
            </w:r>
          </w:p>
        </w:tc>
        <w:tc>
          <w:tcPr>
            <w:tcW w:type="dxa" w:w="2245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1 350 000</w:t>
            </w:r>
          </w:p>
        </w:tc>
      </w:tr>
      <w:tr>
        <w:trPr>
          <w:tblHeader w:val="false"/>
        </w:trPr>
        <w:tc>
          <w:tcPr>
            <w:tcW w:type="dxa" w:w="7961"/>
            <w:gridSpan w:val="2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266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3 000 000</w:t>
            </w:r>
          </w:p>
        </w:tc>
      </w:tr>
    </w:tbl>
    <w:p>
      <w:pPr>
        <w:spacing w:after="120"/>
      </w:pP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3.4.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Оплата производится в безналичной форме на счёт Исполнителя, указанный в разделе 11. Обязательство по оплате считается исполненным с момента зачисления средств на счёт Исполнителя.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3.5.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Стоимость сторонних сервисов (каналы WhatsApp, IP-телефония и АТС, хостинг, SMS, комиссии Kaspi) не входит в стоимость работ и оплачивается Заказчиком напрямую поставщикам таких сервисов.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4. Порядок сдачи и приёмки работ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4.1.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По завершении каждого этапа Исполнитель предоставляет Заказчику результат для проверки и акт выполненных работ. Заказчик в течение 5 (пяти) рабочих дней подписывает акт либо направляет мотивированные замечания в пределах Технического задания.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4.2.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Если в указанный срок подписанный акт или мотивированные замечания не получены, работы по этапу считаются принятыми Заказчиком в полном объёме.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4.3.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Замечания в пределах Технического задания устраняются Исполнителем без дополнительной оплаты. Пожелания, выходящие за рамки Технического задания, оформляются отдельно по ставке, указанной в п. 6.3.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4.4.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Стороны признают юридическую силу документов и согласований, переданных по электронной почте и через мессенджеры, с последующим оформлением оригиналов при необходимости.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5. Права на результаты работ. Передача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5.1.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После полной оплаты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стоимости работ исключительные имущественные права на созданные в рамках Договора результаты (Систему, сайт, исходный код, дизайн, документацию) переходят Заказчику в полном объёме.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5.2.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Одновременно с переходом прав Исполнитель передаёт Заказчику: исходный код, логины, пароли и ключи доступа к серверу, административным панелям и подключённым сервисам, а также техническую документацию (вики), позволяющую стороннему разработчику среднего уровня сопровождать Систему.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5.3.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Дальнейшее пользование Системой не требует каких-либо платежей в пользу Исполнителя (лицензионных, абонентских или иных).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5.4.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Исполнитель вправе использовать при разработке собственные наработки, библиотеки и модули; права на них в составе переданной Системы предоставляются Заказчику без ограничений по использованию Системы.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5.5.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Ограничение на использование результата работ.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Исполнитель обязуется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не передавать, не продавать, не сдавать в аренду и иным образом не предоставлять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Систему, сайт, их исходный код, дизайн-макеты, структуру базы данных, бизнес-логику и любые их производные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третьим лицам, осуществляющим деятельность в сфере self storage (аренды складских боксов и индивидуального хранения) на территории Республики Казахстан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. Ограничение действует бессрочно с даты подписания Договора.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5.6.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За нарушение обязательства, предусмотренного п. 5.5, Исполнитель выплачивает Заказчику штраф в размере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100% (ста процентов) стоимости работ по Договору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а также возмещает причинённые убытки в части, не покрытой штрафом.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5.7.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Исполнитель вправе указывать факт сотрудничества и общее описание проекта в своём портфолио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без раскрытия конфиденциальной информации, данных клиентов, финансовых показателей и исходного кода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если Заказчик письменно не возразил.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6. Резервное копирование и сохранность данных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6.1.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Резервное копирование данных Системы выполняется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штатными средствами Cloudflare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. Глубина хранения резервных копий —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30 (тридцать) календарных дней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. Восстановление данных на любую дату в пределах этого срока выполняется Исполнителем по обращению Заказчика в рамках поддержки.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6.2.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Дополнительно настраивается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ежемесячное копирование на резервный сервер, отличный от основного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: раз в месяц полная копия базы данных и файлов переносится на отдельный сервер, чтобы сохранность данных не зависела от одной площадки. Настройка такого копирования входит в стоимость работ; аренда и оплата резервного сервера — за Заказчиком.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6.3.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Проверка восстановления из резервной копии проводится однократно на этапе полировки и фиксируется при приёмке.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6.4.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Отдельное соглашение об уровне доступности сервера (SLA) Сторонами не заключается: сервер принадлежит Заказчику, его оплата, доступность и техническое состояние — зона ответственности Заказчика. Исполнитель не отвечает за простои, вызванные недоступностью сервера или хостинг-провайдера Заказчика.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7. Гарантии и поддержка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7.1.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Гарантия распространяется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на весь функционал, предусмотренный Техническим заданием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. Исправление ошибок (несоответствий Техническому заданию) производится Исполнителем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без дополнительной оплаты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в течение всего гарантийного периода.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7.2.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Техническая поддержка Системы и сайта в течение 12 (двенадцати) месяцев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с даты подписания акта о полной передаче включена в стоимость работ и оказывается в формате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отладки (дебага)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: приём обращений Заказчика, диагностика, устранение ошибок и сбоев в работе переданного функционала, восстановление работоспособности после сбоев. Обращения принимаются в рабочие дни; срок реакции — до 1 (одного) рабочего дня, срок устранения зависит от характера неисправности и согласовывается с Заказчиком. В течение первого месяца после запуска Исполнитель осуществляет усиленное сопровождение.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7.3.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Поддержка по п. 6.2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не включает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разработку нового функционала, изменение согласованной логики и подключение новых сервисов — такие работы выполняются по ставке п. 7.5.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7.4.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Гарантия и поддержка не распространяются на сбои, вызванные изменениями API и условий сторонних сервисов (Kaspi, WhatsApp, операторы связи), отказами оборудования Заказчика, действиями третьих лиц или вмешательством в код после передачи. Устранение таких сбоев и адаптация к изменившимся условиям сторонних сервисов оплачиваются по ставке п. 7.5.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7.5.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Доработки и новые функции после сдачи выполняются по ставке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20 (двадцать) долларов США за час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работы в тенге по курсу НБ РК на дату счёта, по предварительно согласованной оценке объёма.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7.6.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Профилактический рефакторинг при масштабировании сети сверх 50 складов выполняется по ставке п. 7.5 по согласованной оценке.</w:t>
      </w:r>
    </w:p>
    <w:p>
      <w:r>
        <w:br w:type="page"/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8. Конфиденциальность (NDA)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8.1.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Конфиденциальной информацией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по настоящему Договору признаётся любая информация, полученная Сторонами друг от друга в связи с его исполнением, независимо от формы и носителя, в том числе: данные арендаторов, договоров и платежей Заказчика; финансовые и операционные показатели сети (загрузка, ставки, выручка, дебиторская задолженность); тарифы, коммерческие условия и планы развития; персональные данные клиентов и сотрудников; доступы, ключи и пароли; исходный код, архитектура, структура базы данных и техническая документация; содержание переговоров и переписки Сторон.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8.2.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Каждая Сторона обязуется: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не разглашать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конфиденциальную информацию третьим лицам без предварительного письменного согласия другой Стороны;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использовать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её исключительно для целей исполнения настоящего Договора;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не копировать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и не воспроизводить её сверх необходимого; предоставлять доступ к ней только тем работникам и привлечённым специалистам, которым она необходима для исполнения Договора, приняв с них аналогичные письменные обязательства о неразглашении; принимать разумные организационные и технические меры защиты (разграничение прав доступа, защищённое хранение, шифрование каналов передачи).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8.3.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Не является нарушением раскрытие информации, которая: была общедоступна на момент передачи либо стала общедоступной не по вине принимающей Стороны; была правомерно известна принимающей Стороне до передачи; подлежит раскрытию по требованию уполномоченного государственного органа или суда — в этом случае раскрывающая Сторона незамедлительно уведомляет об этом другую Сторону и раскрывает информацию в минимально необходимом объёме.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8.4.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Персональные данные арендаторов и сотрудников Заказчика обрабатываются Исполнителем исключительно в объёме, необходимом для разработки и настройки Системы, и не используются ни для каких иных целей. По завершении работ и передаче Системы Исполнитель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удаляет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со своих носителей копии рабочих баз данных Заказчика, за исключением резервных копий, необходимых для исполнения гарантийных обязательств, которые уничтожаются по истечении срока поддержки либо по письменному требованию Заказчика.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8.5.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Обязательства о конфиденциальности действуют в течение срока действия Договора и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5 (пяти) лет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после его прекращения независимо от причин прекращения. В отношении персональных данных и исходного кода обязательства действуют бессрочно.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8.6.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За разглашение конфиденциальной информации виновная Сторона выплачивает другой Стороне штраф в размере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1 000 000 (одного миллиона) тенге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за каждый случай нарушения и возмещает документально подтверждённые убытки в части, не покрытой штрафом.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8.7.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Настоящий раздел имеет силу соглашения о неразглашении (NDA) и не требует подписания отдельного документа. По требованию любой из Сторон может быть оформлено отдельное соглашение о неразглашении на условиях, не противоречащих настоящему разделу.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9. Гарантия выполнения объёма работ и возврат оплаты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9.1.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Исполнитель гарантирует выполнение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всех без исключения пунктов Технического задания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(Приложение № 1). Техническое задание является исчерпывающим перечнем обязательств Исполнителя по объёму работ.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9.2.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Если при приёмке итогового этапа выявлено, что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хотя бы один пункт Технического задания не выполнен по вине Исполнителя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Заказчик направляет Исполнителю письменное уведомление с указанием невыполненных пунктов. Исполнитель обязан устранить несоответствие в срок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10 (десять) рабочих дней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с даты получения уведомления.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9.3.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Если в указанный срок несоответствие не устранено, Заказчик вправе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в одностороннем порядке отказаться от исполнения Договора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а Исполнитель обязан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возвратить Заказчику все фактически оплаченные по Договору денежные средства в полном объёме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в течение 10 (десяти) банковских дней с даты получения соответствующего требования. Ранее подписанные акты по этапам не лишают Заказчика этого права.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9.4.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Правило п. 9.3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не применяется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если невыполнение пункта Технического задания вызвано обстоятельствами, не зависящими от Исполнителя, а именно: непредоставлением или несвоевременным предоставлением Заказчиком данных, доступов, оборудования или согласований (п. 2.3, п. 2.4); отказом или ограничениями со стороны сторонних сервисов и их API (Kaspi, WhatsApp, операторы связи, производители оборудования доступа) при документально подтверждённом обращении Исполнителя к таким сервисам; изменением требований Заказчика после утверждения Технического задания; обстоятельствами непреодолимой силы. В этих случаях Стороны письменно фиксируют причину и согласовывают замену либо исключение соответствующего пункта.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9.5.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При возврате оплаты по п. 9.3 исключительные права на результаты работ к Заказчику не переходят, а переданные Заказчику материалы, исходный код и доступы подлежат возврату или уничтожению. Обязательства Сторон по разделу 8 (Конфиденциальность) сохраняют силу.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10. Ответственность Сторон и прочие условия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10.1.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За неисполнение или ненадлежащее исполнение обязательств Стороны несут ответственность в соответствии с законодательством Республики Казахстан. Совокупная ответственность Исполнителя ограничена суммой фактически полученной оплаты по Договору, за исключением случаев, предусмотренных п. 5.6 и п. 8.6.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10.2.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Исполнитель не несёт ответственности за работоспособность и условия сторонних сервисов и оборудования (Kaspi, WhatsApp, операторы связи, GSM-модули, Hikvision), а также за перерывы в их работе, произошедшие не по вине Исполнителя.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10.3.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Стороны освобождаются от ответственности при обстоятельствах непреодолимой силы. Споры разрешаются переговорами, при недостижении согласия — в суде по месту нахождения ответчика.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10.4.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Неустойка за нарушение сроков Исполнителем.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При нарушении Исполнителем срока выполнения работ, установленного п. 2.2 Договора, по причинам, зависящим от Исполнителя, Исполнитель уплачивает Заказчику неустойку (пеню) в размере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0,5% (ноль целых пять десятых процента) от общей стоимости работ по Договору за каждый календарный день просрочки, но не более 5% (пяти процентов) от общей стоимости работ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. При общей стоимости работ 3 000 000 (три миллиона) тенге это составляет 15 000 (пятнадцать тысяч) тенге за каждый день просрочки и не более 150 000 (ста пятидесяти тысяч) тенге в совокупности. Неустойка начисляется с первого дня просрочки на основании письменного требования Заказчика и уплачивается в течение 10 (десяти) банковских дней с даты его получения либо по соглашению Сторон удерживается из очередного платежа. Периоды просрочки, вызванные обстоятельствами, указанными в п. 2.2, п. 2.3, п. 2.4 и п. 9.4 Договора — непредоставлением или несвоевременным предоставлением Заказчиком данных, доступов, оборудования или согласований, ограничениями сторонних сервисов и их API, обстоятельствами непреодолимой силы, — при исчислении неустойки не учитываются и соразмерно продлевают срок выполнения работ. Уплата неустойки не освобождает Исполнителя от исполнения обязательств по Договору.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10.5.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Договор вступает в силу с момента подписания и действует до полного исполнения Сторонами обязательств. Изменения оформляются письменными дополнительными соглашениями. Договор составлен в двух экземплярах равной юридической силы.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10.6.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Приложение № 1 — Техническое задание — является неотъемлемой частью Договора и подписывается Сторонами отдельно.</w:t>
      </w:r>
    </w:p>
    <w:p>
      <w:r>
        <w:br w:type="page"/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11. Реквизиты и подписи Сторон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Отметка о приложениях</w:t>
      </w:r>
    </w:p>
    <w:tbl>
      <w:tblPr>
        <w:tblW w:type="dxa" w:w="10206"/>
        <w:tblBorders>
          <w:top w:val="single" w:color="333333" w:sz="4"/>
          <w:left w:val="single" w:color="333333" w:sz="4"/>
          <w:bottom w:val="single" w:color="333333" w:sz="4"/>
          <w:right w:val="single" w:color="333333" w:sz="4"/>
          <w:insideH w:val="single" w:color="333333" w:sz="4"/>
          <w:insideV w:val="single" w:color="333333" w:sz="4"/>
        </w:tblBorders>
      </w:tblPr>
      <w:tblGrid>
        <w:gridCol w:w="3470"/>
        <w:gridCol w:w="6736"/>
      </w:tblGrid>
      <w:tr>
        <w:trPr>
          <w:tblHeader/>
        </w:trPr>
        <w:tc>
          <w:tcPr>
            <w:tcW w:type="dxa" w:w="3470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EFECE4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Документ</w:t>
            </w:r>
          </w:p>
        </w:tc>
        <w:tc>
          <w:tcPr>
            <w:tcW w:type="dxa" w:w="6736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EFECE4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3470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Приложение № 1</w:t>
            </w:r>
            <w:r>
              <w:br/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Техническое задание</w:t>
            </w:r>
          </w:p>
        </w:tc>
        <w:tc>
          <w:tcPr>
            <w:tcW w:type="dxa" w:w="6736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Состав работ по блокам: пульт сети; склады и боксы с планами; договоры и арендаторы; счета и Kaspi Платежи с автоблокировкой; доступ на склады (вход по звонку, доверенные лица, Face ID/Hikvision, журнал); личный кабинет клиента; сайт сети складов и приём заявок с подбором бокса; передача событий в рекламные системы через Conversions API; IP-телефония и WhatsApp; аналитика и админка; логотип и техническая часть фирменного стиля; этапы, приёмка и границы объёма.</w:t>
            </w:r>
          </w:p>
        </w:tc>
      </w:tr>
      <w:tr>
        <w:trPr>
          <w:tblHeader w:val="false"/>
        </w:trPr>
        <w:tc>
          <w:tcPr>
            <w:tcW w:type="dxa" w:w="3470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Счёт № ZS-С-2026-02</w:t>
            </w:r>
            <w:r>
              <w:br/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 10.09.2026</w:t>
            </w:r>
          </w:p>
        </w:tc>
        <w:tc>
          <w:tcPr>
            <w:tcW w:type="dxa" w:w="6736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Предоплата 10% — 300 000 тенге, старт работ.</w:t>
            </w:r>
          </w:p>
        </w:tc>
      </w:tr>
    </w:tbl>
    <w:p>
      <w:pPr>
        <w:spacing w:after="120"/>
      </w:pP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c>
          <w:tcPr>
            <w:tcW w:type="dxa" w:w="5103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ИП «STUDYSTORIES.APP»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БИН: 880607300110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Руководитель: Цай Платон Леонидович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Адрес: г. Алматы, мкр. Орбита-4, д. 3, оф. 2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Банк: АО «Kaspi Bank»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IBAN: KZ31722S000010366450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БИК: CASPKZKA · Кбе 19 · КНП 851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Тел.: +7 701 123 99 99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Email: uurraa@gmail.com</w:t>
            </w:r>
          </w:p>
        </w:tc>
        <w:tc>
          <w:tcPr>
            <w:tcW w:type="dxa" w:w="5103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Мушекбаев Адиль Серикханович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ИИН: ______________________________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Адрес: ______________________________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Банк: АО «Kaspi Bank»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IBAN: KZ73722C000025956819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БИК: CASPKZKA · Кбе ____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Тел.: +7 701 734 46 99</w:t>
            </w:r>
          </w:p>
        </w:tc>
      </w:tr>
    </w:tbl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c>
          <w:tcPr>
            <w:tcW w:type="dxa" w:w="5103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От Исполнителя</w:t>
            </w:r>
          </w:p>
          <w:p>
            <w:pPr>
              <w:pBdr>
                <w:bottom w:val="single" w:color="111111" w:sz="6"/>
              </w:pBdr>
              <w:spacing w:after="40" w:before="280"/>
            </w:pPr>
          </w:p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Цай П. Л. / ____________________</w:t>
            </w:r>
          </w:p>
          <w:p>
            <w:r>
              <w:rPr>
                <w:rFonts w:ascii="Times New Roman" w:cs="Times New Roman" w:eastAsia="Times New Roman" w:hAnsi="Times New Roman"/>
                <w:color w:val="444444"/>
                <w:sz w:val="18"/>
                <w:szCs w:val="18"/>
              </w:rPr>
              <w:t xml:space="preserve">М. П.</w:t>
            </w:r>
          </w:p>
        </w:tc>
        <w:tc>
          <w:tcPr>
            <w:tcW w:type="dxa" w:w="5103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От Заказчика</w:t>
            </w:r>
          </w:p>
          <w:p>
            <w:pPr>
              <w:pBdr>
                <w:bottom w:val="single" w:color="111111" w:sz="6"/>
              </w:pBdr>
              <w:spacing w:after="40" w:before="280"/>
            </w:pPr>
          </w:p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Мушекбаев А. С. / ____________________</w:t>
            </w:r>
          </w:p>
          <w:p>
            <w:r>
              <w:rPr>
                <w:rFonts w:ascii="Times New Roman" w:cs="Times New Roman" w:eastAsia="Times New Roman" w:hAnsi="Times New Roman"/>
                <w:color w:val="444444"/>
                <w:sz w:val="18"/>
                <w:szCs w:val="18"/>
              </w:rPr>
              <w:t xml:space="preserve">М. П.</w:t>
            </w:r>
          </w:p>
        </w:tc>
      </w:tr>
    </w:tbl>
    <w:sectPr>
      <w:footerReference w:type="default" r:id="rId7"/>
      <w:pgSz w:w="11906" w:h="16838" w:orient="portrait"/>
      <w:pgMar w:top="794" w:right="850" w:bottom="68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/>
      </w:pBdr>
      <w:jc w:val="center"/>
    </w:pPr>
    <w:r>
      <w:rPr>
        <w:rFonts w:ascii="Times New Roman" w:cs="Times New Roman" w:eastAsia="Times New Roman" w:hAnsi="Times New Roman"/>
        <w:color w:val="444444"/>
        <w:sz w:val="16"/>
        <w:szCs w:val="16"/>
      </w:rPr>
      <w:t xml:space="preserve">Договор № PL-260910-1 от 10.09.2026 · стр. </w:t>
    </w:r>
    <w:r>
      <w:rPr>
        <w:rFonts w:ascii="Times New Roman" w:cs="Times New Roman" w:eastAsia="Times New Roman" w:hAnsi="Times New Roman"/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444444"/>
        <w:sz w:val="16"/>
        <w:szCs w:val="16"/>
      </w:rPr>
      <w:t xml:space="preserve"> из </w:t>
    </w:r>
    <w:r>
      <w:rPr>
        <w:rFonts w:ascii="Times New Roman" w:cs="Times New Roman" w:eastAsia="Times New Roman" w:hAnsi="Times New Roman"/>
        <w:color w:val="44444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PL-260910-1</dc:title>
  <dc:creator>Pllato</dc:creator>
  <dc:description>Договор № PL-260910-1</dc:description>
  <cp:lastModifiedBy>Un-named</cp:lastModifiedBy>
  <cp:revision>1</cp:revision>
  <dcterms:created xsi:type="dcterms:W3CDTF">2026-09-11T14:00:50.593Z</dcterms:created>
  <dcterms:modified xsi:type="dcterms:W3CDTF">2026-09-11T14:00:50.604Z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