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7"/>
          <w:szCs w:val="27"/>
        </w:rPr>
        <w:t xml:space="preserve">Система управления</w:t>
      </w:r>
      <w:r>
        <w:br/>
      </w:r>
      <w:r>
        <w:rPr>
          <w:rFonts w:ascii="Times New Roman" w:cs="Times New Roman" w:eastAsia="Times New Roman" w:hAnsi="Times New Roman"/>
          <w:b/>
          <w:bCs/>
          <w:caps/>
          <w:sz w:val="27"/>
          <w:szCs w:val="27"/>
        </w:rPr>
        <w:t xml:space="preserve">сетью складов</w:t>
      </w:r>
      <w:r>
        <w:br/>
      </w:r>
      <w:r>
        <w:rPr>
          <w:rFonts w:ascii="Times New Roman" w:cs="Times New Roman" w:eastAsia="Times New Roman" w:hAnsi="Times New Roman"/>
          <w:b/>
          <w:bCs/>
          <w:caps/>
          <w:sz w:val="27"/>
          <w:szCs w:val="27"/>
        </w:rPr>
        <w:t xml:space="preserve">индивидуального хранения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19"/>
          <w:szCs w:val="19"/>
        </w:rPr>
        <w:t xml:space="preserve">Документ фиксирует состав работ крупными блоками. Детальные требования по каждому блоку согласовываются в рабочем порядке на этапе ядра и полировки; итоговая реализация уточняется по фактическим возможностям оборудования и API сторонних сервисов.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552"/>
        <w:gridCol w:w="2552"/>
        <w:gridCol w:w="2552"/>
        <w:gridCol w:w="2550"/>
      </w:tblGrid>
      <w:tr>
        <w:tc>
          <w:tcPr>
            <w:tcW w:type="dxa" w:w="255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2E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color w:val="6B7280"/>
                <w:sz w:val="15"/>
                <w:szCs w:val="15"/>
              </w:rPr>
              <w:t xml:space="preserve">ЗАКАЗЧИК</w:t>
            </w: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Мушекбаев А. С.</w:t>
            </w:r>
          </w:p>
        </w:tc>
        <w:tc>
          <w:tcPr>
            <w:tcW w:type="dxa" w:w="255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2E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color w:val="6B7280"/>
                <w:sz w:val="15"/>
                <w:szCs w:val="15"/>
              </w:rPr>
              <w:t xml:space="preserve">ИСПОЛНИТЕЛЬ</w:t>
            </w: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ИП «STUDYSTORIES.APP»
бренд Pllato · БИН 880607300110</w:t>
            </w:r>
          </w:p>
        </w:tc>
        <w:tc>
          <w:tcPr>
            <w:tcW w:type="dxa" w:w="255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2E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color w:val="6B7280"/>
                <w:sz w:val="15"/>
                <w:szCs w:val="15"/>
              </w:rPr>
              <w:t xml:space="preserve">СРОК</w:t>
            </w: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4–6 недель</w:t>
            </w:r>
          </w:p>
        </w:tc>
        <w:tc>
          <w:tcPr>
            <w:tcW w:type="dxa" w:w="25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2EC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Times New Roman" w:cs="Times New Roman" w:eastAsia="Times New Roman" w:hAnsi="Times New Roman"/>
                <w:color w:val="6B7280"/>
                <w:sz w:val="15"/>
                <w:szCs w:val="15"/>
              </w:rPr>
              <w:t xml:space="preserve">ЭТАПЫ</w:t>
            </w: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ядро → полировка</w:t>
            </w:r>
          </w:p>
        </w:tc>
      </w:tr>
    </w:tbl>
    <w:p>
      <w:pPr>
        <w:spacing w:after="200"/>
      </w:pP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Общие положения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Разрабатывается система управления сетью складов self storage («система управления», портал) и новый сайт, связанные в единую базу данных. Сайт — витрина и точка входа клиента; портал — договоры, боксы, счета, доступы, клиенты и аналитика.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Сеть на момент старта: 7 складов в Алматы (включая достроенный), на части складов два уровня хранения — второй уровень учитывается отдельным ярусом со своим тарифом. Склады распределены между тремя ИП: счета и приём оплат идут от юрлица, которому принадлежит склад.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3.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Масштабирование до 50 складов.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Архитектура рассчитана на обслуживание не менее 50 (пятидесяти) складов сети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без переработки архитектуры и без дополнительной оплаты разработки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это же требование зафиксировано в п. 1.7 Договора и проверяется при приёмке итогового этапа. Новый склад добавляется Заказчиком самостоятельно через админку (сетка боксов, площади, тарифы, юрлицо, реквизиты Kaspi). Рост числа складов и нагрузки покрывается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расширением ресурсов сервера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процессор, оперативная память, дисковое пространство и пропускная способность; объём и стоимость ресурсов определяются хостингом и относятся к расходам Заказчика по п. 4 настоящего раздела. Профилактический рефакторинг для достижения 50 складов не требуется и Заказчиком не оплачивается.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4.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Система развёртывается на сервере Заказчика, исходный код и документация (вики) передаются Заказчику. Ежемесячных платежей Исполнителю за пользование нет; сторонние сервисы (WhatsApp-канал ≈5 000 ₸/номер/мес, IP-телефония, хостинг, SMS) Заказчик оплачивает напрямую поставщикам.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5.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Стороны и правовой статус документа.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Исполнитель —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Индивидуальный предприниматель «STUDYSTORIES.APP»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БИН 880607300110, в лице руководителя Цая Платона Леонидовича.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«Pllato» — коммерческое обозначение (бренд), под которым ИП «STUDYSTORIES.APP» осуществляет свою деятельность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; упоминание «Pllato» в настоящем документе, в переписке и в любых сопутствующих материалах означает указанное индивидуальное предприятие. Заказчик — Мушекбаев Адиль Серикханович. Настоящее Техническое задание является Приложением № 1 к Договору № PL-260910-1 от 10 сентября 2026 года и его неотъемлемой частью; при расхождении формулировок применяются условия Договора.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2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Склады, боксы и договоры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Карта-план каждого склада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(не список): боксы с цветовыми статусами — занят, свободен, долг, бронь; уровни отображаются отдельными ярусами. Клик по боксу — карточка: арендатор, площадь, тариф, период, доступы, история.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Карточка арендатора: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все боксы клиента, периоды, платежи, доверенные лица, источник обращения, переписка. Договор аренды формируется автоматически по шаблону Заказчика.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Пульт сети: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загрузка, выручка, свободные боксы, должники и события по всем складам на одном экране; сводные показатели текущей таблицы Заказчика воспроизводятся.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3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CRM: карточка клиента и работа менеджера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CRM выделяется отдельным блоком системы: карточка клиента, воронка обращений, задачи и история взаимодействия.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Состав полей карточки, стадии воронки и критерии приёмки CRM согласовываются с Заказчиком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на этапе ядра и фиксируются письменно (перепиской или протоколом созвона). До согласования состав считается предварительным.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Карточка клиента объединяет данные аренды (боксы, договоры, периоды, платежи, доступы) и данные CRM (источник обращения, переписка, звонки, задачи, ответственный менеджер).</w:t>
      </w:r>
    </w:p>
    <w:p>
      <w:r>
        <w:br w:type="page"/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4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Счета, оплаты и приём платежей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Массовое начисление: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счета за период по всем занятым боксам формируются одним запуском — площадь, тариф и период каждого договора; отправка клиентам в Kaspi и WhatsApp.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Kaspi Платежи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основной канал оплаты (сервис «Платежи», без эквайринга): клиент видит начисление как квитанцию и оплачивает; поступление автоматически привязывается к боксу и периоду, в том числе при оплате третьим лицом и при оплате за несколько периодов сразу. Интеграция выполняется по документации Kaspi, которую предоставляет Заказчик; резервный путь — постоянная ссылка на оплату и автоматический разбор подтверждений.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Эквайринг банковских карт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дополнительный канал оплаты помимо Kaspi. В платёжной форме и в назначении платежа обязательно указываются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за что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(склад, номер бокса, договор) и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за какой период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оплата. Поступление по эквайрингу привязывается к боксу и периоду так же, как оплата через Kaspi, и так же снимает автоблокировку. Конкретный провайдер эквайринга и условия подключения согласовываются с Заказчиком.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Счета на оплату для юридических лиц: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 CRM формируется счёт по шаблону Заказчика с реквизитами юрлица-арендатора и юрлица-получателя (того ИП, которому принадлежит склад), с указанием боксов, периода и суммы. Счёт выгружается в PDF и отправляется клиенту; оплата по такому счёту привязывается к боксу и периоду.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Скидки: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стандартное поле скидки задаётся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как по отдельному клиенту, так и на весь склад целиком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Скидка учитывается при массовом начислении и отражается в счёте и в аналитике по выручке.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Автоблокировка: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просрочка оплаты автоматически закрывает доступ на склад и отправляет клиенту напоминание со ссылкой на оплату; поступление оплаты открывает доступ без участия персонала. Дебиторка ведётся системой.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5 · ключевой блок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Доступ на склады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Вход по звонку (основной способ):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каждой входной двери присваивается номер (GSM-модуль замка). Клиент звонит на номер двери — система определяет его номер телефона, находит арендатора или доверенное лицо, проверяет оплату и открывает замок; вызов сбрасывается, звонок для клиента бесплатный. При долге замок не открывается, клиенту уходит сообщение со ссылкой на оплату. Аналогия — GSM-шлагбаум.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Доверенные лица: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арендатор добавляет людей в личном кабинете сам (ФИО, номер удостоверения, телефон). Два типа доступа: постоянный (родственники, сотрудники) и разовый на день (грузчики, курьер — сгорает автоматически). Бумажные доверенности не требуются.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Face ID / Hikvision: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действующее оборудование (Hikvision Doors) подключается в общую систему с тем же правилом «не оплатил — не вошёл»; единый журнал. Вопрос удалённого управления решается по модели оборудования (статический IP или облачный сервис Hik).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Оператор — резервный канал: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видеозвонок и ручное открытие после верификации (телефон разряжен, нестандартная ситуация). Для охраны — картотека: поиск по номеру телефона или имени, доступы и долги видны без системы доступа.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Журнал проходов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 всем складам и всем способам входа: кто, когда, куда, каким способом, результат.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Отключение электричества или интернета: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при пропадании питания или связи канал открытия не работает — замок не управляется системой. Это ограничение оборудования, а не программной части. Доступ в такой ситуации обеспечивается организационно, силами Заказчика (дежурный оператор, механический ключ). Резервное питание, автономные каналы связи и аварийное открытие — зона ответственности Заказчика и в состав работ не входят.</w:t>
      </w:r>
    </w:p>
    <w:p>
      <w:pPr>
        <w:pBdr>
          <w:left w:val="single" w:color="8A8578" w:sz="12" w:space="10"/>
        </w:pBdr>
        <w:shd w:fill="F4F2EC" w:color="auto" w:val="clear"/>
        <w:spacing w:after="140" w:before="80" w:line="264"/>
        <w:ind w:left="280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Зависимость от оборудования:</w:t>
      </w:r>
      <w:r>
        <w:rPr>
          <w:rFonts w:ascii="Times New Roman" w:cs="Times New Roman" w:eastAsia="Times New Roman" w:hAnsi="Times New Roman"/>
          <w:b w:val="false"/>
          <w:bCs w:val="false"/>
          <w:sz w:val="19"/>
          <w:szCs w:val="19"/>
        </w:rPr>
        <w:t xml:space="preserve"> состав GSM-модулей и способ их подключения подбираются на этапе ядра; связь на вторых уровнях обеспечивается усилителями сигнала (зона ответственности Заказчика по монтажу).</w:t>
      </w:r>
    </w:p>
    <w:p>
      <w:r>
        <w:br w:type="page"/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6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Личный кабинет клиента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Мобильная веб-версия без приложения: бокс, договор, период, счёт, оплата Kaspi, продление, история платежей.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Управление доступом: свой номер-ключ, добавление доверенных лиц, разовые доступы; статус «доступ закрыт — оплатите» с причиной.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Онбординг новых клиентов: после оплаты — PDF-инструкция в WhatsApp (как пройти, как открыть дверь звонком).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7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Сайт и приём заявок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Новый сайт с нуля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(лендинг-витрина + интеграционный модуль): склады на карте, свободные боксы в реальном времени, цены, онлайн-бронирование и полный самостоятельный чек-ин — выбрал бокс, оплатил, получил доступ и инструкцию без участия менеджера. Контент и данные мигрируются с текущего сайта.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Подбор бокса: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размерные категории (S / M / L / XL / XXL) с понятной визуализацией «что помещается» (по образцу лучших практик); формат подбора уточняется по опросу действующих клиентов Заказчика.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Канбан заявок: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обращения с сайта, WhatsApp, Instagram и звонков в одной воронке с источником (Google ≈45%, рекомендации ≈20%, 2ГИС ≈13%, Instagram ≈11% и др.) и маркетинг-кодами — для оценки каналов и рекламы.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8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Телефония и WhatsApp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IP-телефония: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действующие номера переводятся в SIP-формат у одного оператора на юрлицо; подключение АТС (Sipuni/Binotel или аналог). Входящие и исходящие звонки: запись разговоров, автоматическое создание карточек, привязка к существующим клиентам. Личные номера сотрудников выводятся из рабочего контура.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WhatsApp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по QR-протоколу (green-API, ≈5 000 ₸/канал/мес): вся переписка и файлы архивируются в системе и привязываются к клиенту; отправка счетов, напоминаний и инструкций. WhatsApp-звонки — вне текущего объёма (появятся после стабилизации официального канала Meta).</w:t>
      </w:r>
    </w:p>
    <w:p>
      <w:r>
        <w:br w:type="page"/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9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Аналитика, роли и админка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Дашборд с показателями сводного файла Заказчика: загрузка, выручка, ставка за м², должники, источники, отток и прогноз; выгрузки в Excel.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Роли и права доступа: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владелец, менеджер, оператор охраны, администратор, клиент. Реализуется стандартная сетка прав: по каждому разделу системы для каждой роли задаётся уровень доступа — нет доступа, просмотр, изменение.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Конкретное распределение прав по ролям согласовывается с Заказчиком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на этапе ядра и фиксируется письменно; дальше права меняются в админке без обращения к Исполнителю.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Админка: склады, тарифы, юрлица, интеграции, пользователи, скидки.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10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Резервное копирование и отказоустойчивость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Резервное копирование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выполняется штатными средствами Cloudflare.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Глубина хранения копий — 30 дней.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Восстановление на любую дату в пределах этого срока выполняется Исполнителем по обращению Заказчика.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Ежемесячная копия на резервный сервер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, отличный от основного: раз в месяц полная копия базы и файлов переносится на отдельный сервер, чтобы данные не зависели от одной площадки. Настройка переноса входит в состав работ; оплата самого резервного сервера — за Заказчиком.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✓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Проверка восстановления из копии проводится один раз на этапе полировки и фиксируется в акте приёмки. Отдельное соглашение об уровне доступности сервера (SLA) в состав работ не входит: сервер принадлежит Заказчику, его доступность и оплата — зона ответственности Заказчика.</w:t>
      </w:r>
    </w:p>
    <w:p>
      <w:pPr>
        <w:keepNext/>
        <w:spacing w:after="0" w:before="220"/>
      </w:pPr>
      <w:r>
        <w:rPr>
          <w:rFonts w:ascii="Times New Roman" w:cs="Times New Roman" w:eastAsia="Times New Roman" w:hAnsi="Times New Roman"/>
          <w:b/>
          <w:bCs/>
          <w:caps/>
          <w:color w:val="6B7280"/>
          <w:sz w:val="16"/>
          <w:szCs w:val="16"/>
        </w:rPr>
        <w:t xml:space="preserve">Раздел 11</w:t>
      </w:r>
    </w:p>
    <w:p>
      <w:pPr>
        <w:keepNext/>
        <w:spacing w:after="90" w:before="60"/>
      </w:pPr>
      <w:r>
        <w:rPr>
          <w:rFonts w:ascii="Times New Roman" w:cs="Times New Roman" w:eastAsia="Times New Roman" w:hAnsi="Times New Roman"/>
          <w:b/>
          <w:bCs/>
          <w:caps/>
          <w:sz w:val="22"/>
          <w:szCs w:val="22"/>
        </w:rPr>
        <w:t xml:space="preserve">Этапы, приёмка и границы объёма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1.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Этап «Ядро»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рабочий каркас всех разделов на данных Заказчика (перенос из текущих таблиц включён). Приёмка — работой в системе.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Этап «Полировка»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— правки по обратной связи боевого использования, перенос на сервер Заказчика, передача кода и вики.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2.	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Оплата: 10% при старте, 45% после утверждения ядра, 45% после полной сдачи. Ошибки исправляются бесплатно; доработки после сдачи — 20 $/час.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3.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Вне текущего объёма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(следующий круг развития, по отдельному согласованию): AI-агент подбора бокса в нерабочее время, аукционы невыкупленных боксов, WhatsApp-звонки, кубометры как единица тарификации, промокоды и программа лояльности, страхование хранимого имущества.</w:t>
      </w:r>
    </w:p>
    <w:p>
      <w:pPr>
        <w:spacing w:after="80" w:line="264"/>
        <w:ind w:left="480" w:hanging="48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4.	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Просрочка сроков Исполнителем.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 Ответственность за нарушение срока работ установлена п. 10.4 Договора: неустойка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0,5% от общей стоимости работ за каждый календарный день просрочки, но не более 5% от общей стоимости</w:t>
      </w:r>
      <w:r>
        <w:rPr>
          <w:rFonts w:ascii="Times New Roman" w:cs="Times New Roman" w:eastAsia="Times New Roman" w:hAnsi="Times New Roman"/>
          <w:b w:val="false"/>
          <w:bCs w:val="false"/>
          <w:sz w:val="21"/>
          <w:szCs w:val="21"/>
        </w:rPr>
        <w:t xml:space="preserve">. Периоды, вызванные непредоставлением Заказчиком данных, доступов, оборудования или согласований, а также ограничениями сторонних сервисов, при исчислении неустойки не учитываются и соразмерно продлевают срок.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Исполнитель · ИП «STUDYSTORIES.APP» (бренд Pllato)</w:t>
            </w:r>
          </w:p>
          <w:p>
            <w:pPr>
              <w:pBdr>
                <w:bottom w:val="single" w:color="111111" w:sz="6"/>
              </w:pBdr>
              <w:spacing w:after="40" w:before="280"/>
            </w:pP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Подпись, дата</w:t>
            </w:r>
          </w:p>
        </w:tc>
        <w:tc>
          <w:tcPr>
            <w:tcW w:type="dxa" w:w="5103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Заказчик · Мушекбаев А. С.</w:t>
            </w:r>
          </w:p>
          <w:p>
            <w:pPr>
              <w:pBdr>
                <w:bottom w:val="single" w:color="111111" w:sz="6"/>
              </w:pBdr>
              <w:spacing w:after="40" w:before="280"/>
            </w:pP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Подпись, дата</w:t>
            </w:r>
          </w:p>
        </w:tc>
      </w:tr>
    </w:tbl>
    <w:sectPr>
      <w:footerReference w:type="default" r:id="rId7"/>
      <w:pgSz w:w="11906" w:h="16838" w:orient="portrait"/>
      <w:pgMar w:top="794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Техническое задание · приложение № 1 к договору № PL-260910-1 · стр.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444444"/>
        <w:sz w:val="16"/>
        <w:szCs w:val="16"/>
      </w:rPr>
      <w:t xml:space="preserve"> из </w:t>
    </w:r>
    <w:r>
      <w:rPr>
        <w:rFonts w:ascii="Times New Roman" w:cs="Times New Roman" w:eastAsia="Times New Roman" w:hAnsi="Times New Roman"/>
        <w:color w:val="44444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>Pllato</dc:creator>
  <dc:description>Техническое задание</dc:description>
  <cp:lastModifiedBy>Un-named</cp:lastModifiedBy>
  <cp:revision>1</cp:revision>
  <dcterms:created xsi:type="dcterms:W3CDTF">2026-09-11T14:00:50.785Z</dcterms:created>
  <dcterms:modified xsi:type="dcterms:W3CDTF">2026-09-11T14:00:50.785Z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