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40" w:line="252" w:lineRule="auto"/>
      </w:pPr>
      <w:r>
        <w:rPr>
          <w:rFonts w:ascii="Arial" w:hAnsi="Arial" w:eastAsia="Arial"/>
          <w:b w:val="0"/>
          <w:caps w:val="0"/>
          <w:color w:val="172033"/>
          <w:sz w:val="6"/>
        </w:rPr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КОММЕРЧЕСКОЕ ПРЕДЛОЖЕНИЕ</w:t>
      </w:r>
    </w:p>
    <w:p>
      <w:pPr>
        <w:spacing w:after="120"/>
      </w:pPr>
      <w:r>
        <w:rPr>
          <w:rFonts w:ascii="Arial" w:hAnsi="Arial" w:eastAsia="Arial"/>
          <w:b/>
          <w:caps w:val="0"/>
          <w:color w:val="0B1930"/>
          <w:sz w:val="60"/>
        </w:rPr>
        <w:t>NUK Control</w:t>
      </w:r>
    </w:p>
    <w:p>
      <w:pPr>
        <w:spacing w:before="0" w:after="360" w:line="269" w:lineRule="auto"/>
      </w:pPr>
      <w:r>
        <w:rPr>
          <w:rFonts w:ascii="Arial" w:hAnsi="Arial" w:eastAsia="Arial"/>
          <w:b w:val="0"/>
          <w:caps w:val="0"/>
          <w:color w:val="667085"/>
          <w:sz w:val="25"/>
        </w:rPr>
        <w:t>Собственная цифровая платформа BMW‑авторазбора: от донора и полки до продажи, сайта и управленческой аналитики.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23"/>
      </w:tblGrid>
      <w:tr>
        <w:tc>
          <w:tcPr>
            <w:tcW w:type="dxa" w:w="3305"/>
            <w:shd w:fill="0B1930"/>
            <w:tcMar>
              <w:top w:w="190" w:type="dxa"/>
              <w:start w:w="170" w:type="dxa"/>
              <w:bottom w:w="18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FFFFFF"/>
                <w:sz w:val="32"/>
              </w:rPr>
              <w:t>3 000 000 ₸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полная стоимость</w:t>
            </w:r>
          </w:p>
        </w:tc>
        <w:tc>
          <w:tcPr>
            <w:tcW w:type="dxa" w:w="3305"/>
            <w:shd w:fill="EAF1FF"/>
            <w:tcMar>
              <w:top w:w="190" w:type="dxa"/>
              <w:start w:w="170" w:type="dxa"/>
              <w:bottom w:w="18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2"/>
              </w:rPr>
              <w:t>до 6 недель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0B1930"/>
                <w:sz w:val="15"/>
              </w:rPr>
              <w:t>до промышленного запуска</w:t>
            </w:r>
          </w:p>
        </w:tc>
        <w:tc>
          <w:tcPr>
            <w:tcW w:type="dxa" w:w="3311"/>
            <w:shd w:fill="EAF1FF"/>
            <w:tcMar>
              <w:top w:w="190" w:type="dxa"/>
              <w:start w:w="170" w:type="dxa"/>
              <w:bottom w:w="180" w:type="dxa"/>
              <w:end w:w="170" w:type="dxa"/>
            </w:tcMar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2"/>
              </w:rPr>
              <w:t>300 000 ₸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0B1930"/>
                <w:sz w:val="15"/>
              </w:rPr>
              <w:t>предоплата 10%</w:t>
            </w:r>
          </w:p>
        </w:tc>
      </w:tr>
    </w:tbl>
    <w:p>
      <w:pPr>
        <w:spacing w:before="0" w:after="280" w:line="252" w:lineRule="auto"/>
      </w:pPr>
      <w:r>
        <w:rPr>
          <w:rFonts w:ascii="Arial" w:hAnsi="Arial" w:eastAsia="Arial"/>
          <w:b w:val="0"/>
          <w:caps w:val="0"/>
          <w:color w:val="172033"/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F4F7FC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Результат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Один источник правды по остаткам, продажам и движению каждой запчасти — с живым каталогом на сайте и контролем двух площадок.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spacing w:before="320" w:after="60" w:line="252" w:lineRule="auto"/>
      </w:pPr>
      <w:r>
        <w:rPr>
          <w:rFonts w:ascii="Arial" w:hAnsi="Arial" w:eastAsia="Arial"/>
          <w:b/>
          <w:caps w:val="0"/>
          <w:color w:val="0B1930"/>
          <w:sz w:val="18"/>
        </w:rPr>
        <w:t>Подготовлено для: NUK / Нурлан</w:t>
      </w:r>
    </w:p>
    <w:p>
      <w:pPr>
        <w:spacing w:before="0" w:after="60" w:line="252" w:lineRule="auto"/>
      </w:pPr>
      <w:r>
        <w:rPr>
          <w:rFonts w:ascii="Arial" w:hAnsi="Arial" w:eastAsia="Arial"/>
          <w:b w:val="0"/>
          <w:caps w:val="0"/>
          <w:color w:val="667085"/>
          <w:sz w:val="16"/>
        </w:rPr>
        <w:t>Подготовлено: Pllato · 04 августа 2026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aps w:val="0"/>
          <w:color w:val="667085"/>
          <w:sz w:val="16"/>
        </w:rPr>
        <w:t>Версия 1.0 · для согласования</w:t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01 · ЗАДАЧА БИЗНЕСА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Что мы услышали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NUK нужен не ещё один складской справочник, а рабочая система, которая помогает продавать и масштабировать бизнес.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60–70 тыс.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целевой объём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карточек без искусственного лимита</w:t>
            </w:r>
          </w:p>
        </w:tc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2 площадки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единый остаток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Бесагаш и точка на Суюнбая</w:t>
            </w:r>
          </w:p>
        </w:tc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18–20 тыс.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текущие данные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карточки и фото для миграции из Bazon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80" w:after="10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Ключевые проблемы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Bazon используется главным образом как хранилище карточек, но не связывает склад, продажи, маркетинг и сайт в единый процесс.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Физический склад формировался с 2009 года: требуется адресная раскладка, маркировка и постепенная оцифровка без остановки работы.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Поступления из контейнеров необходимо быстро превращать в товарные карточки: донор → деталь → фото → OEM → состояние → полка.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Клиентские обращения из WhatsApp и звонков не должны теряться; менеджер должен собирать заказ прямо из актуального остатка.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Собственнику нужна аналитика: какие доноры окупаются, что продаётся быстро, что лежит и какие позиции выгодно закупать.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Сайт и реклама должны вести BMW‑аудиторию сразу к конкретной детали, а не генерировать нецелевые звонки по другим маркам.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DF8F2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14804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14804A"/>
                <w:sz w:val="20"/>
              </w:rPr>
              <w:t>Цель проекта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Запустить собственную управляемую платформу NUK, которая остаётся у заказчика, не требует обязательной помесячной лицензии и может подключаться к сайту и внешним каналам через API.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02 · КОНЦЕПЦИЯ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Как будет работать NUK Control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Сквозной процесс строится вокруг единицы товара и её движения — от автомобиля‑донора до выданного заказа.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2"/>
        <w:gridCol w:w="3209"/>
        <w:gridCol w:w="5188"/>
      </w:tblGrid>
      <w:tr>
        <w:trPr>
          <w:tblHeader w:val="true"/>
        </w:trPr>
        <w:tc>
          <w:tcPr>
            <w:tcW w:type="dxa" w:w="1020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Шаг</w:t>
            </w:r>
          </w:p>
        </w:tc>
        <w:tc>
          <w:tcPr>
            <w:tcW w:type="dxa" w:w="3402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Что делает команда</w:t>
            </w:r>
          </w:p>
        </w:tc>
        <w:tc>
          <w:tcPr>
            <w:tcW w:type="dxa" w:w="5499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Что фиксирует система</w:t>
            </w:r>
          </w:p>
        </w:tc>
      </w:tr>
      <w:tr>
        <w:trPr>
          <w:cantSplit/>
        </w:trPr>
        <w:tc>
          <w:tcPr>
            <w:tcW w:type="dxa" w:w="96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1. Донор</w:t>
            </w:r>
          </w:p>
        </w:tc>
        <w:tc>
          <w:tcPr>
            <w:tcW w:type="dxa" w:w="320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Создаёт автомобиль или партию</w:t>
            </w:r>
          </w:p>
        </w:tc>
        <w:tc>
          <w:tcPr>
            <w:tcW w:type="dxa" w:w="518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VIN/модель, кузов, двигатель, год, закупка, источник</w:t>
            </w:r>
          </w:p>
        </w:tc>
      </w:tr>
      <w:tr>
        <w:trPr>
          <w:cantSplit/>
        </w:trPr>
        <w:tc>
          <w:tcPr>
            <w:tcW w:type="dxa" w:w="96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2. Разбор</w:t>
            </w:r>
          </w:p>
        </w:tc>
        <w:tc>
          <w:tcPr>
            <w:tcW w:type="dxa" w:w="320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Назначает детали и исполнителей</w:t>
            </w:r>
          </w:p>
        </w:tc>
        <w:tc>
          <w:tcPr>
            <w:tcW w:type="dxa" w:w="518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План/факт, фото, маркировка, состояние, дефекты</w:t>
            </w:r>
          </w:p>
        </w:tc>
      </w:tr>
      <w:tr>
        <w:trPr>
          <w:cantSplit/>
        </w:trPr>
        <w:tc>
          <w:tcPr>
            <w:tcW w:type="dxa" w:w="96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3. Приёмка</w:t>
            </w:r>
          </w:p>
        </w:tc>
        <w:tc>
          <w:tcPr>
            <w:tcW w:type="dxa" w:w="320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Проверяет и размещает</w:t>
            </w:r>
          </w:p>
        </w:tc>
        <w:tc>
          <w:tcPr>
            <w:tcW w:type="dxa" w:w="518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Количество, себестоимость, склад, зона, стеллаж, полка</w:t>
            </w:r>
          </w:p>
        </w:tc>
      </w:tr>
      <w:tr>
        <w:trPr>
          <w:cantSplit/>
        </w:trPr>
        <w:tc>
          <w:tcPr>
            <w:tcW w:type="dxa" w:w="96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4. Публикация</w:t>
            </w:r>
          </w:p>
        </w:tc>
        <w:tc>
          <w:tcPr>
            <w:tcW w:type="dxa" w:w="320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Дополняет карточку и цену</w:t>
            </w:r>
          </w:p>
        </w:tc>
        <w:tc>
          <w:tcPr>
            <w:tcW w:type="dxa" w:w="518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OEM/кросс‑номера, совместимость, SEO‑страница, доступность</w:t>
            </w:r>
          </w:p>
        </w:tc>
      </w:tr>
      <w:tr>
        <w:trPr>
          <w:cantSplit/>
        </w:trPr>
        <w:tc>
          <w:tcPr>
            <w:tcW w:type="dxa" w:w="96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5. Продажа</w:t>
            </w:r>
          </w:p>
        </w:tc>
        <w:tc>
          <w:tcPr>
            <w:tcW w:type="dxa" w:w="320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Ведёт диалог и собирает заказ</w:t>
            </w:r>
          </w:p>
        </w:tc>
        <w:tc>
          <w:tcPr>
            <w:tcW w:type="dxa" w:w="518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Источник, клиент, резерв, скидка, оплата, ответственный</w:t>
            </w:r>
          </w:p>
        </w:tc>
      </w:tr>
      <w:tr>
        <w:trPr>
          <w:cantSplit/>
        </w:trPr>
        <w:tc>
          <w:tcPr>
            <w:tcW w:type="dxa" w:w="96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6. Выдача</w:t>
            </w:r>
          </w:p>
        </w:tc>
        <w:tc>
          <w:tcPr>
            <w:tcW w:type="dxa" w:w="320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Отгружает или доставляет</w:t>
            </w:r>
          </w:p>
        </w:tc>
        <w:tc>
          <w:tcPr>
            <w:tcW w:type="dxa" w:w="518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Списание, перемещение, возврат, история операции</w:t>
            </w:r>
          </w:p>
        </w:tc>
      </w:tr>
      <w:tr>
        <w:trPr>
          <w:cantSplit/>
        </w:trPr>
        <w:tc>
          <w:tcPr>
            <w:tcW w:type="dxa" w:w="96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7. Аналитика</w:t>
            </w:r>
          </w:p>
        </w:tc>
        <w:tc>
          <w:tcPr>
            <w:tcW w:type="dxa" w:w="320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Принимает решение по закупке</w:t>
            </w:r>
          </w:p>
        </w:tc>
        <w:tc>
          <w:tcPr>
            <w:tcW w:type="dxa" w:w="518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Маржа, оборачиваемость, окупаемость донора, залежалость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6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Главный принцип</w:t>
      </w:r>
    </w:p>
    <w:p>
      <w:pPr>
        <w:spacing w:before="0" w:after="140" w:line="252" w:lineRule="auto"/>
      </w:pPr>
      <w:r>
        <w:rPr>
          <w:rFonts w:ascii="Arial" w:hAnsi="Arial" w:eastAsia="Arial"/>
          <w:b w:val="0"/>
          <w:caps w:val="0"/>
          <w:color w:val="172033"/>
          <w:sz w:val="20"/>
        </w:rPr>
        <w:t>Склад является ядром. Сайт, CRM, продажи, партнёрские коды и отчёты читают одни и те же актуальные данные — без ручного дублирования карточек.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Единый идентификатор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Каждая запчасть получает уникальный код и историю от донора до продажи.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Адресное хранение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Система показывает точное место: площадка, зона, стеллаж и полка.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Живой остаток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Резерв и продажа сразу меняют доступность внутри NUK Control и на сайте.</w:t>
            </w:r>
          </w:p>
        </w:tc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Контроль собственника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Риски, деньги, залежалость и результат команды видны в одном пульте.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03 · ВНУТРЕННЯЯ ПЛАТФОРМА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Модули NUK Control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Рабочее пространство для собственника, склада, цеха, продаж и маркетинга.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Пульт собственника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Продажи, маржа, остаток, просроченные резервы, проблемные доноры, AI‑сигналы и отклонения по двум точкам.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Доноры и разбор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Карточка автомобиля/партии, состав деталей, задания цеху, план/факт, закупочная стоимость и окупаемость.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Поступления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Приёмка контейнера, пакетное создание позиций, фото, маркировка, качество и распределение по складам.</w:t>
            </w:r>
          </w:p>
        </w:tc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Каталог запчастей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OEM и кросс‑номера, BMW модель/кузов/двигатель/год, состояние, цена, себестоимость, совместимость и фото.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Адресный склад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Бесагаш / Суюнбая, зоны, стеллажи и полки; приход, расход, перемещение, резерв, списание и инвентаризация.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Продажи и заказы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Воронка заявок, подбор из остатка, коммерческое предложение, резерв, оплата, выдача, доставка и возврат.</w:t>
            </w:r>
          </w:p>
        </w:tc>
      </w:tr>
      <w:tr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CRM и коммуникации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Клиент, автомобиль, история покупок, WhatsApp‑диалог, звонки, источник обращения и следующий шаг.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Задачи команды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Доска по этапам для склада, цеха, продаж и контента; сроки, ответственные, чек‑листы и вложения.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Финансы и аналитика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Выручка, валовая маржа, оборачиваемость, ABC/XYZ, залежалость, окупаемость доноров и прогноз закупки.</w:t>
            </w:r>
          </w:p>
        </w:tc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Маркетинг и партнёры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Рекламные метки, источник сделки, реферальные коды СТО/блогеров, скидка клиенту и начисление партнёру.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AF1FF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Важно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Интерфейс проектируется под реальные роли и операции NUK. Сотрудник видит только нужные действия, а собственник — полную картину и журнал изменений.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04 · КЛИЕНТСКИЙ КОНТУР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Каталог BMW‑запчастей на сайте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Отдельная витрина синхронизируется с NUK Control и показывает клиенту только реально доступные позиции.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Умный поиск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По OEM, кросс‑номеру, названию, модели, кузову, поколению, двигателю, году и ключевым словам.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Фильтры совместимости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BMW‑ориентированная структура исключает нецелевой трафик и помогает подобрать деталь к автомобилю.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Реальные фото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В карточке показываются фото конкретной б/у детали, её состояние, дефекты, маркировка и расположение.</w:t>
            </w:r>
          </w:p>
        </w:tc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Живое наличие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Статусы «в наличии», «резерв», «продано», доступная точка и срок перемещения обновляются из склада.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Быстрый запрос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Кнопка WhatsApp/звонка передаёт менеджеру выбранную позицию, OEM, UTM‑источник и контакт клиента.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Базовое SEO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Индексируемые страницы деталей, человекопонятные URL, мета‑данные и карта сайта для запросов по OEM/модели.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60" w:after="10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Что увидит клиент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9"/>
        <w:gridCol w:w="7220"/>
      </w:tblGrid>
      <w:tr>
        <w:trPr>
          <w:tblHeader w:val="true"/>
        </w:trPr>
        <w:tc>
          <w:tcPr>
            <w:tcW w:type="dxa" w:w="2268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6"/>
              </w:rPr>
              <w:t>Экран</w:t>
            </w:r>
          </w:p>
        </w:tc>
        <w:tc>
          <w:tcPr>
            <w:tcW w:type="dxa" w:w="7654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6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13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Каталог</w:t>
            </w:r>
          </w:p>
        </w:tc>
        <w:tc>
          <w:tcPr>
            <w:tcW w:type="dxa" w:w="722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Поиск, модель BMW, кузов, категория, цена, точка, наличие, сортировка</w:t>
            </w:r>
          </w:p>
        </w:tc>
      </w:tr>
      <w:tr>
        <w:trPr>
          <w:cantSplit/>
        </w:trPr>
        <w:tc>
          <w:tcPr>
            <w:tcW w:type="dxa" w:w="213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Карточка детали</w:t>
            </w:r>
          </w:p>
        </w:tc>
        <w:tc>
          <w:tcPr>
            <w:tcW w:type="dxa" w:w="722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Фото, OEM, совместимость, состояние, дефекты, цена, наличие, запрос менеджеру</w:t>
            </w:r>
          </w:p>
        </w:tc>
      </w:tr>
      <w:tr>
        <w:trPr>
          <w:cantSplit/>
        </w:trPr>
        <w:tc>
          <w:tcPr>
            <w:tcW w:type="dxa" w:w="2139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Подбор</w:t>
            </w:r>
          </w:p>
        </w:tc>
        <w:tc>
          <w:tcPr>
            <w:tcW w:type="dxa" w:w="7220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Заявка по VIN/госномеру и списку нужных деталей, вложение фото</w:t>
            </w:r>
          </w:p>
        </w:tc>
      </w:tr>
      <w:tr>
        <w:trPr>
          <w:cantSplit/>
        </w:trPr>
        <w:tc>
          <w:tcPr>
            <w:tcW w:type="dxa" w:w="2139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Контакты</w:t>
            </w:r>
          </w:p>
        </w:tc>
        <w:tc>
          <w:tcPr>
            <w:tcW w:type="dxa" w:w="7220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Две площадки, карта, график, WhatsApp, телефония и маршрут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AF1FF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Демо интерфейса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Текущий кликабельный прототип показывает предлагаемую логику: pllato.kz/app/nukrazbor.html и отдельную витрину pllato.kz/app/nukrazbor-catalog.html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05 · МИГРАЦИЯ И ИНТЕГРАЦИИ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Перенос данных без остановки работы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Миграция выполняется после технического аудита выгрузки Bazon и согласования контрольной выборки.</w:t>
      </w:r>
    </w:p>
    <w:p>
      <w:pPr>
        <w:keepNext/>
        <w:spacing w:before="0" w:after="10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План миграции Bazon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Получить официальный экспорт/API либо согласованный файл‑выгрузку и каталог фотографий.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Построить карту полей: карточка, OEM/кроссы, автомобиль, состояние, цена, фото, склад, история и клиентские связи.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Очистить дубли, проверить обязательные поля и сформировать отчёт по записям, требующим ручного решения.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Импортировать контрольную выборку и письменно утвердить результат на 50–100 карточках.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Перенести основной массив ориентировочно 18–20 тыс. карточек и выполнить сверку количества, фото и статусов.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Зафиксировать дату переключения и сохранить исходный экспорт как архив для возможной проверки.</w:t>
      </w:r>
    </w:p>
    <w:p>
      <w:pPr>
        <w:keepNext/>
        <w:spacing w:before="140" w:after="10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Интеграционные каналы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8"/>
        <w:gridCol w:w="3797"/>
        <w:gridCol w:w="3904"/>
      </w:tblGrid>
      <w:tr>
        <w:trPr>
          <w:tblHeader w:val="true"/>
        </w:trPr>
        <w:tc>
          <w:tcPr>
            <w:tcW w:type="dxa" w:w="1757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Канал</w:t>
            </w:r>
          </w:p>
        </w:tc>
        <w:tc>
          <w:tcPr>
            <w:tcW w:type="dxa" w:w="4025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Что делаем</w:t>
            </w:r>
          </w:p>
        </w:tc>
        <w:tc>
          <w:tcPr>
            <w:tcW w:type="dxa" w:w="4139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Условие</w:t>
            </w:r>
          </w:p>
        </w:tc>
      </w:tr>
      <w:tr>
        <w:trPr>
          <w:cantSplit/>
        </w:trPr>
        <w:tc>
          <w:tcPr>
            <w:tcW w:type="dxa" w:w="165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Сайт NUK</w:t>
            </w:r>
          </w:p>
        </w:tc>
        <w:tc>
          <w:tcPr>
            <w:tcW w:type="dxa" w:w="379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Двусторонний каталог, наличие, заявки</w:t>
            </w:r>
          </w:p>
        </w:tc>
        <w:tc>
          <w:tcPr>
            <w:tcW w:type="dxa" w:w="3904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Входит в проект</w:t>
            </w:r>
          </w:p>
        </w:tc>
      </w:tr>
      <w:tr>
        <w:trPr>
          <w:cantSplit/>
        </w:trPr>
        <w:tc>
          <w:tcPr>
            <w:tcW w:type="dxa" w:w="165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WhatsApp Business</w:t>
            </w:r>
          </w:p>
        </w:tc>
        <w:tc>
          <w:tcPr>
            <w:tcW w:type="dxa" w:w="379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Диалоги и создание сделки</w:t>
            </w:r>
          </w:p>
        </w:tc>
        <w:tc>
          <w:tcPr>
            <w:tcW w:type="dxa" w:w="3904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Официальный номер/API заказчика</w:t>
            </w:r>
          </w:p>
        </w:tc>
      </w:tr>
      <w:tr>
        <w:trPr>
          <w:cantSplit/>
        </w:trPr>
        <w:tc>
          <w:tcPr>
            <w:tcW w:type="dxa" w:w="165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Телефония</w:t>
            </w:r>
          </w:p>
        </w:tc>
        <w:tc>
          <w:tcPr>
            <w:tcW w:type="dxa" w:w="379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Звонки, запись, привязка к клиенту</w:t>
            </w:r>
          </w:p>
        </w:tc>
        <w:tc>
          <w:tcPr>
            <w:tcW w:type="dxa" w:w="3904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Выбранный оператор и SIP/API</w:t>
            </w:r>
          </w:p>
        </w:tc>
      </w:tr>
      <w:tr>
        <w:trPr>
          <w:cantSplit/>
        </w:trPr>
        <w:tc>
          <w:tcPr>
            <w:tcW w:type="dxa" w:w="1658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Kolesa / площадки</w:t>
            </w:r>
          </w:p>
        </w:tc>
        <w:tc>
          <w:tcPr>
            <w:tcW w:type="dxa" w:w="3797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Фид/выгрузка карточек и статусов</w:t>
            </w:r>
          </w:p>
        </w:tc>
        <w:tc>
          <w:tcPr>
            <w:tcW w:type="dxa" w:w="3904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Только при наличии разрешённого API/формата</w:t>
            </w:r>
          </w:p>
        </w:tc>
      </w:tr>
      <w:tr>
        <w:trPr>
          <w:cantSplit/>
        </w:trPr>
        <w:tc>
          <w:tcPr>
            <w:tcW w:type="dxa" w:w="1658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Реклама</w:t>
            </w:r>
          </w:p>
        </w:tc>
        <w:tc>
          <w:tcPr>
            <w:tcW w:type="dxa" w:w="3797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UTM/источник/кампания в карточке сделки</w:t>
            </w:r>
          </w:p>
        </w:tc>
        <w:tc>
          <w:tcPr>
            <w:tcW w:type="dxa" w:w="3904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Доступы к рекламным кабинетам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FFF5EB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B54708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B54708"/>
                <w:sz w:val="20"/>
              </w:rPr>
              <w:t>Ограничение внешних сервисов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Pllato не обещает обход ограничений сторонних площадок. Если сервис не предоставляет официальный API, фид или разрешённый импорт, в проекте готовится совместимый файл/процесс там, где это допускают правила сервиса.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06 · РЕАЛИЗАЦИЯ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План запуска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Работа идёт короткими циклами: NUK получает рабочее ядро в первые 7–10 дней, затем команда ежедневно уточняет реальные операции.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3"/>
        <w:gridCol w:w="2032"/>
        <w:gridCol w:w="6043"/>
      </w:tblGrid>
      <w:tr>
        <w:trPr>
          <w:tblHeader w:val="true"/>
        </w:trPr>
        <w:tc>
          <w:tcPr>
            <w:tcW w:type="dxa" w:w="1361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Период</w:t>
            </w:r>
          </w:p>
        </w:tc>
        <w:tc>
          <w:tcPr>
            <w:tcW w:type="dxa" w:w="2154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Результат</w:t>
            </w:r>
          </w:p>
        </w:tc>
        <w:tc>
          <w:tcPr>
            <w:tcW w:type="dxa" w:w="6406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5"/>
              </w:rPr>
              <w:t>Состав работ</w:t>
            </w:r>
          </w:p>
        </w:tc>
      </w:tr>
      <w:tr>
        <w:trPr>
          <w:cantSplit/>
        </w:trPr>
        <w:tc>
          <w:tcPr>
            <w:tcW w:type="dxa" w:w="128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Дни 1–3</w:t>
            </w:r>
          </w:p>
        </w:tc>
        <w:tc>
          <w:tcPr>
            <w:tcW w:type="dxa" w:w="203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Проектирование</w:t>
            </w:r>
          </w:p>
        </w:tc>
        <w:tc>
          <w:tcPr>
            <w:tcW w:type="dxa" w:w="604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Интервью ролей, процессы, карта данных, протокол интеграций, план миграции</w:t>
            </w:r>
          </w:p>
        </w:tc>
      </w:tr>
      <w:tr>
        <w:trPr>
          <w:cantSplit/>
        </w:trPr>
        <w:tc>
          <w:tcPr>
            <w:tcW w:type="dxa" w:w="128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Дни 4–10</w:t>
            </w:r>
          </w:p>
        </w:tc>
        <w:tc>
          <w:tcPr>
            <w:tcW w:type="dxa" w:w="203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Рабочее ядро</w:t>
            </w:r>
          </w:p>
        </w:tc>
        <w:tc>
          <w:tcPr>
            <w:tcW w:type="dxa" w:w="604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Роли, доноры, каталог, остатки, адресный склад, базовые продажи и тестовый сервер</w:t>
            </w:r>
          </w:p>
        </w:tc>
      </w:tr>
      <w:tr>
        <w:trPr>
          <w:cantSplit/>
        </w:trPr>
        <w:tc>
          <w:tcPr>
            <w:tcW w:type="dxa" w:w="128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Недели 2–3</w:t>
            </w:r>
          </w:p>
        </w:tc>
        <w:tc>
          <w:tcPr>
            <w:tcW w:type="dxa" w:w="203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Операционный MVP</w:t>
            </w:r>
          </w:p>
        </w:tc>
        <w:tc>
          <w:tcPr>
            <w:tcW w:type="dxa" w:w="604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Поступления, разбор, заказы, CRM, задачи, инвентаризация, две площадки</w:t>
            </w:r>
          </w:p>
        </w:tc>
      </w:tr>
      <w:tr>
        <w:trPr>
          <w:cantSplit/>
        </w:trPr>
        <w:tc>
          <w:tcPr>
            <w:tcW w:type="dxa" w:w="128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Недели 3–4</w:t>
            </w:r>
          </w:p>
        </w:tc>
        <w:tc>
          <w:tcPr>
            <w:tcW w:type="dxa" w:w="203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Клиентский контур</w:t>
            </w:r>
          </w:p>
        </w:tc>
        <w:tc>
          <w:tcPr>
            <w:tcW w:type="dxa" w:w="604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Каталог сайта, поиск, карточка детали, заявки, базовое SEO, источники</w:t>
            </w:r>
          </w:p>
        </w:tc>
      </w:tr>
      <w:tr>
        <w:trPr>
          <w:cantSplit/>
        </w:trPr>
        <w:tc>
          <w:tcPr>
            <w:tcW w:type="dxa" w:w="128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Недели 4–5</w:t>
            </w:r>
          </w:p>
        </w:tc>
        <w:tc>
          <w:tcPr>
            <w:tcW w:type="dxa" w:w="2032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Данные и аналитика</w:t>
            </w:r>
          </w:p>
        </w:tc>
        <w:tc>
          <w:tcPr>
            <w:tcW w:type="dxa" w:w="604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Контрольная миграция Bazon, отчёты, партнёры, доработка ролей</w:t>
            </w:r>
          </w:p>
        </w:tc>
      </w:tr>
      <w:tr>
        <w:trPr>
          <w:cantSplit/>
        </w:trPr>
        <w:tc>
          <w:tcPr>
            <w:tcW w:type="dxa" w:w="128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Недели 5–6</w:t>
            </w:r>
          </w:p>
        </w:tc>
        <w:tc>
          <w:tcPr>
            <w:tcW w:type="dxa" w:w="2032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Полировка и сдача</w:t>
            </w:r>
          </w:p>
        </w:tc>
        <w:tc>
          <w:tcPr>
            <w:tcW w:type="dxa" w:w="604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5"/>
              </w:rPr>
              <w:t>Обучение, проверка сценариев, перенос, документация, промышленный запуск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10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Включённые результаты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Программный продукт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NUK Control и адаптивный каталог для сайта.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Развёртывание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Настройка тестового и рабочего окружения заказчика.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Миграция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Импорт доступных данных Bazon после контрольной сверки.</w:t>
            </w:r>
          </w:p>
        </w:tc>
        <w:tc>
          <w:tcPr>
            <w:tcW w:type="dxa" w:w="4961"/>
            <w:shd w:fill="F4F7FC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Обучение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Сессии для собственника, склада, цеха и продаж.</w:t>
            </w:r>
          </w:p>
        </w:tc>
      </w:tr>
      <w:tr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Документация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Краткие инструкции по ролям и ключевым операциям.</w:t>
            </w:r>
          </w:p>
        </w:tc>
        <w:tc>
          <w:tcPr>
            <w:tcW w:type="dxa" w:w="4961"/>
            <w:shd w:fill="FFFFFF"/>
            <w:tcMar>
              <w:top w:w="125" w:type="dxa"/>
              <w:start w:w="145" w:type="dxa"/>
              <w:bottom w:w="125" w:type="dxa"/>
              <w:end w:w="145" w:type="dxa"/>
            </w:tcMar>
            <w:tcBorders>
              <w:top w:val="single" w:sz="7" w:color="D7DEEA"/>
              <w:left w:val="single" w:sz="7" w:color="D7DEEA"/>
              <w:bottom w:val="single" w:sz="7" w:color="D7DEEA"/>
              <w:right w:val="single" w:sz="7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0B1930"/>
                <w:sz w:val="18"/>
              </w:rPr>
              <w:t>Гарантия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6"/>
              </w:rPr>
              <w:t>30 календарных дней исправления дефектов после приёмки.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AF1FF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Формат согласования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Каждый этап демонстрируется на рабочем стенде. Замечания фиксируются единым списком; согласованное ядро становится основанием для второго платежа.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07 · СТОИМОСТЬ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Коммерческие условия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Фиксированная стоимость охватывает разработку платформы, клиентского каталога и согласованный объём интеграций.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46"/>
        <w:gridCol w:w="2513"/>
      </w:tblGrid>
      <w:tr>
        <w:trPr>
          <w:tblHeader w:val="true"/>
        </w:trPr>
        <w:tc>
          <w:tcPr>
            <w:tcW w:type="dxa" w:w="7257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7"/>
              </w:rPr>
              <w:t>Часть проекта</w:t>
            </w:r>
          </w:p>
        </w:tc>
        <w:tc>
          <w:tcPr>
            <w:tcW w:type="dxa" w:w="2665"/>
            <w:shd w:fill="0B193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aps w:val="0"/>
                <w:color w:val="FFFFFF"/>
                <w:sz w:val="17"/>
              </w:rPr>
              <w:t>Стоимость</w:t>
            </w:r>
          </w:p>
        </w:tc>
      </w:tr>
      <w:tr>
        <w:trPr>
          <w:cantSplit/>
        </w:trPr>
        <w:tc>
          <w:tcPr>
            <w:tcW w:type="dxa" w:w="684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7"/>
              </w:rPr>
              <w:t>NUK Control: склад, доноры, CRM, задачи, аналитика, роли и API</w:t>
            </w:r>
          </w:p>
        </w:tc>
        <w:tc>
          <w:tcPr>
            <w:tcW w:type="dxa" w:w="251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7"/>
              </w:rPr>
              <w:t>2 500 000 ₸</w:t>
            </w:r>
          </w:p>
        </w:tc>
      </w:tr>
      <w:tr>
        <w:trPr>
          <w:cantSplit/>
        </w:trPr>
        <w:tc>
          <w:tcPr>
            <w:tcW w:type="dxa" w:w="6846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7"/>
              </w:rPr>
              <w:t>Клиентский BMW‑каталог, интеграция с сайтом и базовое техническое SEO</w:t>
            </w:r>
          </w:p>
        </w:tc>
        <w:tc>
          <w:tcPr>
            <w:tcW w:type="dxa" w:w="2513"/>
            <w:shd w:fill="F4F7FC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7"/>
              </w:rPr>
              <w:t>500 000 ₸</w:t>
            </w:r>
          </w:p>
        </w:tc>
      </w:tr>
      <w:tr>
        <w:trPr>
          <w:cantSplit/>
        </w:trPr>
        <w:tc>
          <w:tcPr>
            <w:tcW w:type="dxa" w:w="6846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7"/>
              </w:rPr>
              <w:t>Итого по предложению</w:t>
            </w:r>
          </w:p>
        </w:tc>
        <w:tc>
          <w:tcPr>
            <w:tcW w:type="dxa" w:w="2513"/>
            <w:shd w:fill="FFFFFF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D7DEEA"/>
              <w:left w:val="single" w:sz="5" w:color="D7DEEA"/>
              <w:bottom w:val="single" w:sz="5" w:color="D7DEEA"/>
              <w:right w:val="single" w:sz="5" w:color="D7DEEA"/>
            </w:tcBorders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7"/>
              </w:rPr>
              <w:t>3 000 000 ₸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140" w:after="10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График оплаты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10%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300 000 ₸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предоплата после подписания</w:t>
            </w:r>
          </w:p>
        </w:tc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45%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1 350 000 ₸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после согласования ядра</w:t>
            </w:r>
          </w:p>
        </w:tc>
        <w:tc>
          <w:tcPr>
            <w:tcW w:type="dxa" w:w="3307"/>
            <w:shd w:fill="F4F7FC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8" w:color="D7DEEA"/>
              <w:left w:val="single" w:sz="8" w:color="D7DEEA"/>
              <w:bottom w:val="single" w:sz="8" w:color="D7DEEA"/>
              <w:right w:val="single" w:sz="8" w:color="D7DEE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31"/>
              </w:rPr>
              <w:t>45%</w:t>
            </w:r>
          </w:p>
          <w:p>
            <w:pPr>
              <w:spacing w:after="40"/>
            </w:pPr>
            <w:r>
              <w:rPr>
                <w:rFonts w:ascii="Arial" w:hAnsi="Arial" w:eastAsia="Arial"/>
                <w:b/>
                <w:caps w:val="0"/>
                <w:color w:val="0B1930"/>
                <w:sz w:val="16"/>
              </w:rPr>
              <w:t>1 350 000 ₸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667085"/>
                <w:sz w:val="15"/>
              </w:rPr>
              <w:t>после приёмки MVP</w:t>
            </w:r>
          </w:p>
        </w:tc>
      </w:tr>
    </w:tbl>
    <w:p>
      <w:pPr>
        <w:spacing w:before="0" w:after="4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keepNext/>
        <w:spacing w:before="8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В стоимость не входят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сервер/облачная инфраструктура, домен, платные API, WhatsApp Business, телефония и комиссии внешних сервисов;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рекламный бюджет, ведение рекламы, регулярное SEO‑продвижение и создание контента после запуска;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ручная оцифровка физических остатков силами Pllato и исправление недостоверных исходных данных;</w:t>
      </w:r>
    </w:p>
    <w:p>
      <w:pPr>
        <w:pStyle w:val="ListBullet"/>
      </w:pPr>
      <w:r>
        <w:rPr>
          <w:rFonts w:ascii="Arial" w:hAnsi="Arial" w:eastAsia="Arial"/>
          <w:b w:val="0"/>
          <w:caps w:val="0"/>
          <w:color w:val="172033"/>
          <w:sz w:val="18"/>
        </w:rPr>
        <w:t>интеграции, которые не описаны в итоговом ТЗ либо требуют платного/закрытого API третьей стороны.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DF8F2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14804A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14804A"/>
                <w:sz w:val="20"/>
              </w:rPr>
              <w:t>Права и эксплуатация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После полной оплаты заказчик получает право использования результата и развёртывание на своём сервере. Обязательная ежемесячная лицензия Pllato не предусмотрена; инфраструктура и внешние сервисы оплачиваются отдельно.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r>
        <w:br w:type="page"/>
      </w:r>
    </w:p>
    <w:p>
      <w:pPr>
        <w:keepNext/>
        <w:spacing w:before="0" w:after="80" w:line="252" w:lineRule="auto"/>
      </w:pPr>
      <w:r>
        <w:rPr>
          <w:rFonts w:ascii="Arial" w:hAnsi="Arial" w:eastAsia="Arial"/>
          <w:b/>
          <w:caps w:val="0"/>
          <w:color w:val="2A6FF0"/>
          <w:sz w:val="15"/>
        </w:rPr>
        <w:t>08 · СЛЕДУЮЩИЙ ШАГ</w:t>
      </w:r>
    </w:p>
    <w:p>
      <w:pPr>
        <w:pStyle w:val="Heading1"/>
      </w:pPr>
      <w:r>
        <w:rPr>
          <w:rFonts w:ascii="Arial" w:hAnsi="Arial" w:eastAsia="Arial"/>
          <w:b/>
          <w:caps w:val="0"/>
          <w:color w:val="0B1930"/>
          <w:sz w:val="40"/>
        </w:rPr>
        <w:t>Что нужно для старта</w:t>
      </w:r>
    </w:p>
    <w:p>
      <w:pPr>
        <w:spacing w:before="0" w:after="180" w:line="252" w:lineRule="auto"/>
      </w:pPr>
      <w:r>
        <w:rPr>
          <w:rFonts w:ascii="Arial" w:hAnsi="Arial" w:eastAsia="Arial"/>
          <w:b w:val="0"/>
          <w:caps w:val="0"/>
          <w:color w:val="667085"/>
          <w:sz w:val="18"/>
        </w:rPr>
        <w:t>Проект можно начать сразу после согласования ТЗ, коммерческих условий и ответственных со стороны NUK.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Подтвердить функциональные границы и приоритеты первой рабочей версии.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Назначить владельца процесса со стороны NUK и представителей склада, цеха и продаж.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Предоставить тестовый экспорт Bazon, доступ к фотоархиву и список текущих справочников.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Подтвердить адресную модель двух площадок и правила резервов, списаний, возвратов и скидок.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Выбрать официальные каналы WhatsApp/телефонии и предоставить технические доступы после старта.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Arial"/>
          <w:b w:val="0"/>
          <w:caps w:val="0"/>
          <w:color w:val="172033"/>
          <w:sz w:val="18"/>
        </w:rPr>
        <w:t>Подписать договор и внести предоплату 300 000 ₸.</w:t>
      </w:r>
    </w:p>
    <w:p>
      <w:pPr>
        <w:keepNext/>
        <w:spacing w:before="160" w:after="80" w:line="252" w:lineRule="auto"/>
      </w:pPr>
      <w:r>
        <w:rPr>
          <w:rFonts w:ascii="Arial" w:hAnsi="Arial" w:eastAsia="Arial"/>
          <w:b/>
          <w:caps w:val="0"/>
          <w:color w:val="0B1930"/>
          <w:sz w:val="23"/>
        </w:rPr>
        <w:t>Критерий успеха</w:t>
      </w:r>
    </w:p>
    <w:p>
      <w:pPr>
        <w:spacing w:before="0" w:after="240" w:line="276" w:lineRule="auto"/>
      </w:pPr>
      <w:r>
        <w:rPr>
          <w:rFonts w:ascii="Arial" w:hAnsi="Arial" w:eastAsia="Arial"/>
          <w:b w:val="0"/>
          <w:caps w:val="0"/>
          <w:color w:val="172033"/>
          <w:sz w:val="22"/>
        </w:rPr>
        <w:t>Сотрудник NUK за один рабочий цикл принимает деталь, размещает её на конкретной полке, публикует на сайте, создаёт резерв из обращения и выдаёт заказ. Собственник видит остаток, деньги и результат по каждой площадке без ручной сверки.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21"/>
            <w:shd w:fill="EAF1FF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left w:val="single" w:sz="28" w:color="2A6FF0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aps w:val="0"/>
                <w:color w:val="2A6FF0"/>
                <w:sz w:val="20"/>
              </w:rPr>
              <w:t>Готовы к запуску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aps w:val="0"/>
                <w:color w:val="172033"/>
                <w:sz w:val="18"/>
              </w:rPr>
              <w:t>Команда Pllato берёт на себя проектирование, разработку, перенос данных, настройку и обучение. Со стороны NUK нужны быстрые решения по процессам и доступ к исходным данным.</w:t>
            </w:r>
          </w:p>
        </w:tc>
      </w:tr>
    </w:tbl>
    <w:p>
      <w:pPr>
        <w:spacing w:before="0" w:after="20" w:line="252" w:lineRule="auto"/>
      </w:pPr>
      <w:r>
        <w:rPr>
          <w:rFonts w:ascii="Arial" w:hAnsi="Arial" w:eastAsia="Arial"/>
          <w:b w:val="0"/>
          <w:caps w:val="0"/>
          <w:color w:val="172033"/>
          <w:sz w:val="4"/>
        </w:rPr>
      </w:r>
    </w:p>
    <w:p>
      <w:pPr>
        <w:spacing w:before="400" w:after="60" w:line="252" w:lineRule="auto"/>
      </w:pPr>
      <w:r>
        <w:rPr>
          <w:rFonts w:ascii="Arial" w:hAnsi="Arial" w:eastAsia="Arial"/>
          <w:b/>
          <w:caps w:val="0"/>
          <w:color w:val="0B1930"/>
          <w:sz w:val="36"/>
        </w:rPr>
        <w:t>Pllato</w:t>
      </w:r>
    </w:p>
    <w:p>
      <w:pPr>
        <w:spacing w:before="0" w:after="0" w:line="252" w:lineRule="auto"/>
      </w:pPr>
      <w:r>
        <w:rPr>
          <w:rFonts w:ascii="Arial" w:hAnsi="Arial" w:eastAsia="Arial"/>
          <w:b w:val="0"/>
          <w:caps w:val="0"/>
          <w:color w:val="667085"/>
          <w:sz w:val="20"/>
        </w:rPr>
        <w:t>Автоматизация, которая становится частью бизнеса заказчика.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pgSz w:w="11906" w:h="16838"/>
      <w:pgMar w:top="879" w:right="935" w:bottom="822" w:left="93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b w:val="0"/>
        <w:caps w:val="0"/>
        <w:color w:val="667085"/>
        <w:sz w:val="14"/>
      </w:rPr>
      <w:t>Pllato · автоматизация бизнеса  |  Конфиденциально</w:t>
    </w:r>
    <w:r>
      <w:rPr>
        <w:rFonts w:ascii="Arial" w:hAnsi="Arial" w:eastAsia="Arial"/>
        <w:b w:val="0"/>
        <w:caps w:val="0"/>
        <w:color w:val="667085"/>
        <w:sz w:val="14"/>
      </w:rPr>
      <w:t xml:space="preserve">                                  стр. </w:t>
      <w:fldChar w:fldCharType="begin"/>
      <w:instrText xml:space="preserve">PAGE</w:instrText>
      <w:fldChar w:fldCharType="separate"/>
      <w:fldChar w:fldCharType="end"/>
    </w:r>
    <w:r>
      <w:rPr>
        <w:rFonts w:ascii="Arial" w:hAnsi="Arial" w:eastAsia="Arial"/>
        <w:b w:val="0"/>
        <w:caps w:val="0"/>
        <w:color w:val="667085"/>
        <w:sz w:val="14"/>
      </w:rPr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b w:val="0"/>
        <w:caps w:val="0"/>
        <w:color w:val="667085"/>
        <w:sz w:val="14"/>
      </w:rPr>
      <w:t>Pllato · автоматизация бизнеса  |  Конфиденциально</w:t>
    </w:r>
    <w:r>
      <w:rPr>
        <w:rFonts w:ascii="Arial" w:hAnsi="Arial" w:eastAsia="Arial"/>
        <w:b w:val="0"/>
        <w:caps w:val="0"/>
        <w:color w:val="667085"/>
        <w:sz w:val="14"/>
      </w:rPr>
      <w:t xml:space="preserve">                                  стр. </w:t>
      <w:fldChar w:fldCharType="begin"/>
      <w:instrText xml:space="preserve">PAGE</w:instrText>
      <w:fldChar w:fldCharType="separate"/>
      <w:fldChar w:fldCharType="end"/>
    </w:r>
    <w:r>
      <w:rPr>
        <w:rFonts w:ascii="Arial" w:hAnsi="Arial" w:eastAsia="Arial"/>
        <w:b w:val="0"/>
        <w:caps w:val="0"/>
        <w:color w:val="667085"/>
        <w:sz w:val="14"/>
      </w:rPr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5017"/>
          <w:tcMar>
            <w:top w:w="40" w:type="dxa"/>
            <w:start w:w="0" w:type="dxa"/>
            <w:bottom w:w="40" w:type="dxa"/>
            <w:end w:w="80" w:type="dxa"/>
          </w:tcMar>
          <w:tcBorders>
            <w:bottom w:val="single" w:sz="10" w:color="2A6FF0"/>
          </w:tcBorders>
        </w:tcPr>
        <w:p>
          <w:pPr>
            <w:jc w:val="left"/>
          </w:pPr>
          <w:r>
            <w:rPr>
              <w:rFonts w:ascii="Arial" w:hAnsi="Arial" w:eastAsia="Arial"/>
              <w:b/>
              <w:caps w:val="0"/>
              <w:color w:val="2A6FF0"/>
              <w:sz w:val="30"/>
            </w:rPr>
            <w:t>NUK</w:t>
          </w:r>
          <w:r>
            <w:rPr>
              <w:rFonts w:ascii="Arial" w:hAnsi="Arial" w:eastAsia="Arial"/>
              <w:b/>
              <w:caps w:val="0"/>
              <w:color w:val="0B1930"/>
              <w:sz w:val="16"/>
            </w:rPr>
            <w:t xml:space="preserve">  ×  PLLATO</w:t>
          </w:r>
        </w:p>
      </w:tc>
      <w:tc>
        <w:tcPr>
          <w:tcW w:type="dxa" w:w="5017"/>
          <w:tcMar>
            <w:top w:w="40" w:type="dxa"/>
            <w:start w:w="80" w:type="dxa"/>
            <w:bottom w:w="40" w:type="dxa"/>
            <w:end w:w="0" w:type="dxa"/>
          </w:tcMar>
          <w:tcBorders>
            <w:bottom w:val="single" w:sz="10" w:color="2A6FF0"/>
          </w:tcBorders>
        </w:tcPr>
        <w:p>
          <w:pPr>
            <w:jc w:val="right"/>
          </w:pPr>
          <w:r>
            <w:rPr>
              <w:rFonts w:ascii="Arial" w:hAnsi="Arial" w:eastAsia="Arial"/>
              <w:b/>
              <w:caps/>
              <w:color w:val="667085"/>
              <w:sz w:val="14"/>
            </w:rPr>
            <w:t>КОММЕРЧЕСКОЕ ПРЕДЛОЖЕНИЕ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5017"/>
          <w:tcMar>
            <w:top w:w="40" w:type="dxa"/>
            <w:start w:w="0" w:type="dxa"/>
            <w:bottom w:w="40" w:type="dxa"/>
            <w:end w:w="80" w:type="dxa"/>
          </w:tcMar>
          <w:tcBorders>
            <w:bottom w:val="single" w:sz="10" w:color="2A6FF0"/>
          </w:tcBorders>
        </w:tcPr>
        <w:p>
          <w:pPr>
            <w:jc w:val="left"/>
          </w:pPr>
          <w:r>
            <w:rPr>
              <w:rFonts w:ascii="Arial" w:hAnsi="Arial" w:eastAsia="Arial"/>
              <w:b/>
              <w:caps w:val="0"/>
              <w:color w:val="2A6FF0"/>
              <w:sz w:val="30"/>
            </w:rPr>
            <w:t>NUK</w:t>
          </w:r>
          <w:r>
            <w:rPr>
              <w:rFonts w:ascii="Arial" w:hAnsi="Arial" w:eastAsia="Arial"/>
              <w:b/>
              <w:caps w:val="0"/>
              <w:color w:val="0B1930"/>
              <w:sz w:val="16"/>
            </w:rPr>
            <w:t xml:space="preserve">  ×  PLLATO</w:t>
          </w:r>
        </w:p>
      </w:tc>
      <w:tc>
        <w:tcPr>
          <w:tcW w:type="dxa" w:w="5017"/>
          <w:tcMar>
            <w:top w:w="40" w:type="dxa"/>
            <w:start w:w="80" w:type="dxa"/>
            <w:bottom w:w="40" w:type="dxa"/>
            <w:end w:w="0" w:type="dxa"/>
          </w:tcMar>
          <w:tcBorders>
            <w:bottom w:val="single" w:sz="10" w:color="2A6FF0"/>
          </w:tcBorders>
        </w:tcPr>
        <w:p>
          <w:pPr>
            <w:jc w:val="right"/>
          </w:pPr>
          <w:r>
            <w:rPr>
              <w:rFonts w:ascii="Arial" w:hAnsi="Arial" w:eastAsia="Arial"/>
              <w:b/>
              <w:caps/>
              <w:color w:val="667085"/>
              <w:sz w:val="14"/>
            </w:rPr>
            <w:t>КОММЕРЧЕСКОЕ ПРЕДЛОЖЕНИЕ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 w:eastAsia="Arial"/>
      <w:color w:val="1720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B19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B19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A6FF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B193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12" w:hanging="142"/>
      <w:contextualSpacing/>
    </w:pPr>
    <w:rPr>
      <w:rFonts w:ascii="Arial" w:hAnsi="Arial" w:eastAsia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12" w:hanging="142"/>
      <w:contextualSpacing/>
    </w:pPr>
    <w:rPr>
      <w:rFonts w:ascii="Arial" w:hAnsi="Arial" w:eastAsia="Arial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