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52" w:lineRule="auto"/>
      </w:pPr>
      <w:r>
        <w:rPr>
          <w:rFonts w:ascii="Arial" w:hAnsi="Arial" w:eastAsia="Arial"/>
          <w:b w:val="0"/>
          <w:caps w:val="0"/>
          <w:color w:val="172033"/>
          <w:sz w:val="6"/>
        </w:rPr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ТЕХНИЧЕСКОЕ ЗАДАНИЕ</w:t>
      </w:r>
    </w:p>
    <w:p>
      <w:pPr>
        <w:spacing w:after="120"/>
      </w:pPr>
      <w:r>
        <w:rPr>
          <w:rFonts w:ascii="Arial" w:hAnsi="Arial" w:eastAsia="Arial"/>
          <w:b/>
          <w:caps w:val="0"/>
          <w:color w:val="0B1930"/>
          <w:sz w:val="60"/>
        </w:rPr>
        <w:t>NUK Control</w:t>
      </w:r>
    </w:p>
    <w:p>
      <w:pPr>
        <w:spacing w:before="0" w:after="360" w:line="269" w:lineRule="auto"/>
      </w:pPr>
      <w:r>
        <w:rPr>
          <w:rFonts w:ascii="Arial" w:hAnsi="Arial" w:eastAsia="Arial"/>
          <w:b w:val="0"/>
          <w:caps w:val="0"/>
          <w:color w:val="667085"/>
          <w:sz w:val="25"/>
        </w:rPr>
        <w:t>Информационная система управления BMW‑авторазбором и публичный каталог запчастей. Версия 1.0 для согласования.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23"/>
      </w:tblGrid>
      <w:tr>
        <w:tc>
          <w:tcPr>
            <w:tcW w:type="dxa" w:w="3305"/>
            <w:shd w:fill="0B1930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FFFFFF"/>
                <w:sz w:val="32"/>
              </w:rPr>
              <w:t>70 000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расчётный объём карточек</w:t>
            </w:r>
          </w:p>
        </w:tc>
        <w:tc>
          <w:tcPr>
            <w:tcW w:type="dxa" w:w="3305"/>
            <w:shd w:fill="EAF1FF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2"/>
              </w:rPr>
              <w:t>2 площадки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0B1930"/>
                <w:sz w:val="15"/>
              </w:rPr>
              <w:t>единое адресное хранение</w:t>
            </w:r>
          </w:p>
        </w:tc>
        <w:tc>
          <w:tcPr>
            <w:tcW w:type="dxa" w:w="3311"/>
            <w:shd w:fill="EAF1FF"/>
            <w:tcMar>
              <w:top w:w="190" w:type="dxa"/>
              <w:start w:w="170" w:type="dxa"/>
              <w:bottom w:w="18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2"/>
              </w:rPr>
              <w:t>6 недель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0B1930"/>
                <w:sz w:val="15"/>
              </w:rPr>
              <w:t>целевой срок реализации</w:t>
            </w:r>
          </w:p>
        </w:tc>
      </w:tr>
    </w:tbl>
    <w:p>
      <w:pPr>
        <w:spacing w:before="0" w:after="280" w:line="252" w:lineRule="auto"/>
      </w:pPr>
      <w:r>
        <w:rPr>
          <w:rFonts w:ascii="Arial" w:hAnsi="Arial" w:eastAsia="Arial"/>
          <w:b w:val="0"/>
          <w:caps w:val="0"/>
          <w:color w:val="17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F4F7F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Результат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ТЗ определяет функциональный объём, данные, роли, интеграции, ограничения и проверяемые критерии приёмки первой промышленной версии.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spacing w:before="320" w:after="60" w:line="252" w:lineRule="auto"/>
      </w:pPr>
      <w:r>
        <w:rPr>
          <w:rFonts w:ascii="Arial" w:hAnsi="Arial" w:eastAsia="Arial"/>
          <w:b/>
          <w:caps w:val="0"/>
          <w:color w:val="0B1930"/>
          <w:sz w:val="18"/>
        </w:rPr>
        <w:t>Подготовлено для: NUK / Нурлан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aps w:val="0"/>
          <w:color w:val="667085"/>
          <w:sz w:val="16"/>
        </w:rPr>
        <w:t>Подготовлено: Pllato · 04 августа 2026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caps w:val="0"/>
          <w:color w:val="667085"/>
          <w:sz w:val="16"/>
        </w:rPr>
        <w:t>Версия 1.0 · для согласования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01 · ОБЩИЕ ПОЛОЖЕНИЯ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Назначение и границы системы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Документ является основанием для проектирования, реализации, демонстрации и приёмки NUK Control.</w:t>
      </w:r>
    </w:p>
    <w:p>
      <w:pPr>
        <w:keepNext/>
        <w:spacing w:before="0" w:after="6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1.1. Заказчик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aps w:val="0"/>
          <w:color w:val="172033"/>
          <w:sz w:val="18"/>
        </w:rPr>
        <w:t>Компания NUK / собственник Нурлан. Юридические и банковские реквизиты уточняются в договоре.</w:t>
      </w:r>
    </w:p>
    <w:p>
      <w:pPr>
        <w:keepNext/>
        <w:spacing w:before="0" w:after="6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1.2. Исполнитель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aps w:val="0"/>
          <w:color w:val="172033"/>
          <w:sz w:val="18"/>
        </w:rPr>
        <w:t>Pllato — проектирование, разработка, развёртывание, миграция данных и обучение.</w:t>
      </w:r>
    </w:p>
    <w:p>
      <w:pPr>
        <w:keepNext/>
        <w:spacing w:before="0" w:after="6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1.3. Назначение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aps w:val="0"/>
          <w:color w:val="172033"/>
          <w:sz w:val="18"/>
        </w:rPr>
        <w:t>Создать собственную информационную систему NUK для учёта автомобильных доноров, б/у BMW‑запчастей, адресного склада, продаж, клиентов, задач, аналитики и публикации актуального каталога на сайте.</w:t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1.4. Исходные условия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Две операционные площадки: склад в Бесагаше и городская точка на Суюнбая.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Существующий физический склад работает с 2009 года и оцифровывается поэтапно.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В Bazon ориентировочно 18–20 тыс. карточек/фото; целевой объём системы — 60–70 тыс. позиций и выше без лицензионного лимита со стороны Pllato.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Новые партии поступают в том числе контейнерами в виде разобранных и промаркированных автомобилей/комплектов.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Клиентские коммуникации ведутся через WhatsApp и телефонию; сайт должен привлекать целевую BMW‑аудиторию.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Терминология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«Карточка» — цифровое описание единицы/партии запчасти; «донор» — автомобиль или комплект, являющийся источником деталей; «ядро» — согласованный минимальный набор рабочих модулей и справочников.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02 · ЦЕЛИ И РОЛИ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Цели, пользователи и доступ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Права доступа строятся по принципу минимально необходимой информации.</w:t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2.1. Бизнес‑цели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Обеспечить достоверный остаток и местонахождение каждой детали.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Сократить время от поступления до публикации и продажи.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Объединить склад, продажи, сайт и коммуникации в одном источнике данных.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Сформировать управленческую аналитику по донорам, оборачиваемости и маржинальности.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Создать принадлежащую NUK платформу без обязательной лицензии Pllato за пользователя/карточку.</w:t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2.2.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6"/>
        <w:gridCol w:w="7113"/>
      </w:tblGrid>
      <w:tr>
        <w:trPr>
          <w:tblHeader w:val="true"/>
        </w:trPr>
        <w:tc>
          <w:tcPr>
            <w:tcW w:type="dxa" w:w="2381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Роль</w:t>
            </w:r>
          </w:p>
        </w:tc>
        <w:tc>
          <w:tcPr>
            <w:tcW w:type="dxa" w:w="7540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Доступ и ответственность</w:t>
            </w:r>
          </w:p>
        </w:tc>
      </w:tr>
      <w:tr>
        <w:trPr>
          <w:cantSplit/>
        </w:trPr>
        <w:tc>
          <w:tcPr>
            <w:tcW w:type="dxa" w:w="22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Собственник / администратор</w:t>
            </w:r>
          </w:p>
        </w:tc>
        <w:tc>
          <w:tcPr>
            <w:tcW w:type="dxa" w:w="71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Все данные, настройки, пользователи, финансы, аналитика, журнал действий</w:t>
            </w:r>
          </w:p>
        </w:tc>
      </w:tr>
      <w:tr>
        <w:trPr>
          <w:cantSplit/>
        </w:trPr>
        <w:tc>
          <w:tcPr>
            <w:tcW w:type="dxa" w:w="22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Руководитель продаж</w:t>
            </w:r>
          </w:p>
        </w:tc>
        <w:tc>
          <w:tcPr>
            <w:tcW w:type="dxa" w:w="711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Воронка, клиенты, заказы, скидки, резервы, отчёты менеджеров</w:t>
            </w:r>
          </w:p>
        </w:tc>
      </w:tr>
      <w:tr>
        <w:trPr>
          <w:cantSplit/>
        </w:trPr>
        <w:tc>
          <w:tcPr>
            <w:tcW w:type="dxa" w:w="22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Менеджер</w:t>
            </w:r>
          </w:p>
        </w:tc>
        <w:tc>
          <w:tcPr>
            <w:tcW w:type="dxa" w:w="71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Обращения, подбор, клиенты, сделки, резервы и выдача в пределах полномочий</w:t>
            </w:r>
          </w:p>
        </w:tc>
      </w:tr>
      <w:tr>
        <w:trPr>
          <w:cantSplit/>
        </w:trPr>
        <w:tc>
          <w:tcPr>
            <w:tcW w:type="dxa" w:w="22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Кладовщик</w:t>
            </w:r>
          </w:p>
        </w:tc>
        <w:tc>
          <w:tcPr>
            <w:tcW w:type="dxa" w:w="711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Приход, размещение, перемещение, инвентаризация, комплектация и списание</w:t>
            </w:r>
          </w:p>
        </w:tc>
      </w:tr>
      <w:tr>
        <w:trPr>
          <w:cantSplit/>
        </w:trPr>
        <w:tc>
          <w:tcPr>
            <w:tcW w:type="dxa" w:w="22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Мастер / разборщик</w:t>
            </w:r>
          </w:p>
        </w:tc>
        <w:tc>
          <w:tcPr>
            <w:tcW w:type="dxa" w:w="71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Доноры, задания на разбор, детали, фото, состояние и маркировка</w:t>
            </w:r>
          </w:p>
        </w:tc>
      </w:tr>
      <w:tr>
        <w:trPr>
          <w:cantSplit/>
        </w:trPr>
        <w:tc>
          <w:tcPr>
            <w:tcW w:type="dxa" w:w="22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Маркетолог</w:t>
            </w:r>
          </w:p>
        </w:tc>
        <w:tc>
          <w:tcPr>
            <w:tcW w:type="dxa" w:w="711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Каталог сайта, публикации, источники, партнёры, SEO‑поля без доступа к себестоимости</w:t>
            </w:r>
          </w:p>
        </w:tc>
      </w:tr>
      <w:tr>
        <w:trPr>
          <w:cantSplit/>
        </w:trPr>
        <w:tc>
          <w:tcPr>
            <w:tcW w:type="dxa" w:w="22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Наблюдатель</w:t>
            </w:r>
          </w:p>
        </w:tc>
        <w:tc>
          <w:tcPr>
            <w:tcW w:type="dxa" w:w="711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Чтение разрешённых отчётов без изменения данных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Требование доступа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Администратор должен уметь включать/отключать пользователя, назначать роль и ограничивать доступ по площадке. Критические операции журналируются.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03 · ДАННЫЕ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Основные сущности и реквизиты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Структура данных должна поддерживать серийный и количественный учёт, а также дальнейшее расширение через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1"/>
        <w:gridCol w:w="7648"/>
      </w:tblGrid>
      <w:tr>
        <w:trPr>
          <w:tblHeader w:val="true"/>
        </w:trPr>
        <w:tc>
          <w:tcPr>
            <w:tcW w:type="dxa" w:w="181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Сущность</w:t>
            </w:r>
          </w:p>
        </w:tc>
        <w:tc>
          <w:tcPr>
            <w:tcW w:type="dxa" w:w="810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Обязательные / ключевые поля</w:t>
            </w:r>
          </w:p>
        </w:tc>
      </w:tr>
      <w:tr>
        <w:trPr>
          <w:cantSplit/>
        </w:trPr>
        <w:tc>
          <w:tcPr>
            <w:tcW w:type="dxa" w:w="171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Донор</w:t>
            </w:r>
          </w:p>
        </w:tc>
        <w:tc>
          <w:tcPr>
            <w:tcW w:type="dxa" w:w="76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ID, VIN/внутренний номер, BMW модель/кузов/поколение, двигатель, год, цвет, пробег, источник, закупка, дата, фото, статус</w:t>
            </w:r>
          </w:p>
        </w:tc>
      </w:tr>
      <w:tr>
        <w:trPr>
          <w:cantSplit/>
        </w:trPr>
        <w:tc>
          <w:tcPr>
            <w:tcW w:type="dxa" w:w="1711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Запчасть</w:t>
            </w:r>
          </w:p>
        </w:tc>
        <w:tc>
          <w:tcPr>
            <w:tcW w:type="dxa" w:w="764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ID/штрихкод, название, категория, OEM/кроссы, маркировка, совместимость, состояние, дефекты, фото, цена, себестоимость, донор</w:t>
            </w:r>
          </w:p>
        </w:tc>
      </w:tr>
      <w:tr>
        <w:trPr>
          <w:cantSplit/>
        </w:trPr>
        <w:tc>
          <w:tcPr>
            <w:tcW w:type="dxa" w:w="171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Остаток</w:t>
            </w:r>
          </w:p>
        </w:tc>
        <w:tc>
          <w:tcPr>
            <w:tcW w:type="dxa" w:w="76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Запчасть, количество, доступно/резерв/брак, площадка, зона, стеллаж, полка, дата движения</w:t>
            </w:r>
          </w:p>
        </w:tc>
      </w:tr>
      <w:tr>
        <w:trPr>
          <w:cantSplit/>
        </w:trPr>
        <w:tc>
          <w:tcPr>
            <w:tcW w:type="dxa" w:w="1711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Поступление</w:t>
            </w:r>
          </w:p>
        </w:tc>
        <w:tc>
          <w:tcPr>
            <w:tcW w:type="dxa" w:w="764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Номер, дата, поставщик/контейнер, доноры, позиции, количество, стоимость, ответственный, статус проверки</w:t>
            </w:r>
          </w:p>
        </w:tc>
      </w:tr>
      <w:tr>
        <w:trPr>
          <w:cantSplit/>
        </w:trPr>
        <w:tc>
          <w:tcPr>
            <w:tcW w:type="dxa" w:w="171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Клиент</w:t>
            </w:r>
          </w:p>
        </w:tc>
        <w:tc>
          <w:tcPr>
            <w:tcW w:type="dxa" w:w="76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ФИО/компания, телефоны, WhatsApp, BMW/VIN, история, согласия, теги, источник</w:t>
            </w:r>
          </w:p>
        </w:tc>
      </w:tr>
      <w:tr>
        <w:trPr>
          <w:cantSplit/>
        </w:trPr>
        <w:tc>
          <w:tcPr>
            <w:tcW w:type="dxa" w:w="1711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Сделка/заказ</w:t>
            </w:r>
          </w:p>
        </w:tc>
        <w:tc>
          <w:tcPr>
            <w:tcW w:type="dxa" w:w="764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Источник, клиент, позиции, цены, скидка, резерв, оплата, доставка/выдача, ответственный, этап, причины отказа</w:t>
            </w:r>
          </w:p>
        </w:tc>
      </w:tr>
      <w:tr>
        <w:trPr>
          <w:cantSplit/>
        </w:trPr>
        <w:tc>
          <w:tcPr>
            <w:tcW w:type="dxa" w:w="171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Партнёр</w:t>
            </w:r>
          </w:p>
        </w:tc>
        <w:tc>
          <w:tcPr>
            <w:tcW w:type="dxa" w:w="76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СТО/блогер, код, ставка/скидка, контакты, сделки, начисления и взаиморасчёты</w:t>
            </w:r>
          </w:p>
        </w:tc>
      </w:tr>
      <w:tr>
        <w:trPr>
          <w:cantSplit/>
        </w:trPr>
        <w:tc>
          <w:tcPr>
            <w:tcW w:type="dxa" w:w="1711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Задача</w:t>
            </w:r>
          </w:p>
        </w:tc>
        <w:tc>
          <w:tcPr>
            <w:tcW w:type="dxa" w:w="764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Проект/доска, этап, заголовок, срок, ответственный, чек‑лист, комментарии, вложения, связь с сущностью</w:t>
            </w:r>
          </w:p>
        </w:tc>
      </w:tr>
      <w:tr>
        <w:trPr>
          <w:cantSplit/>
        </w:trPr>
        <w:tc>
          <w:tcPr>
            <w:tcW w:type="dxa" w:w="171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Движение</w:t>
            </w:r>
          </w:p>
        </w:tc>
        <w:tc>
          <w:tcPr>
            <w:tcW w:type="dxa" w:w="76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Тип, дата/время, количество, откуда/куда, основание, пользователь, комментарий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DF8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14804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14804A"/>
                <w:sz w:val="20"/>
              </w:rPr>
              <w:t>Идентичность товара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Уникальный ID/код NUK не изменяется при перемещении между площадками и сохраняет историю фото, статусов, резервов, возвратов и продаж.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04 · ДОНОРЫ И ПОСТУПЛЕНИЯ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FR‑01. Донорский цикл и приёмка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Система должна проводить новую партию от регистрации до размещённых и готовых к продаже деталей.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4492"/>
        <w:gridCol w:w="3690"/>
      </w:tblGrid>
      <w:tr>
        <w:trPr>
          <w:tblHeader w:val="true"/>
        </w:trPr>
        <w:tc>
          <w:tcPr>
            <w:tcW w:type="dxa" w:w="124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ID</w:t>
            </w:r>
          </w:p>
        </w:tc>
        <w:tc>
          <w:tcPr>
            <w:tcW w:type="dxa" w:w="4762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Требование</w:t>
            </w:r>
          </w:p>
        </w:tc>
        <w:tc>
          <w:tcPr>
            <w:tcW w:type="dxa" w:w="3912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FR‑01.01</w:t>
            </w:r>
          </w:p>
        </w:tc>
        <w:tc>
          <w:tcPr>
            <w:tcW w:type="dxa" w:w="44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Создание донора/партии вручную или импортом</w:t>
            </w:r>
          </w:p>
        </w:tc>
        <w:tc>
          <w:tcPr>
            <w:tcW w:type="dxa" w:w="36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Карточка имеет номер, характеристики, стоимость и статус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FR‑01.02</w:t>
            </w:r>
          </w:p>
        </w:tc>
        <w:tc>
          <w:tcPr>
            <w:tcW w:type="dxa" w:w="449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Шаблон типовых деталей по модели/кузову</w:t>
            </w:r>
          </w:p>
        </w:tc>
        <w:tc>
          <w:tcPr>
            <w:tcW w:type="dxa" w:w="36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Пользователь создаёт список деталей без повторного ввода общих данных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FR‑01.03</w:t>
            </w:r>
          </w:p>
        </w:tc>
        <w:tc>
          <w:tcPr>
            <w:tcW w:type="dxa" w:w="44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Задания на разбор по исполнителям</w:t>
            </w:r>
          </w:p>
        </w:tc>
        <w:tc>
          <w:tcPr>
            <w:tcW w:type="dxa" w:w="36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Видны план, срок, прогресс и фактические позиции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FR‑01.04</w:t>
            </w:r>
          </w:p>
        </w:tc>
        <w:tc>
          <w:tcPr>
            <w:tcW w:type="dxa" w:w="449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Фото и состояние с мобильного устройства</w:t>
            </w:r>
          </w:p>
        </w:tc>
        <w:tc>
          <w:tcPr>
            <w:tcW w:type="dxa" w:w="36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Фото прикрепляется к конкретной детали; дефект фиксируется отдельно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FR‑01.05</w:t>
            </w:r>
          </w:p>
        </w:tc>
        <w:tc>
          <w:tcPr>
            <w:tcW w:type="dxa" w:w="44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Печать/сохранение кода и маркировки</w:t>
            </w:r>
          </w:p>
        </w:tc>
        <w:tc>
          <w:tcPr>
            <w:tcW w:type="dxa" w:w="36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По коду открывается карточка детали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FR‑01.06</w:t>
            </w:r>
          </w:p>
        </w:tc>
        <w:tc>
          <w:tcPr>
            <w:tcW w:type="dxa" w:w="449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Пакетная приёмка контейнера</w:t>
            </w:r>
          </w:p>
        </w:tc>
        <w:tc>
          <w:tcPr>
            <w:tcW w:type="dxa" w:w="36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Позиции группируются по партии и проходят статус проверки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FR‑01.07</w:t>
            </w:r>
          </w:p>
        </w:tc>
        <w:tc>
          <w:tcPr>
            <w:tcW w:type="dxa" w:w="44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Расчёт окупаемости донора</w:t>
            </w:r>
          </w:p>
        </w:tc>
        <w:tc>
          <w:tcPr>
            <w:tcW w:type="dxa" w:w="36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Сопоставлены закупка, поступившие детали, продажи и текущий остаток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FR‑01.08</w:t>
            </w:r>
          </w:p>
        </w:tc>
        <w:tc>
          <w:tcPr>
            <w:tcW w:type="dxa" w:w="4492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Статусы процесса</w:t>
            </w:r>
          </w:p>
        </w:tc>
        <w:tc>
          <w:tcPr>
            <w:tcW w:type="dxa" w:w="36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Ожидается → принят → в разборе → проверка → размещён → закрыт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Правила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Деталь нельзя опубликовать как доступную без площадки/ячейки либо явного статуса «ожидает размещения».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Себестоимость может распределяться между деталями по правилам, утверждённым NUK; ручная корректировка доступна только уполномоченной роли.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Закрытие донора не удаляет детали и историю операций.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05 · КАТАЛОГ И СКЛАД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FR‑02. Каталог, остатки и инвентаризация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Склад — центральный источник наличия для внутренних пользователей и сайта.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4653"/>
        <w:gridCol w:w="3530"/>
      </w:tblGrid>
      <w:tr>
        <w:trPr>
          <w:tblHeader w:val="true"/>
        </w:trPr>
        <w:tc>
          <w:tcPr>
            <w:tcW w:type="dxa" w:w="124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ID</w:t>
            </w:r>
          </w:p>
        </w:tc>
        <w:tc>
          <w:tcPr>
            <w:tcW w:type="dxa" w:w="4932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Требование</w:t>
            </w:r>
          </w:p>
        </w:tc>
        <w:tc>
          <w:tcPr>
            <w:tcW w:type="dxa" w:w="3742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FR‑02.01</w:t>
            </w:r>
          </w:p>
        </w:tc>
        <w:tc>
          <w:tcPr>
            <w:tcW w:type="dxa" w:w="465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Поиск по ID, OEM/кроссу, названию, BMW, VIN/кузову, маркировке и полке</w:t>
            </w:r>
          </w:p>
        </w:tc>
        <w:tc>
          <w:tcPr>
            <w:tcW w:type="dxa" w:w="353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Релевантные результаты открываются без просмотра всех карточек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FR‑02.02</w:t>
            </w:r>
          </w:p>
        </w:tc>
        <w:tc>
          <w:tcPr>
            <w:tcW w:type="dxa" w:w="465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Раздельный остаток по двум площадкам и ячейкам</w:t>
            </w:r>
          </w:p>
        </w:tc>
        <w:tc>
          <w:tcPr>
            <w:tcW w:type="dxa" w:w="353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Сумма по ячейкам равна общему остатку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FR‑02.03</w:t>
            </w:r>
          </w:p>
        </w:tc>
        <w:tc>
          <w:tcPr>
            <w:tcW w:type="dxa" w:w="465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Операции приход/расход/резерв/снятие/перемещение/списание/возврат</w:t>
            </w:r>
          </w:p>
        </w:tc>
        <w:tc>
          <w:tcPr>
            <w:tcW w:type="dxa" w:w="353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Каждая операция создаёт запись движения и автора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FR‑02.04</w:t>
            </w:r>
          </w:p>
        </w:tc>
        <w:tc>
          <w:tcPr>
            <w:tcW w:type="dxa" w:w="465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Инвентаризация по площадке, зоне, стеллажу или выборке</w:t>
            </w:r>
          </w:p>
        </w:tc>
        <w:tc>
          <w:tcPr>
            <w:tcW w:type="dxa" w:w="353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Система фиксирует план/факт и создаёт корректировку после подтверждения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FR‑02.05</w:t>
            </w:r>
          </w:p>
        </w:tc>
        <w:tc>
          <w:tcPr>
            <w:tcW w:type="dxa" w:w="465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Контроль дублей по OEM, донору, маркировке и фото</w:t>
            </w:r>
          </w:p>
        </w:tc>
        <w:tc>
          <w:tcPr>
            <w:tcW w:type="dxa" w:w="353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Пользователь получает предупреждение и может объединить/разделить карточки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FR‑02.06</w:t>
            </w:r>
          </w:p>
        </w:tc>
        <w:tc>
          <w:tcPr>
            <w:tcW w:type="dxa" w:w="465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Массовое изменение допустимых полей</w:t>
            </w:r>
          </w:p>
        </w:tc>
        <w:tc>
          <w:tcPr>
            <w:tcW w:type="dxa" w:w="353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Выбранные позиции меняются с предпросмотром и журналом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FR‑02.07</w:t>
            </w:r>
          </w:p>
        </w:tc>
        <w:tc>
          <w:tcPr>
            <w:tcW w:type="dxa" w:w="465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Статусы доступности</w:t>
            </w:r>
          </w:p>
        </w:tc>
        <w:tc>
          <w:tcPr>
            <w:tcW w:type="dxa" w:w="353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 наличии / резерв / продано / брак / ожидает размещения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FR‑02.08</w:t>
            </w:r>
          </w:p>
        </w:tc>
        <w:tc>
          <w:tcPr>
            <w:tcW w:type="dxa" w:w="465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Минимальный и залежалый остаток</w:t>
            </w:r>
          </w:p>
        </w:tc>
        <w:tc>
          <w:tcPr>
            <w:tcW w:type="dxa" w:w="353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Система формирует списки контроля и сигналы собственнику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Производительность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Каталог проектируется для не менее чем 70 000 карточек и не менее 300 000 записей движения при корректной серверной конфигурации. Поиск и фильтры выполняются серверно с индексами.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06 · ПРОДАЖИ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FR‑03. CRM, заказы и коммуникации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Обращение должно превращаться в управляемую сделку с подбором из живого остатка.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4546"/>
        <w:gridCol w:w="3637"/>
      </w:tblGrid>
      <w:tr>
        <w:trPr>
          <w:tblHeader w:val="true"/>
        </w:trPr>
        <w:tc>
          <w:tcPr>
            <w:tcW w:type="dxa" w:w="124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Требование</w:t>
            </w:r>
          </w:p>
        </w:tc>
        <w:tc>
          <w:tcPr>
            <w:tcW w:type="dxa" w:w="3855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FR‑03.01</w:t>
            </w:r>
          </w:p>
        </w:tc>
        <w:tc>
          <w:tcPr>
            <w:tcW w:type="dxa" w:w="45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Единая воронка обращений и заказов</w:t>
            </w:r>
          </w:p>
        </w:tc>
        <w:tc>
          <w:tcPr>
            <w:tcW w:type="dxa" w:w="363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Этапы, ответственный, срок следующего действия и причина отказа видны в карточке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FR‑03.02</w:t>
            </w:r>
          </w:p>
        </w:tc>
        <w:tc>
          <w:tcPr>
            <w:tcW w:type="dxa" w:w="45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Создание сделки из клиента/входящего канала</w:t>
            </w:r>
          </w:p>
        </w:tc>
        <w:tc>
          <w:tcPr>
            <w:tcW w:type="dxa" w:w="363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Контакт, источник и история не вводятся повторно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FR‑03.03</w:t>
            </w:r>
          </w:p>
        </w:tc>
        <w:tc>
          <w:tcPr>
            <w:tcW w:type="dxa" w:w="45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Подбор позиции из склада</w:t>
            </w:r>
          </w:p>
        </w:tc>
        <w:tc>
          <w:tcPr>
            <w:tcW w:type="dxa" w:w="363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Менеджер видит фото, OEM, цену, точку, доступность и может добавить в заказ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FR‑03.04</w:t>
            </w:r>
          </w:p>
        </w:tc>
        <w:tc>
          <w:tcPr>
            <w:tcW w:type="dxa" w:w="45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Резерв с датой окончания</w:t>
            </w:r>
          </w:p>
        </w:tc>
        <w:tc>
          <w:tcPr>
            <w:tcW w:type="dxa" w:w="363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Количество становится недоступным другим заказам и автоматически контролируется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FR‑03.05</w:t>
            </w:r>
          </w:p>
        </w:tc>
        <w:tc>
          <w:tcPr>
            <w:tcW w:type="dxa" w:w="45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Скидка по полномочиям и партнёрскому коду</w:t>
            </w:r>
          </w:p>
        </w:tc>
        <w:tc>
          <w:tcPr>
            <w:tcW w:type="dxa" w:w="363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Система сохраняет основание, автора, скидку клиенту и начисление партнёру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FR‑03.06</w:t>
            </w:r>
          </w:p>
        </w:tc>
        <w:tc>
          <w:tcPr>
            <w:tcW w:type="dxa" w:w="45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Статусы оплаты и выдачи</w:t>
            </w:r>
          </w:p>
        </w:tc>
        <w:tc>
          <w:tcPr>
            <w:tcW w:type="dxa" w:w="363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Не оплачено / частично / оплачено; самовывоз / перемещение / доставка / выдано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FR‑03.07</w:t>
            </w:r>
          </w:p>
        </w:tc>
        <w:tc>
          <w:tcPr>
            <w:tcW w:type="dxa" w:w="45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Возврат с причиной и состоянием</w:t>
            </w:r>
          </w:p>
        </w:tc>
        <w:tc>
          <w:tcPr>
            <w:tcW w:type="dxa" w:w="363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Возврат создаёт обратное движение либо перевод в брак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FR‑03.08</w:t>
            </w:r>
          </w:p>
        </w:tc>
        <w:tc>
          <w:tcPr>
            <w:tcW w:type="dxa" w:w="454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WhatsApp и телефония</w:t>
            </w:r>
          </w:p>
        </w:tc>
        <w:tc>
          <w:tcPr>
            <w:tcW w:type="dxa" w:w="363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При наличии официального API сообщение/звонок связывается с клиентом и сделкой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FR‑03.09</w:t>
            </w:r>
          </w:p>
        </w:tc>
        <w:tc>
          <w:tcPr>
            <w:tcW w:type="dxa" w:w="454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Контроль пропущенных действий</w:t>
            </w:r>
          </w:p>
        </w:tc>
        <w:tc>
          <w:tcPr>
            <w:tcW w:type="dxa" w:w="363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Просроченные задачи и необработанные обращения видны руководителю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2"/>
        </w:rPr>
        <w:t>Базовые этапы воронки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caps w:val="0"/>
          <w:color w:val="172033"/>
          <w:sz w:val="19"/>
        </w:rPr>
        <w:t>Новый запрос → подбор → предложение → резерв → оплата → комплектация → выдача/доставка → завершено. Отказ фиксируется с причиной на любом этапе.</w:t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07 · ПУБЛИЧНЫЙ КАТАЛОГ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FR‑04. Сайт и BMW‑каталог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Каталог должен быть простым для клиента, адаптивным для телефона и синхронным со складом.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4385"/>
        <w:gridCol w:w="3797"/>
      </w:tblGrid>
      <w:tr>
        <w:trPr>
          <w:tblHeader w:val="true"/>
        </w:trPr>
        <w:tc>
          <w:tcPr>
            <w:tcW w:type="dxa" w:w="124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ID</w:t>
            </w:r>
          </w:p>
        </w:tc>
        <w:tc>
          <w:tcPr>
            <w:tcW w:type="dxa" w:w="4649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Требование</w:t>
            </w:r>
          </w:p>
        </w:tc>
        <w:tc>
          <w:tcPr>
            <w:tcW w:type="dxa" w:w="4025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FR‑04.01</w:t>
            </w:r>
          </w:p>
        </w:tc>
        <w:tc>
          <w:tcPr>
            <w:tcW w:type="dxa" w:w="438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Каталог и поиск по OEM/названию/BMW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Клиент получает карточки с реальным наличием и фото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FR‑04.02</w:t>
            </w:r>
          </w:p>
        </w:tc>
        <w:tc>
          <w:tcPr>
            <w:tcW w:type="dxa" w:w="4385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Фильтры модель/поколение/кузов/двигатель/год/категория/цена/точка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Фильтры комбинируются и отражаются в URL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FR‑04.03</w:t>
            </w:r>
          </w:p>
        </w:tc>
        <w:tc>
          <w:tcPr>
            <w:tcW w:type="dxa" w:w="438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Карточка конкретной б/у детали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Фото, состояние, дефекты, OEM, совместимость, цена, наличие и точка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FR‑04.04</w:t>
            </w:r>
          </w:p>
        </w:tc>
        <w:tc>
          <w:tcPr>
            <w:tcW w:type="dxa" w:w="4385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Быстрый запрос менеджеру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 обращение передаются ID детали, URL, источник/UTM и контакт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FR‑04.05</w:t>
            </w:r>
          </w:p>
        </w:tc>
        <w:tc>
          <w:tcPr>
            <w:tcW w:type="dxa" w:w="438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Заявка по VIN и списку деталей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Клиент может приложить фото и согласиться на обработку данных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FR‑04.06</w:t>
            </w:r>
          </w:p>
        </w:tc>
        <w:tc>
          <w:tcPr>
            <w:tcW w:type="dxa" w:w="4385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Техническое SEO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ЧПУ, title/description, canonical, sitemap, robots и структурированные данные товара</w:t>
            </w:r>
          </w:p>
        </w:tc>
      </w:tr>
      <w:tr>
        <w:trPr>
          <w:cantSplit/>
        </w:trPr>
        <w:tc>
          <w:tcPr>
            <w:tcW w:type="dxa" w:w="11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FR‑04.07</w:t>
            </w:r>
          </w:p>
        </w:tc>
        <w:tc>
          <w:tcPr>
            <w:tcW w:type="dxa" w:w="438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Синхронизация статуса</w:t>
            </w:r>
          </w:p>
        </w:tc>
        <w:tc>
          <w:tcPr>
            <w:tcW w:type="dxa" w:w="37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Продажа/резерв меняет доступность на сайте по согласованному регламенту</w:t>
            </w:r>
          </w:p>
        </w:tc>
      </w:tr>
      <w:tr>
        <w:trPr>
          <w:cantSplit/>
        </w:trPr>
        <w:tc>
          <w:tcPr>
            <w:tcW w:type="dxa" w:w="11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FR‑04.08</w:t>
            </w:r>
          </w:p>
        </w:tc>
        <w:tc>
          <w:tcPr>
            <w:tcW w:type="dxa" w:w="4385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Адаптивность</w:t>
            </w:r>
          </w:p>
        </w:tc>
        <w:tc>
          <w:tcPr>
            <w:tcW w:type="dxa" w:w="37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Основные сценарии работают на экранах от 360 px без горизонтальной прокрутки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FFF5E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B5470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B54708"/>
                <w:sz w:val="20"/>
              </w:rPr>
              <w:t>SEO‑границы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Проект включает техническую основу и базовую оптимизацию. Гарантированные позиции Google, регулярное создание контента, закупка ссылок и постоянная работа SEO‑специалиста не входят в объём.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08 · УПРАВЛЕНИЕ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FR‑05. Задачи, аналитика и партнёры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Система должна показывать не только факты, но и действия, которые требуют внимания.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7220"/>
      </w:tblGrid>
      <w:tr>
        <w:trPr>
          <w:tblHeader w:val="true"/>
        </w:trPr>
        <w:tc>
          <w:tcPr>
            <w:tcW w:type="dxa" w:w="2268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Блок</w:t>
            </w:r>
          </w:p>
        </w:tc>
        <w:tc>
          <w:tcPr>
            <w:tcW w:type="dxa" w:w="765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Функциональные требования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Задачи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Доски по процессам; колонки/этапы; карточки с ответственным, сроком, приоритетом, чек‑листом, файлами, комментариями и связью с донором/деталью/сделкой.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Пульт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Продажи сегодня/период, валовая маржа, сумма и возраст остатка, резервы, необработанные обращения, просроченные задачи, риск‑сигналы.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Складская аналитика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ABC/XYZ, оборачиваемость, залежалость, продажи по категориям/OEM/моделям, остаток и движение по площадке.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Доноры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Закупочная стоимость, ожидаемая выручка, фактическая выручка, остаток, маржа и процент окупаемости.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Продажи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Конверсия по этапам, средний чек, маржа, причины отказа, результат менеджеров, источники и кампании.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Партнёры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Коды СТО/блогеров, условия скидки/вознаграждения, сделки, начислено, выплачено, период и ответственный.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AI‑сигналы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Правила/модели выявляют залежалость, аномальные скидки, просроченные резервы и дефицит данных; пользователь подтверждает решение.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DF8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14804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14804A"/>
                <w:sz w:val="20"/>
              </w:rPr>
              <w:t>Управленческий принцип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Любой показатель должен раскрываться до исходных карточек и операций. Итог без возможности проверить первичные данные не считается достаточным.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09 · ИНТЕГРАЦИИ И МИГРАЦИЯ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FR‑06. Обмен данными и перенос Bazon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Интеграции реализуются только через разрешённые механизмы и подтверждённые технические доступы.</w:t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9.1. Миграция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7220"/>
      </w:tblGrid>
      <w:tr>
        <w:trPr>
          <w:tblHeader w:val="true"/>
        </w:trPr>
        <w:tc>
          <w:tcPr>
            <w:tcW w:type="dxa" w:w="2268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Этап</w:t>
            </w:r>
          </w:p>
        </w:tc>
        <w:tc>
          <w:tcPr>
            <w:tcW w:type="dxa" w:w="765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Аудит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Список доступных таблиц/полей/фото, объёмы, дубли, отсутствующие значения, ограничения экспорта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Карта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Сопоставление Bazon → NUK Control и перечень правил преобразования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Проба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Импорт 50–100 карточек с протоколом сверки и письменным согласованием</w:t>
            </w:r>
          </w:p>
        </w:tc>
      </w:tr>
      <w:tr>
        <w:trPr>
          <w:cantSplit/>
        </w:trPr>
        <w:tc>
          <w:tcPr>
            <w:tcW w:type="dxa" w:w="213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Основной перенос</w:t>
            </w:r>
          </w:p>
        </w:tc>
        <w:tc>
          <w:tcPr>
            <w:tcW w:type="dxa" w:w="722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Карточки, фото и доступная история; отчёт импортировано/пропущено/ошибка</w:t>
            </w:r>
          </w:p>
        </w:tc>
      </w:tr>
      <w:tr>
        <w:trPr>
          <w:cantSplit/>
        </w:trPr>
        <w:tc>
          <w:tcPr>
            <w:tcW w:type="dxa" w:w="2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Переключение</w:t>
            </w:r>
          </w:p>
        </w:tc>
        <w:tc>
          <w:tcPr>
            <w:tcW w:type="dxa" w:w="722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Дата фиксации, финальная дельта, контрольные суммы и архив исходной выгрузки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9.2. Интерфейсы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Внутренний API каталога и остатков для сайта NUK.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Webhook/API приёма заявок с сайта с UTM‑параметрами.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WhatsApp Business и телефония — после выбора провайдера и получения официальных ключей/номеров.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Kolesa и иные площадки — только официальный API, фид или разрешённый импорт; иначе формируется допустимый файл/ручной регламент.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Экспорт основных справочников и операций NUK в CSV/XLSX для контроля и резервного использования.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FFF5E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B5470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B54708"/>
                <w:sz w:val="20"/>
              </w:rPr>
              <w:t>Зависимость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Срок интеграции с внешним сервисом приостанавливается на период, когда сервис не предоставил доступ, документацию либо изменил правила. Это не блокирует сдачу независимых модулей NUK Control.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10 · НЕФУНКЦИОНАЛЬНЫЕ ТРЕБОВАНИЯ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NFR. Надёжность, безопасность и эксплуатация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Система должна сохранять управляемость при росте каталога, пользователей и операций.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3"/>
        <w:gridCol w:w="8076"/>
      </w:tblGrid>
      <w:tr>
        <w:trPr>
          <w:tblHeader w:val="true"/>
        </w:trPr>
        <w:tc>
          <w:tcPr>
            <w:tcW w:type="dxa" w:w="1361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ID</w:t>
            </w:r>
          </w:p>
        </w:tc>
        <w:tc>
          <w:tcPr>
            <w:tcW w:type="dxa" w:w="8561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NFR‑01</w:t>
            </w:r>
          </w:p>
        </w:tc>
        <w:tc>
          <w:tcPr>
            <w:tcW w:type="dxa" w:w="80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Веб‑интерфейс на русском языке; поддержка актуальных Chrome, Safari и мобильных браузеров.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NFR‑02</w:t>
            </w:r>
          </w:p>
        </w:tc>
        <w:tc>
          <w:tcPr>
            <w:tcW w:type="dxa" w:w="80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Адаптивный интерфейс; ключевые складские и продажные операции доступны со смартфона.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NFR‑03</w:t>
            </w:r>
          </w:p>
        </w:tc>
        <w:tc>
          <w:tcPr>
            <w:tcW w:type="dxa" w:w="80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Разграничение прав по ролям и площадкам; пароли хранятся только в виде стойких хешей.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NFR‑04</w:t>
            </w:r>
          </w:p>
        </w:tc>
        <w:tc>
          <w:tcPr>
            <w:tcW w:type="dxa" w:w="80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Журнал входов и критических изменений: остаток, цена, скидка, себестоимость, роль, удаление/архив.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NFR‑05</w:t>
            </w:r>
          </w:p>
        </w:tc>
        <w:tc>
          <w:tcPr>
            <w:tcW w:type="dxa" w:w="80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Ежедневное резервное копирование базы и регулярная проверка восстановления; срок хранения согласуется при развёртывании.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NFR‑06</w:t>
            </w:r>
          </w:p>
        </w:tc>
        <w:tc>
          <w:tcPr>
            <w:tcW w:type="dxa" w:w="80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HTTPS, защита сессий, ограничение попыток входа, проверка файлов и серверная валидация входных данных.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NFR‑07</w:t>
            </w:r>
          </w:p>
        </w:tc>
        <w:tc>
          <w:tcPr>
            <w:tcW w:type="dxa" w:w="80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Серверная пагинация/поиск; основные списки не загружают весь каталог на устройство пользователя.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NFR‑08</w:t>
            </w:r>
          </w:p>
        </w:tc>
        <w:tc>
          <w:tcPr>
            <w:tcW w:type="dxa" w:w="80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Экспорт данных в машиночитаемом формате и отсутствие закрытой зависимости от Pllato.</w:t>
            </w:r>
          </w:p>
        </w:tc>
      </w:tr>
      <w:tr>
        <w:trPr>
          <w:cantSplit/>
        </w:trPr>
        <w:tc>
          <w:tcPr>
            <w:tcW w:type="dxa" w:w="128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NFR‑09</w:t>
            </w:r>
          </w:p>
        </w:tc>
        <w:tc>
          <w:tcPr>
            <w:tcW w:type="dxa" w:w="807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Ошибки интеграций регистрируются; повторная отправка не создаёт дубли благодаря идемпотентности.</w:t>
            </w:r>
          </w:p>
        </w:tc>
      </w:tr>
      <w:tr>
        <w:trPr>
          <w:cantSplit/>
        </w:trPr>
        <w:tc>
          <w:tcPr>
            <w:tcW w:type="dxa" w:w="1283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NFR‑10</w:t>
            </w:r>
          </w:p>
        </w:tc>
        <w:tc>
          <w:tcPr>
            <w:tcW w:type="dxa" w:w="8076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5"/>
              </w:rPr>
              <w:t>Часовой пояс Asia/Almaty, суммы в тенге, даты в понятном пользователю формате.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Целевые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≤ 3 сек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рабочие списки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при типовой нагрузке и нормальном канале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70 000+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карточек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с архитектурой без лимита Pllato</w:t>
            </w:r>
          </w:p>
        </w:tc>
        <w:tc>
          <w:tcPr>
            <w:tcW w:type="dxa" w:w="3307"/>
            <w:shd w:fill="F4F7FC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D7DEEA"/>
              <w:left w:val="single" w:sz="8" w:color="D7DEEA"/>
              <w:bottom w:val="single" w:sz="8" w:color="D7DEEA"/>
              <w:right w:val="single" w:sz="8" w:color="D7DEE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31"/>
              </w:rPr>
              <w:t>100%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aps w:val="0"/>
                <w:color w:val="0B1930"/>
                <w:sz w:val="16"/>
              </w:rPr>
              <w:t>критических действий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667085"/>
                <w:sz w:val="15"/>
              </w:rPr>
              <w:t>в журнале аудита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11 · ПРИЁМКА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Критерии готовности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Приёмка проводится по сценариям на тестовом/рабочем стенде с данными, согласованными сторонами.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9"/>
        <w:gridCol w:w="8290"/>
      </w:tblGrid>
      <w:tr>
        <w:trPr>
          <w:tblHeader w:val="true"/>
        </w:trPr>
        <w:tc>
          <w:tcPr>
            <w:tcW w:type="dxa" w:w="1134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AC</w:t>
            </w:r>
          </w:p>
        </w:tc>
        <w:tc>
          <w:tcPr>
            <w:tcW w:type="dxa" w:w="878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4"/>
              </w:rPr>
              <w:t>Сценарий приёмки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AC‑01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Администратор создаёт пользователей пяти базовых ролей и ограничивает кладовщика одной площадкой.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AC‑02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Мастер создаёт донора, формирует детали, прикладывает фото и передаёт их на приёмку.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AC‑03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Кладовщик размещает деталь в ячейке Бесагаша, затем перемещает на Суюнбая; история сохраняет обе операции.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AC‑04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Менеджер находит деталь по OEM, добавляет в заказ и ставит резерв; доступность в каталоге меняется.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AC‑05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После выдачи заказ списывает остаток, фиксирует оплату и попадает в отчёт продаж/маржи.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AC‑06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Возврат восстанавливает товар в доступный остаток либо переводит в брак с указанием причины.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AC‑07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Инвентаризация выбранной зоны показывает план/факт и создаёт подтверждённую корректировку.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AC‑08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Заявка с сайта содержит выбранную деталь, контакт и UTM‑источник и появляется в воронке.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AC‑09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Партнёрский код применяет согласованную скидку и создаёт начисление партнёру.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AC‑10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Пульт раскрывает показатель до карточек/операций и показывает просроченный резерв.</w:t>
            </w:r>
          </w:p>
        </w:tc>
      </w:tr>
      <w:tr>
        <w:trPr>
          <w:cantSplit/>
        </w:trPr>
        <w:tc>
          <w:tcPr>
            <w:tcW w:type="dxa" w:w="10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AC‑11</w:t>
            </w:r>
          </w:p>
        </w:tc>
        <w:tc>
          <w:tcPr>
            <w:tcW w:type="dxa" w:w="829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Контрольная миграция Bazon проходит сверку количества, обязательных полей и фотографий.</w:t>
            </w:r>
          </w:p>
        </w:tc>
      </w:tr>
      <w:tr>
        <w:trPr>
          <w:cantSplit/>
        </w:trPr>
        <w:tc>
          <w:tcPr>
            <w:tcW w:type="dxa" w:w="1069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AC‑12</w:t>
            </w:r>
          </w:p>
        </w:tc>
        <w:tc>
          <w:tcPr>
            <w:tcW w:type="dxa" w:w="8290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4"/>
              </w:rPr>
              <w:t>Экспорт каталога и движений формируется в согласованном формате без участия разработчика.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Порядок замечаний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Дефект — несоответствие утверждённому требованию/критерию. Новая функция или изменение согласованного процесса оформляется как запрос на изменение с отдельной оценкой.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80" w:line="252" w:lineRule="auto"/>
      </w:pPr>
      <w:r>
        <w:rPr>
          <w:rFonts w:ascii="Arial" w:hAnsi="Arial" w:eastAsia="Arial"/>
          <w:b/>
          <w:caps w:val="0"/>
          <w:color w:val="2A6FF0"/>
          <w:sz w:val="15"/>
        </w:rPr>
        <w:t>12 · ЭТАПЫ И ИСКЛЮЧЕНИЯ</w:t>
      </w:r>
    </w:p>
    <w:p>
      <w:pPr>
        <w:pStyle w:val="Heading1"/>
      </w:pPr>
      <w:r>
        <w:rPr>
          <w:rFonts w:ascii="Arial" w:hAnsi="Arial" w:eastAsia="Arial"/>
          <w:b/>
          <w:caps w:val="0"/>
          <w:color w:val="0B1930"/>
          <w:sz w:val="40"/>
        </w:rPr>
        <w:t>Сдача, гарантии и границы</w:t>
      </w:r>
    </w:p>
    <w:p>
      <w:pPr>
        <w:spacing w:before="0" w:after="180" w:line="252" w:lineRule="auto"/>
      </w:pPr>
      <w:r>
        <w:rPr>
          <w:rFonts w:ascii="Arial" w:hAnsi="Arial" w:eastAsia="Arial"/>
          <w:b w:val="0"/>
          <w:caps w:val="0"/>
          <w:color w:val="667085"/>
          <w:sz w:val="18"/>
        </w:rPr>
        <w:t>Функциональный объём уточняется только через согласованный протокол изменений.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04"/>
        <w:gridCol w:w="6097"/>
      </w:tblGrid>
      <w:tr>
        <w:trPr>
          <w:tblHeader w:val="true"/>
        </w:trPr>
        <w:tc>
          <w:tcPr>
            <w:tcW w:type="dxa" w:w="1757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Этап</w:t>
            </w:r>
          </w:p>
        </w:tc>
        <w:tc>
          <w:tcPr>
            <w:tcW w:type="dxa" w:w="1701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Срок</w:t>
            </w:r>
          </w:p>
        </w:tc>
        <w:tc>
          <w:tcPr>
            <w:tcW w:type="dxa" w:w="6463"/>
            <w:shd w:fill="0B193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aps w:val="0"/>
                <w:color w:val="FFFFFF"/>
                <w:sz w:val="16"/>
              </w:rPr>
              <w:t>Результат / основание оплаты</w:t>
            </w:r>
          </w:p>
        </w:tc>
      </w:tr>
      <w:tr>
        <w:trPr>
          <w:cantSplit/>
        </w:trPr>
        <w:tc>
          <w:tcPr>
            <w:tcW w:type="dxa" w:w="16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Старт</w:t>
            </w:r>
          </w:p>
        </w:tc>
        <w:tc>
          <w:tcPr>
            <w:tcW w:type="dxa" w:w="16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После договора</w:t>
            </w:r>
          </w:p>
        </w:tc>
        <w:tc>
          <w:tcPr>
            <w:tcW w:type="dxa" w:w="60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Предоплата 10%; интервью и проектирование</w:t>
            </w:r>
          </w:p>
        </w:tc>
      </w:tr>
      <w:tr>
        <w:trPr>
          <w:cantSplit/>
        </w:trPr>
        <w:tc>
          <w:tcPr>
            <w:tcW w:type="dxa" w:w="165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Ядро</w:t>
            </w:r>
          </w:p>
        </w:tc>
        <w:tc>
          <w:tcPr>
            <w:tcW w:type="dxa" w:w="1604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7–10 дней</w:t>
            </w:r>
          </w:p>
        </w:tc>
        <w:tc>
          <w:tcPr>
            <w:tcW w:type="dxa" w:w="60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Согласованные роли, справочники, доноры, каталог, остатки и базовые продажи; оплата 45%</w:t>
            </w:r>
          </w:p>
        </w:tc>
      </w:tr>
      <w:tr>
        <w:trPr>
          <w:cantSplit/>
        </w:trPr>
        <w:tc>
          <w:tcPr>
            <w:tcW w:type="dxa" w:w="16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MVP</w:t>
            </w:r>
          </w:p>
        </w:tc>
        <w:tc>
          <w:tcPr>
            <w:tcW w:type="dxa" w:w="16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До 6 недель</w:t>
            </w:r>
          </w:p>
        </w:tc>
        <w:tc>
          <w:tcPr>
            <w:tcW w:type="dxa" w:w="609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Все согласованные модули, сайт, миграция/интеграции в доступном объёме, обучение; оплата 45%</w:t>
            </w:r>
          </w:p>
        </w:tc>
      </w:tr>
      <w:tr>
        <w:trPr>
          <w:cantSplit/>
        </w:trPr>
        <w:tc>
          <w:tcPr>
            <w:tcW w:type="dxa" w:w="1658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Гарантия</w:t>
            </w:r>
          </w:p>
        </w:tc>
        <w:tc>
          <w:tcPr>
            <w:tcW w:type="dxa" w:w="1604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30 дней</w:t>
            </w:r>
          </w:p>
        </w:tc>
        <w:tc>
          <w:tcPr>
            <w:tcW w:type="dxa" w:w="6097"/>
            <w:shd w:fill="F4F7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7DEEA"/>
              <w:left w:val="single" w:sz="5" w:color="D7DEEA"/>
              <w:bottom w:val="single" w:sz="5" w:color="D7DEEA"/>
              <w:right w:val="single" w:sz="5" w:color="D7DEEA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6"/>
              </w:rPr>
              <w:t>Исправление воспроизводимых дефектов утверждённого функционала</w:t>
            </w:r>
          </w:p>
        </w:tc>
      </w:tr>
    </w:tbl>
    <w:p>
      <w:pPr>
        <w:spacing w:before="0" w:after="4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p>
      <w:pPr>
        <w:keepNext/>
        <w:spacing w:before="12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Не входит в первую версию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ручная инвентаризация и физическая маркировка десятков тысяч позиций силами Pllato;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гарантия публикации на Kolesa или другой площадке без официально доступного механизма;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полноценная бухгалтерия, налоговый учёт, онлайн‑касса и ЭСФ, если они отдельно не согласованы;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мобильные приложения App Store/Google Play — используется адаптивная веб‑версия;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регулярное SEO‑продвижение, ведение рекламы, создание фото/видео и call‑центр;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новые интеграции и бизнес‑процессы, отсутствующие в настоящем ТЗ.</w:t>
      </w:r>
    </w:p>
    <w:p>
      <w:pPr>
        <w:keepNext/>
        <w:spacing w:before="100" w:after="80" w:line="252" w:lineRule="auto"/>
      </w:pPr>
      <w:r>
        <w:rPr>
          <w:rFonts w:ascii="Arial" w:hAnsi="Arial" w:eastAsia="Arial"/>
          <w:b/>
          <w:caps w:val="0"/>
          <w:color w:val="0B1930"/>
          <w:sz w:val="23"/>
        </w:rPr>
        <w:t>Допущения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NUK предоставляет достоверные справочники, доступы и решения по процессам в согласованные сроки.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Фактический перенос истории определяется составом доступной выгрузки Bazon.</w:t>
      </w:r>
    </w:p>
    <w:p>
      <w:pPr>
        <w:pStyle w:val="ListBullet"/>
      </w:pPr>
      <w:r>
        <w:rPr>
          <w:rFonts w:ascii="Arial" w:hAnsi="Arial" w:eastAsia="Arial"/>
          <w:b w:val="0"/>
          <w:caps w:val="0"/>
          <w:color w:val="172033"/>
          <w:sz w:val="18"/>
        </w:rPr>
        <w:t>Серверная конфигурация и платные внешние сервисы оплачиваются заказчиком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21"/>
            <w:shd w:fill="EAF1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28" w:color="2A6F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aps w:val="0"/>
                <w:color w:val="2A6FF0"/>
                <w:sz w:val="20"/>
              </w:rPr>
              <w:t>Согласование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aps w:val="0"/>
                <w:color w:val="172033"/>
                <w:sz w:val="18"/>
              </w:rPr>
              <w:t>После утверждения этого ТЗ стороны фиксируют договор, календарный план и реквизиты. При расхождении с коммерческим предложением приоритет имеют подписанный договор и утверждённая редакция ТЗ.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 w:eastAsia="Arial"/>
          <w:b w:val="0"/>
          <w:caps w:val="0"/>
          <w:color w:val="172033"/>
          <w:sz w:val="4"/>
        </w:rPr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1906" w:h="16838"/>
      <w:pgMar w:top="879" w:right="935" w:bottom="822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aps w:val="0"/>
        <w:color w:val="667085"/>
        <w:sz w:val="14"/>
      </w:rPr>
      <w:t>Pllato · автоматизация бизнеса  |  Конфиденциально</w:t>
    </w:r>
    <w:r>
      <w:rPr>
        <w:rFonts w:ascii="Arial" w:hAnsi="Arial" w:eastAsia="Arial"/>
        <w:b w:val="0"/>
        <w:caps w:val="0"/>
        <w:color w:val="667085"/>
        <w:sz w:val="14"/>
      </w:rPr>
      <w:t xml:space="preserve">                                  стр. </w:t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/>
        <w:b w:val="0"/>
        <w:caps w:val="0"/>
        <w:color w:val="667085"/>
        <w:sz w:val="14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aps w:val="0"/>
        <w:color w:val="667085"/>
        <w:sz w:val="14"/>
      </w:rPr>
      <w:t>Pllato · автоматизация бизнеса  |  Конфиденциально</w:t>
    </w:r>
    <w:r>
      <w:rPr>
        <w:rFonts w:ascii="Arial" w:hAnsi="Arial" w:eastAsia="Arial"/>
        <w:b w:val="0"/>
        <w:caps w:val="0"/>
        <w:color w:val="667085"/>
        <w:sz w:val="14"/>
      </w:rPr>
      <w:t xml:space="preserve">                                  стр. </w:t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/>
        <w:b w:val="0"/>
        <w:caps w:val="0"/>
        <w:color w:val="667085"/>
        <w:sz w:val="14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017"/>
          <w:tcMar>
            <w:top w:w="40" w:type="dxa"/>
            <w:start w:w="0" w:type="dxa"/>
            <w:bottom w:w="40" w:type="dxa"/>
            <w:end w:w="80" w:type="dxa"/>
          </w:tcMar>
          <w:tcBorders>
            <w:bottom w:val="single" w:sz="10" w:color="2A6FF0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aps w:val="0"/>
              <w:color w:val="2A6FF0"/>
              <w:sz w:val="30"/>
            </w:rPr>
            <w:t>NUK</w:t>
          </w:r>
          <w:r>
            <w:rPr>
              <w:rFonts w:ascii="Arial" w:hAnsi="Arial" w:eastAsia="Arial"/>
              <w:b/>
              <w:caps w:val="0"/>
              <w:color w:val="0B1930"/>
              <w:sz w:val="16"/>
            </w:rPr>
            <w:t xml:space="preserve">  ×  PLLATO</w:t>
          </w:r>
        </w:p>
      </w:tc>
      <w:tc>
        <w:tcPr>
          <w:tcW w:type="dxa" w:w="5017"/>
          <w:tcMar>
            <w:top w:w="40" w:type="dxa"/>
            <w:start w:w="80" w:type="dxa"/>
            <w:bottom w:w="40" w:type="dxa"/>
            <w:end w:w="0" w:type="dxa"/>
          </w:tcMar>
          <w:tcBorders>
            <w:bottom w:val="single" w:sz="10" w:color="2A6FF0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aps/>
              <w:color w:val="667085"/>
              <w:sz w:val="14"/>
            </w:rPr>
            <w:t>ТЕХНИЧЕСКОЕ ЗАДАНИЕ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017"/>
          <w:tcMar>
            <w:top w:w="40" w:type="dxa"/>
            <w:start w:w="0" w:type="dxa"/>
            <w:bottom w:w="40" w:type="dxa"/>
            <w:end w:w="80" w:type="dxa"/>
          </w:tcMar>
          <w:tcBorders>
            <w:bottom w:val="single" w:sz="10" w:color="2A6FF0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aps w:val="0"/>
              <w:color w:val="2A6FF0"/>
              <w:sz w:val="30"/>
            </w:rPr>
            <w:t>NUK</w:t>
          </w:r>
          <w:r>
            <w:rPr>
              <w:rFonts w:ascii="Arial" w:hAnsi="Arial" w:eastAsia="Arial"/>
              <w:b/>
              <w:caps w:val="0"/>
              <w:color w:val="0B1930"/>
              <w:sz w:val="16"/>
            </w:rPr>
            <w:t xml:space="preserve">  ×  PLLATO</w:t>
          </w:r>
        </w:p>
      </w:tc>
      <w:tc>
        <w:tcPr>
          <w:tcW w:type="dxa" w:w="5017"/>
          <w:tcMar>
            <w:top w:w="40" w:type="dxa"/>
            <w:start w:w="80" w:type="dxa"/>
            <w:bottom w:w="40" w:type="dxa"/>
            <w:end w:w="0" w:type="dxa"/>
          </w:tcMar>
          <w:tcBorders>
            <w:bottom w:val="single" w:sz="10" w:color="2A6FF0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aps/>
              <w:color w:val="667085"/>
              <w:sz w:val="14"/>
            </w:rPr>
            <w:t>ТЕХНИЧЕСКОЕ ЗАДАНИЕ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9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9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6FF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B19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2" w:hanging="142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