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Times New Roman" w:cs="Times New Roman" w:eastAsia="Times New Roman" w:hAnsi="Times New Roman"/>
          <w:b/>
          <w:bCs/>
          <w:caps/>
          <w:sz w:val="27"/>
          <w:szCs w:val="27"/>
        </w:rPr>
        <w:t xml:space="preserve">Система управления</w:t>
      </w:r>
      <w:r>
        <w:br/>
      </w:r>
      <w:r>
        <w:rPr>
          <w:rFonts w:ascii="Times New Roman" w:cs="Times New Roman" w:eastAsia="Times New Roman" w:hAnsi="Times New Roman"/>
          <w:b/>
          <w:bCs/>
          <w:caps/>
          <w:sz w:val="27"/>
          <w:szCs w:val="27"/>
        </w:rPr>
        <w:t xml:space="preserve">сетью складов</w:t>
      </w:r>
      <w:r>
        <w:br/>
      </w:r>
      <w:r>
        <w:rPr>
          <w:rFonts w:ascii="Times New Roman" w:cs="Times New Roman" w:eastAsia="Times New Roman" w:hAnsi="Times New Roman"/>
          <w:b/>
          <w:bCs/>
          <w:caps/>
          <w:sz w:val="27"/>
          <w:szCs w:val="27"/>
        </w:rPr>
        <w:t xml:space="preserve">индивидуального хранения</w:t>
      </w:r>
    </w:p>
    <w:p>
      <w:pPr>
        <w:spacing w:after="24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sz w:val="19"/>
          <w:szCs w:val="19"/>
        </w:rPr>
        <w:t xml:space="preserve">Документ фиксирует состав работ крупными блоками. Детальные требования по каждому блоку согласовываются в рабочем порядке на этапе ядра и полировки; итоговая реализация уточняется по фактическим возможностям оборудования и API сторонних сервисов.</w:t>
      </w:r>
    </w:p>
    <w:tbl>
      <w:tblPr>
        <w:tblW w:type="dxa" w:w="102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552"/>
        <w:gridCol w:w="2552"/>
        <w:gridCol w:w="2552"/>
        <w:gridCol w:w="2550"/>
      </w:tblGrid>
      <w:tr>
        <w:tc>
          <w:tcPr>
            <w:tcW w:type="dxa" w:w="2552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2EC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Times New Roman" w:cs="Times New Roman" w:eastAsia="Times New Roman" w:hAnsi="Times New Roman"/>
                <w:color w:val="6B7280"/>
                <w:sz w:val="15"/>
                <w:szCs w:val="15"/>
              </w:rPr>
              <w:t xml:space="preserve">ЗАКАЗЧИК</w:t>
            </w:r>
          </w:p>
          <w:p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Мушекбаев А. С.</w:t>
            </w:r>
          </w:p>
        </w:tc>
        <w:tc>
          <w:tcPr>
            <w:tcW w:type="dxa" w:w="2552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2EC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Times New Roman" w:cs="Times New Roman" w:eastAsia="Times New Roman" w:hAnsi="Times New Roman"/>
                <w:color w:val="6B7280"/>
                <w:sz w:val="15"/>
                <w:szCs w:val="15"/>
              </w:rPr>
              <w:t xml:space="preserve">ИСПОЛНИТЕЛЬ</w:t>
            </w:r>
          </w:p>
          <w:p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ИП «STUDYSTORIES.APP»
бренд Pllato · БИН 880607300110</w:t>
            </w:r>
          </w:p>
        </w:tc>
        <w:tc>
          <w:tcPr>
            <w:tcW w:type="dxa" w:w="2552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2EC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Times New Roman" w:cs="Times New Roman" w:eastAsia="Times New Roman" w:hAnsi="Times New Roman"/>
                <w:color w:val="6B7280"/>
                <w:sz w:val="15"/>
                <w:szCs w:val="15"/>
              </w:rPr>
              <w:t xml:space="preserve">СРОК</w:t>
            </w:r>
          </w:p>
          <w:p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4–6 недель</w:t>
            </w:r>
          </w:p>
        </w:tc>
        <w:tc>
          <w:tcPr>
            <w:tcW w:type="dxa" w:w="255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2EC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Times New Roman" w:cs="Times New Roman" w:eastAsia="Times New Roman" w:hAnsi="Times New Roman"/>
                <w:color w:val="6B7280"/>
                <w:sz w:val="15"/>
                <w:szCs w:val="15"/>
              </w:rPr>
              <w:t xml:space="preserve">ЭТАПЫ</w:t>
            </w:r>
          </w:p>
          <w:p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ядро → полировка</w:t>
            </w:r>
          </w:p>
        </w:tc>
      </w:tr>
    </w:tbl>
    <w:p>
      <w:pPr>
        <w:spacing w:after="200"/>
      </w:pPr>
    </w:p>
    <w:p>
      <w:pPr>
        <w:keepNext/>
        <w:spacing w:after="90" w:before="60"/>
      </w:pPr>
      <w:r>
        <w:rPr>
          <w:rFonts w:ascii="Times New Roman" w:cs="Times New Roman" w:eastAsia="Times New Roman" w:hAnsi="Times New Roman"/>
          <w:b/>
          <w:bCs/>
          <w:caps/>
          <w:sz w:val="22"/>
          <w:szCs w:val="22"/>
        </w:rPr>
        <w:t xml:space="preserve">Общие положения</w:t>
      </w:r>
    </w:p>
    <w:p>
      <w:pPr>
        <w:spacing w:after="80" w:line="264"/>
        <w:ind w:left="480" w:hanging="480"/>
        <w:jc w:val="both"/>
      </w:pP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 xml:space="preserve">1.	</w:t>
      </w:r>
      <w:r>
        <w:rPr>
          <w:rFonts w:ascii="Times New Roman" w:cs="Times New Roman" w:eastAsia="Times New Roman" w:hAnsi="Times New Roman"/>
          <w:b w:val="false"/>
          <w:bCs w:val="false"/>
          <w:sz w:val="21"/>
          <w:szCs w:val="21"/>
        </w:rPr>
        <w:t xml:space="preserve">Разрабатывается система управления сетью складов self storage («система управления», портал) и новый сайт, связанные в единую базу данных. Сайт — витрина и точка входа клиента; портал — договоры, боксы, счета, доступы, клиенты и аналитика.</w:t>
      </w:r>
    </w:p>
    <w:p>
      <w:pPr>
        <w:spacing w:after="80" w:line="264"/>
        <w:ind w:left="480" w:hanging="480"/>
        <w:jc w:val="both"/>
      </w:pP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 xml:space="preserve">2.	</w:t>
      </w:r>
      <w:r>
        <w:rPr>
          <w:rFonts w:ascii="Times New Roman" w:cs="Times New Roman" w:eastAsia="Times New Roman" w:hAnsi="Times New Roman"/>
          <w:b w:val="false"/>
          <w:bCs w:val="false"/>
          <w:sz w:val="21"/>
          <w:szCs w:val="21"/>
        </w:rPr>
        <w:t xml:space="preserve">Сеть на момент старта: 7 складов в Алматы (включая достроенный), на части складов два уровня хранения — второй уровень учитывается отдельным ярусом со своим тарифом. Склады распределены между тремя ИП: счета и приём оплат идут от юрлица, которому принадлежит склад.</w:t>
      </w:r>
    </w:p>
    <w:p>
      <w:pPr>
        <w:spacing w:after="80" w:line="264"/>
        <w:ind w:left="480" w:hanging="480"/>
        <w:jc w:val="both"/>
      </w:pP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 xml:space="preserve">3.	</w:t>
      </w: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 xml:space="preserve">Масштабирование до 50 складов.</w:t>
      </w:r>
      <w:r>
        <w:rPr>
          <w:rFonts w:ascii="Times New Roman" w:cs="Times New Roman" w:eastAsia="Times New Roman" w:hAnsi="Times New Roman"/>
          <w:b w:val="false"/>
          <w:bCs w:val="false"/>
          <w:sz w:val="21"/>
          <w:szCs w:val="21"/>
        </w:rPr>
        <w:t xml:space="preserve"> Архитектура рассчитана на обслуживание не менее 50 (пятидесяти) складов сети </w:t>
      </w: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 xml:space="preserve">без переработки архитектуры и без дополнительной оплаты разработки</w:t>
      </w:r>
      <w:r>
        <w:rPr>
          <w:rFonts w:ascii="Times New Roman" w:cs="Times New Roman" w:eastAsia="Times New Roman" w:hAnsi="Times New Roman"/>
          <w:b w:val="false"/>
          <w:bCs w:val="false"/>
          <w:sz w:val="21"/>
          <w:szCs w:val="21"/>
        </w:rPr>
        <w:t xml:space="preserve"> — это же требование зафиксировано в п. 1.7 Договора и проверяется при приёмке итогового этапа. Новый склад добавляется Заказчиком самостоятельно через админку (сетка боксов, площади, тарифы, юрлицо, реквизиты Kaspi). Рост числа складов и нагрузки покрывается </w:t>
      </w: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 xml:space="preserve">расширением ресурсов сервера</w:t>
      </w:r>
      <w:r>
        <w:rPr>
          <w:rFonts w:ascii="Times New Roman" w:cs="Times New Roman" w:eastAsia="Times New Roman" w:hAnsi="Times New Roman"/>
          <w:b w:val="false"/>
          <w:bCs w:val="false"/>
          <w:sz w:val="21"/>
          <w:szCs w:val="21"/>
        </w:rPr>
        <w:t xml:space="preserve"> — процессор, оперативная память, дисковое пространство и пропускная способность; объём и стоимость ресурсов определяются хостингом и относятся к расходам Заказчика по п. 4 настоящего раздела. Профилактический рефакторинг для достижения 50 складов не требуется и Заказчиком не оплачивается.</w:t>
      </w:r>
    </w:p>
    <w:p>
      <w:pPr>
        <w:spacing w:after="80" w:line="264"/>
        <w:ind w:left="480" w:hanging="480"/>
        <w:jc w:val="both"/>
      </w:pP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 xml:space="preserve">4.	</w:t>
      </w:r>
      <w:r>
        <w:rPr>
          <w:rFonts w:ascii="Times New Roman" w:cs="Times New Roman" w:eastAsia="Times New Roman" w:hAnsi="Times New Roman"/>
          <w:b w:val="false"/>
          <w:bCs w:val="false"/>
          <w:sz w:val="21"/>
          <w:szCs w:val="21"/>
        </w:rPr>
        <w:t xml:space="preserve">Система развёртывается на сервере Заказчика, исходный код и документация (вики) передаются Заказчику. Ежемесячных платежей Исполнителю за пользование нет; сторонние сервисы (WhatsApp-канал ≈5 000 ₸/номер/мес, IP-телефония, хостинг, SMS) Заказчик оплачивает напрямую поставщикам.</w:t>
      </w:r>
    </w:p>
    <w:p>
      <w:pPr>
        <w:spacing w:after="80" w:line="264"/>
        <w:ind w:left="480" w:hanging="480"/>
        <w:jc w:val="both"/>
      </w:pP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 xml:space="preserve">5.	</w:t>
      </w: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 xml:space="preserve">Стороны и правовой статус документа.</w:t>
      </w:r>
      <w:r>
        <w:rPr>
          <w:rFonts w:ascii="Times New Roman" w:cs="Times New Roman" w:eastAsia="Times New Roman" w:hAnsi="Times New Roman"/>
          <w:b w:val="false"/>
          <w:bCs w:val="false"/>
          <w:sz w:val="21"/>
          <w:szCs w:val="21"/>
        </w:rPr>
        <w:t xml:space="preserve"> Исполнитель — </w:t>
      </w: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 xml:space="preserve">Индивидуальный предприниматель «STUDYSTORIES.APP»</w:t>
      </w:r>
      <w:r>
        <w:rPr>
          <w:rFonts w:ascii="Times New Roman" w:cs="Times New Roman" w:eastAsia="Times New Roman" w:hAnsi="Times New Roman"/>
          <w:b w:val="false"/>
          <w:bCs w:val="false"/>
          <w:sz w:val="21"/>
          <w:szCs w:val="21"/>
        </w:rPr>
        <w:t xml:space="preserve">, БИН 880607300110, в лице руководителя Цай Платона Львовича. </w:t>
      </w: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 xml:space="preserve">«Pllato» — коммерческое обозначение (бренд), под которым ИП «STUDYSTORIES.APP» осуществляет свою деятельность</w:t>
      </w:r>
      <w:r>
        <w:rPr>
          <w:rFonts w:ascii="Times New Roman" w:cs="Times New Roman" w:eastAsia="Times New Roman" w:hAnsi="Times New Roman"/>
          <w:b w:val="false"/>
          <w:bCs w:val="false"/>
          <w:sz w:val="21"/>
          <w:szCs w:val="21"/>
        </w:rPr>
        <w:t xml:space="preserve">; упоминание «Pllato» в настоящем документе, в переписке и в любых сопутствующих материалах означает указанное индивидуальное предприятие. Заказчик — Мушекбаев Адиль Серикханович. Настоящее Техническое задание является Приложением № 1 к Договору № PL-260910-1 от 10 сентября 2026 года и его неотъемлемой частью; при расхождении формулировок применяются условия Договора.</w:t>
      </w:r>
    </w:p>
    <w:p>
      <w:pPr>
        <w:keepNext/>
        <w:spacing w:after="0" w:before="220"/>
      </w:pPr>
      <w:r>
        <w:rPr>
          <w:rFonts w:ascii="Times New Roman" w:cs="Times New Roman" w:eastAsia="Times New Roman" w:hAnsi="Times New Roman"/>
          <w:b/>
          <w:bCs/>
          <w:caps/>
          <w:color w:val="6B7280"/>
          <w:sz w:val="16"/>
          <w:szCs w:val="16"/>
        </w:rPr>
        <w:t xml:space="preserve">Раздел 2</w:t>
      </w:r>
    </w:p>
    <w:p>
      <w:pPr>
        <w:keepNext/>
        <w:spacing w:after="90" w:before="60"/>
      </w:pPr>
      <w:r>
        <w:rPr>
          <w:rFonts w:ascii="Times New Roman" w:cs="Times New Roman" w:eastAsia="Times New Roman" w:hAnsi="Times New Roman"/>
          <w:b/>
          <w:bCs/>
          <w:caps/>
          <w:sz w:val="22"/>
          <w:szCs w:val="22"/>
        </w:rPr>
        <w:t xml:space="preserve">Склады, боксы и договоры</w:t>
      </w:r>
    </w:p>
    <w:p>
      <w:pPr>
        <w:spacing w:after="80" w:line="264"/>
        <w:ind w:left="480" w:hanging="480"/>
        <w:jc w:val="both"/>
      </w:pP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 xml:space="preserve">✓	</w:t>
      </w: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 xml:space="preserve">Карта-план каждого склада</w:t>
      </w:r>
      <w:r>
        <w:rPr>
          <w:rFonts w:ascii="Times New Roman" w:cs="Times New Roman" w:eastAsia="Times New Roman" w:hAnsi="Times New Roman"/>
          <w:b w:val="false"/>
          <w:bCs w:val="false"/>
          <w:sz w:val="21"/>
          <w:szCs w:val="21"/>
        </w:rPr>
        <w:t xml:space="preserve"> (не список): боксы с цветовыми статусами — занят, свободен, долг, бронь; уровни отображаются отдельными ярусами. Клик по боксу — карточка: арендатор, площадь, тариф, период, доступы, история.</w:t>
      </w:r>
    </w:p>
    <w:p>
      <w:pPr>
        <w:spacing w:after="80" w:line="264"/>
        <w:ind w:left="480" w:hanging="480"/>
        <w:jc w:val="both"/>
      </w:pP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 xml:space="preserve">✓	</w:t>
      </w: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 xml:space="preserve">Карточка арендатора:</w:t>
      </w:r>
      <w:r>
        <w:rPr>
          <w:rFonts w:ascii="Times New Roman" w:cs="Times New Roman" w:eastAsia="Times New Roman" w:hAnsi="Times New Roman"/>
          <w:b w:val="false"/>
          <w:bCs w:val="false"/>
          <w:sz w:val="21"/>
          <w:szCs w:val="21"/>
        </w:rPr>
        <w:t xml:space="preserve"> все боксы клиента, периоды, платежи, доверенные лица, источник обращения, переписка. Договор аренды формируется автоматически по шаблону Заказчика.</w:t>
      </w:r>
    </w:p>
    <w:p>
      <w:pPr>
        <w:spacing w:after="80" w:line="264"/>
        <w:ind w:left="480" w:hanging="480"/>
        <w:jc w:val="both"/>
      </w:pP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 xml:space="preserve">✓	</w:t>
      </w: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 xml:space="preserve">Пульт сети:</w:t>
      </w:r>
      <w:r>
        <w:rPr>
          <w:rFonts w:ascii="Times New Roman" w:cs="Times New Roman" w:eastAsia="Times New Roman" w:hAnsi="Times New Roman"/>
          <w:b w:val="false"/>
          <w:bCs w:val="false"/>
          <w:sz w:val="21"/>
          <w:szCs w:val="21"/>
        </w:rPr>
        <w:t xml:space="preserve"> загрузка, выручка, свободные боксы, должники и события по всем складам на одном экране; сводные показатели текущей таблицы Заказчика воспроизводятся.</w:t>
      </w:r>
    </w:p>
    <w:p>
      <w:pPr>
        <w:keepNext/>
        <w:spacing w:after="0" w:before="220"/>
      </w:pPr>
      <w:r>
        <w:rPr>
          <w:rFonts w:ascii="Times New Roman" w:cs="Times New Roman" w:eastAsia="Times New Roman" w:hAnsi="Times New Roman"/>
          <w:b/>
          <w:bCs/>
          <w:caps/>
          <w:color w:val="6B7280"/>
          <w:sz w:val="16"/>
          <w:szCs w:val="16"/>
        </w:rPr>
        <w:t xml:space="preserve">Раздел 3</w:t>
      </w:r>
    </w:p>
    <w:p>
      <w:pPr>
        <w:keepNext/>
        <w:spacing w:after="90" w:before="60"/>
      </w:pPr>
      <w:r>
        <w:rPr>
          <w:rFonts w:ascii="Times New Roman" w:cs="Times New Roman" w:eastAsia="Times New Roman" w:hAnsi="Times New Roman"/>
          <w:b/>
          <w:bCs/>
          <w:caps/>
          <w:sz w:val="22"/>
          <w:szCs w:val="22"/>
        </w:rPr>
        <w:t xml:space="preserve">CRM: карточка клиента и работа менеджера</w:t>
      </w:r>
    </w:p>
    <w:p>
      <w:pPr>
        <w:spacing w:after="80" w:line="264"/>
        <w:ind w:left="480" w:hanging="480"/>
        <w:jc w:val="both"/>
      </w:pP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 xml:space="preserve">✓	</w:t>
      </w:r>
      <w:r>
        <w:rPr>
          <w:rFonts w:ascii="Times New Roman" w:cs="Times New Roman" w:eastAsia="Times New Roman" w:hAnsi="Times New Roman"/>
          <w:b w:val="false"/>
          <w:bCs w:val="false"/>
          <w:sz w:val="21"/>
          <w:szCs w:val="21"/>
        </w:rPr>
        <w:t xml:space="preserve">CRM выделяется отдельным блоком системы: карточка клиента, воронка обращений, задачи и история взаимодействия. </w:t>
      </w: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 xml:space="preserve">Состав полей карточки, стадии воронки и критерии приёмки CRM согласовываются с Заказчиком</w:t>
      </w:r>
      <w:r>
        <w:rPr>
          <w:rFonts w:ascii="Times New Roman" w:cs="Times New Roman" w:eastAsia="Times New Roman" w:hAnsi="Times New Roman"/>
          <w:b w:val="false"/>
          <w:bCs w:val="false"/>
          <w:sz w:val="21"/>
          <w:szCs w:val="21"/>
        </w:rPr>
        <w:t xml:space="preserve"> на этапе ядра и фиксируются письменно (перепиской или протоколом созвона). До согласования состав считается предварительным.</w:t>
      </w:r>
    </w:p>
    <w:p>
      <w:pPr>
        <w:spacing w:after="80" w:line="264"/>
        <w:ind w:left="480" w:hanging="480"/>
        <w:jc w:val="both"/>
      </w:pP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 xml:space="preserve">✓	</w:t>
      </w:r>
      <w:r>
        <w:rPr>
          <w:rFonts w:ascii="Times New Roman" w:cs="Times New Roman" w:eastAsia="Times New Roman" w:hAnsi="Times New Roman"/>
          <w:b w:val="false"/>
          <w:bCs w:val="false"/>
          <w:sz w:val="21"/>
          <w:szCs w:val="21"/>
        </w:rPr>
        <w:t xml:space="preserve">Карточка клиента объединяет данные аренды (боксы, договоры, периоды, платежи, доступы) и данные CRM (источник обращения, переписка, звонки, задачи, ответственный менеджер).</w:t>
      </w:r>
    </w:p>
    <w:p>
      <w:r>
        <w:br w:type="page"/>
      </w:r>
    </w:p>
    <w:p>
      <w:pPr>
        <w:keepNext/>
        <w:spacing w:after="0" w:before="220"/>
      </w:pPr>
      <w:r>
        <w:rPr>
          <w:rFonts w:ascii="Times New Roman" w:cs="Times New Roman" w:eastAsia="Times New Roman" w:hAnsi="Times New Roman"/>
          <w:b/>
          <w:bCs/>
          <w:caps/>
          <w:color w:val="6B7280"/>
          <w:sz w:val="16"/>
          <w:szCs w:val="16"/>
        </w:rPr>
        <w:t xml:space="preserve">Раздел 4</w:t>
      </w:r>
    </w:p>
    <w:p>
      <w:pPr>
        <w:keepNext/>
        <w:spacing w:after="90" w:before="60"/>
      </w:pPr>
      <w:r>
        <w:rPr>
          <w:rFonts w:ascii="Times New Roman" w:cs="Times New Roman" w:eastAsia="Times New Roman" w:hAnsi="Times New Roman"/>
          <w:b/>
          <w:bCs/>
          <w:caps/>
          <w:sz w:val="22"/>
          <w:szCs w:val="22"/>
        </w:rPr>
        <w:t xml:space="preserve">Счета, оплаты и приём платежей</w:t>
      </w:r>
    </w:p>
    <w:p>
      <w:pPr>
        <w:spacing w:after="80" w:line="264"/>
        <w:ind w:left="480" w:hanging="480"/>
        <w:jc w:val="both"/>
      </w:pP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 xml:space="preserve">✓	</w:t>
      </w: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 xml:space="preserve">Массовое начисление:</w:t>
      </w:r>
      <w:r>
        <w:rPr>
          <w:rFonts w:ascii="Times New Roman" w:cs="Times New Roman" w:eastAsia="Times New Roman" w:hAnsi="Times New Roman"/>
          <w:b w:val="false"/>
          <w:bCs w:val="false"/>
          <w:sz w:val="21"/>
          <w:szCs w:val="21"/>
        </w:rPr>
        <w:t xml:space="preserve"> счета за период по всем занятым боксам формируются одним запуском — площадь, тариф и период каждого договора; отправка клиентам в Kaspi и WhatsApp.</w:t>
      </w:r>
    </w:p>
    <w:p>
      <w:pPr>
        <w:spacing w:after="80" w:line="264"/>
        <w:ind w:left="480" w:hanging="480"/>
        <w:jc w:val="both"/>
      </w:pP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 xml:space="preserve">✓	</w:t>
      </w: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 xml:space="preserve">Kaspi Платежи</w:t>
      </w:r>
      <w:r>
        <w:rPr>
          <w:rFonts w:ascii="Times New Roman" w:cs="Times New Roman" w:eastAsia="Times New Roman" w:hAnsi="Times New Roman"/>
          <w:b w:val="false"/>
          <w:bCs w:val="false"/>
          <w:sz w:val="21"/>
          <w:szCs w:val="21"/>
        </w:rPr>
        <w:t xml:space="preserve"> — основной канал оплаты (сервис «Платежи», без эквайринга): клиент видит начисление как квитанцию и оплачивает; поступление автоматически привязывается к боксу и периоду, в том числе при оплате третьим лицом и при оплате за несколько периодов сразу. Интеграция выполняется по документации Kaspi, которую предоставляет Заказчик; резервный путь — постоянная ссылка на оплату и автоматический разбор подтверждений.</w:t>
      </w:r>
    </w:p>
    <w:p>
      <w:pPr>
        <w:spacing w:after="80" w:line="264"/>
        <w:ind w:left="480" w:hanging="480"/>
        <w:jc w:val="both"/>
      </w:pP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 xml:space="preserve">✓	</w:t>
      </w: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 xml:space="preserve">Эквайринг банковских карт</w:t>
      </w:r>
      <w:r>
        <w:rPr>
          <w:rFonts w:ascii="Times New Roman" w:cs="Times New Roman" w:eastAsia="Times New Roman" w:hAnsi="Times New Roman"/>
          <w:b w:val="false"/>
          <w:bCs w:val="false"/>
          <w:sz w:val="21"/>
          <w:szCs w:val="21"/>
        </w:rPr>
        <w:t xml:space="preserve"> — дополнительный канал оплаты помимо Kaspi. В платёжной форме и в назначении платежа обязательно указываются </w:t>
      </w: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 xml:space="preserve">за что</w:t>
      </w:r>
      <w:r>
        <w:rPr>
          <w:rFonts w:ascii="Times New Roman" w:cs="Times New Roman" w:eastAsia="Times New Roman" w:hAnsi="Times New Roman"/>
          <w:b w:val="false"/>
          <w:bCs w:val="false"/>
          <w:sz w:val="21"/>
          <w:szCs w:val="21"/>
        </w:rPr>
        <w:t xml:space="preserve"> (склад, номер бокса, договор) и </w:t>
      </w: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 xml:space="preserve">за какой период</w:t>
      </w:r>
      <w:r>
        <w:rPr>
          <w:rFonts w:ascii="Times New Roman" w:cs="Times New Roman" w:eastAsia="Times New Roman" w:hAnsi="Times New Roman"/>
          <w:b w:val="false"/>
          <w:bCs w:val="false"/>
          <w:sz w:val="21"/>
          <w:szCs w:val="21"/>
        </w:rPr>
        <w:t xml:space="preserve"> оплата. Поступление по эквайрингу привязывается к боксу и периоду так же, как оплата через Kaspi, и так же снимает автоблокировку. Конкретный провайдер эквайринга и условия подключения согласовываются с Заказчиком.</w:t>
      </w:r>
    </w:p>
    <w:p>
      <w:pPr>
        <w:spacing w:after="80" w:line="264"/>
        <w:ind w:left="480" w:hanging="480"/>
        <w:jc w:val="both"/>
      </w:pP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 xml:space="preserve">✓	</w:t>
      </w: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 xml:space="preserve">Счета на оплату для юридических лиц:</w:t>
      </w:r>
      <w:r>
        <w:rPr>
          <w:rFonts w:ascii="Times New Roman" w:cs="Times New Roman" w:eastAsia="Times New Roman" w:hAnsi="Times New Roman"/>
          <w:b w:val="false"/>
          <w:bCs w:val="false"/>
          <w:sz w:val="21"/>
          <w:szCs w:val="21"/>
        </w:rPr>
        <w:t xml:space="preserve"> в CRM формируется счёт по шаблону Заказчика с реквизитами юрлица-арендатора и юрлица-получателя (того ИП, которому принадлежит склад), с указанием боксов, периода и суммы. Счёт выгружается в PDF и отправляется клиенту; оплата по такому счёту привязывается к боксу и периоду.</w:t>
      </w:r>
    </w:p>
    <w:p>
      <w:pPr>
        <w:spacing w:after="80" w:line="264"/>
        <w:ind w:left="480" w:hanging="480"/>
        <w:jc w:val="both"/>
      </w:pP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 xml:space="preserve">✓	</w:t>
      </w: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 xml:space="preserve">Скидки:</w:t>
      </w:r>
      <w:r>
        <w:rPr>
          <w:rFonts w:ascii="Times New Roman" w:cs="Times New Roman" w:eastAsia="Times New Roman" w:hAnsi="Times New Roman"/>
          <w:b w:val="false"/>
          <w:bCs w:val="false"/>
          <w:sz w:val="21"/>
          <w:szCs w:val="21"/>
        </w:rPr>
        <w:t xml:space="preserve"> стандартное поле скидки задаётся </w:t>
      </w: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 xml:space="preserve">как по отдельному клиенту, так и на весь склад целиком</w:t>
      </w:r>
      <w:r>
        <w:rPr>
          <w:rFonts w:ascii="Times New Roman" w:cs="Times New Roman" w:eastAsia="Times New Roman" w:hAnsi="Times New Roman"/>
          <w:b w:val="false"/>
          <w:bCs w:val="false"/>
          <w:sz w:val="21"/>
          <w:szCs w:val="21"/>
        </w:rPr>
        <w:t xml:space="preserve">. Скидка учитывается при массовом начислении и отражается в счёте и в аналитике по выручке.</w:t>
      </w:r>
    </w:p>
    <w:p>
      <w:pPr>
        <w:spacing w:after="80" w:line="264"/>
        <w:ind w:left="480" w:hanging="480"/>
        <w:jc w:val="both"/>
      </w:pP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 xml:space="preserve">✓	</w:t>
      </w: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 xml:space="preserve">Автоблокировка:</w:t>
      </w:r>
      <w:r>
        <w:rPr>
          <w:rFonts w:ascii="Times New Roman" w:cs="Times New Roman" w:eastAsia="Times New Roman" w:hAnsi="Times New Roman"/>
          <w:b w:val="false"/>
          <w:bCs w:val="false"/>
          <w:sz w:val="21"/>
          <w:szCs w:val="21"/>
        </w:rPr>
        <w:t xml:space="preserve"> просрочка оплаты автоматически закрывает доступ на склад и отправляет клиенту напоминание со ссылкой на оплату; поступление оплаты открывает доступ без участия персонала. Дебиторка ведётся системой.</w:t>
      </w:r>
    </w:p>
    <w:p>
      <w:pPr>
        <w:keepNext/>
        <w:spacing w:after="0" w:before="220"/>
      </w:pPr>
      <w:r>
        <w:rPr>
          <w:rFonts w:ascii="Times New Roman" w:cs="Times New Roman" w:eastAsia="Times New Roman" w:hAnsi="Times New Roman"/>
          <w:b/>
          <w:bCs/>
          <w:caps/>
          <w:color w:val="6B7280"/>
          <w:sz w:val="16"/>
          <w:szCs w:val="16"/>
        </w:rPr>
        <w:t xml:space="preserve">Раздел 5 · ключевой блок</w:t>
      </w:r>
    </w:p>
    <w:p>
      <w:pPr>
        <w:keepNext/>
        <w:spacing w:after="90" w:before="60"/>
      </w:pPr>
      <w:r>
        <w:rPr>
          <w:rFonts w:ascii="Times New Roman" w:cs="Times New Roman" w:eastAsia="Times New Roman" w:hAnsi="Times New Roman"/>
          <w:b/>
          <w:bCs/>
          <w:caps/>
          <w:sz w:val="22"/>
          <w:szCs w:val="22"/>
        </w:rPr>
        <w:t xml:space="preserve">Доступ на склады</w:t>
      </w:r>
    </w:p>
    <w:p>
      <w:pPr>
        <w:spacing w:after="80" w:line="264"/>
        <w:ind w:left="480" w:hanging="480"/>
        <w:jc w:val="both"/>
      </w:pP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 xml:space="preserve">✓	</w:t>
      </w: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 xml:space="preserve">Вход по звонку (основной способ):</w:t>
      </w:r>
      <w:r>
        <w:rPr>
          <w:rFonts w:ascii="Times New Roman" w:cs="Times New Roman" w:eastAsia="Times New Roman" w:hAnsi="Times New Roman"/>
          <w:b w:val="false"/>
          <w:bCs w:val="false"/>
          <w:sz w:val="21"/>
          <w:szCs w:val="21"/>
        </w:rPr>
        <w:t xml:space="preserve"> каждой входной двери присваивается номер (GSM-модуль замка). Клиент звонит на номер двери — система определяет его номер телефона, находит арендатора или доверенное лицо, проверяет оплату и открывает замок; вызов сбрасывается, звонок для клиента бесплатный. При долге замок не открывается, клиенту уходит сообщение со ссылкой на оплату. Аналогия — GSM-шлагбаум.</w:t>
      </w:r>
    </w:p>
    <w:p>
      <w:pPr>
        <w:spacing w:after="80" w:line="264"/>
        <w:ind w:left="480" w:hanging="480"/>
        <w:jc w:val="both"/>
      </w:pP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 xml:space="preserve">✓	</w:t>
      </w: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 xml:space="preserve">Доверенные лица:</w:t>
      </w:r>
      <w:r>
        <w:rPr>
          <w:rFonts w:ascii="Times New Roman" w:cs="Times New Roman" w:eastAsia="Times New Roman" w:hAnsi="Times New Roman"/>
          <w:b w:val="false"/>
          <w:bCs w:val="false"/>
          <w:sz w:val="21"/>
          <w:szCs w:val="21"/>
        </w:rPr>
        <w:t xml:space="preserve"> арендатор добавляет людей в личном кабинете сам (ФИО, номер удостоверения, телефон). Два типа доступа: постоянный (родственники, сотрудники) и разовый на день (грузчики, курьер — сгорает автоматически). Бумажные доверенности не требуются.</w:t>
      </w:r>
    </w:p>
    <w:p>
      <w:pPr>
        <w:spacing w:after="80" w:line="264"/>
        <w:ind w:left="480" w:hanging="480"/>
        <w:jc w:val="both"/>
      </w:pP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 xml:space="preserve">✓	</w:t>
      </w: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 xml:space="preserve">Face ID / Hikvision:</w:t>
      </w:r>
      <w:r>
        <w:rPr>
          <w:rFonts w:ascii="Times New Roman" w:cs="Times New Roman" w:eastAsia="Times New Roman" w:hAnsi="Times New Roman"/>
          <w:b w:val="false"/>
          <w:bCs w:val="false"/>
          <w:sz w:val="21"/>
          <w:szCs w:val="21"/>
        </w:rPr>
        <w:t xml:space="preserve"> действующее оборудование (Hikvision Doors) подключается в общую систему с тем же правилом «не оплатил — не вошёл»; единый журнал. Вопрос удалённого управления решается по модели оборудования (статический IP или облачный сервис Hik).</w:t>
      </w:r>
    </w:p>
    <w:p>
      <w:pPr>
        <w:spacing w:after="80" w:line="264"/>
        <w:ind w:left="480" w:hanging="480"/>
        <w:jc w:val="both"/>
      </w:pP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 xml:space="preserve">✓	</w:t>
      </w: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 xml:space="preserve">Оператор — резервный канал:</w:t>
      </w:r>
      <w:r>
        <w:rPr>
          <w:rFonts w:ascii="Times New Roman" w:cs="Times New Roman" w:eastAsia="Times New Roman" w:hAnsi="Times New Roman"/>
          <w:b w:val="false"/>
          <w:bCs w:val="false"/>
          <w:sz w:val="21"/>
          <w:szCs w:val="21"/>
        </w:rPr>
        <w:t xml:space="preserve"> видеозвонок и ручное открытие после верификации (телефон разряжен, нестандартная ситуация). Для охраны — картотека: поиск по номеру телефона или имени, доступы и долги видны без системы доступа.</w:t>
      </w:r>
    </w:p>
    <w:p>
      <w:pPr>
        <w:spacing w:after="80" w:line="264"/>
        <w:ind w:left="480" w:hanging="480"/>
        <w:jc w:val="both"/>
      </w:pP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 xml:space="preserve">✓	</w:t>
      </w: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 xml:space="preserve">Журнал проходов</w:t>
      </w:r>
      <w:r>
        <w:rPr>
          <w:rFonts w:ascii="Times New Roman" w:cs="Times New Roman" w:eastAsia="Times New Roman" w:hAnsi="Times New Roman"/>
          <w:b w:val="false"/>
          <w:bCs w:val="false"/>
          <w:sz w:val="21"/>
          <w:szCs w:val="21"/>
        </w:rPr>
        <w:t xml:space="preserve"> по всем складам и всем способам входа: кто, когда, куда, каким способом, результат.</w:t>
      </w:r>
    </w:p>
    <w:p>
      <w:pPr>
        <w:spacing w:after="80" w:line="264"/>
        <w:ind w:left="480" w:hanging="480"/>
        <w:jc w:val="both"/>
      </w:pP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 xml:space="preserve">✓	</w:t>
      </w: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 xml:space="preserve">Отключение электричества или интернета:</w:t>
      </w:r>
      <w:r>
        <w:rPr>
          <w:rFonts w:ascii="Times New Roman" w:cs="Times New Roman" w:eastAsia="Times New Roman" w:hAnsi="Times New Roman"/>
          <w:b w:val="false"/>
          <w:bCs w:val="false"/>
          <w:sz w:val="21"/>
          <w:szCs w:val="21"/>
        </w:rPr>
        <w:t xml:space="preserve"> при пропадании питания или связи канал открытия не работает — замок не управляется системой. Это ограничение оборудования, а не программной части. Доступ в такой ситуации обеспечивается организационно, силами Заказчика (дежурный оператор, механический ключ). Резервное питание, автономные каналы связи и аварийное открытие — зона ответственности Заказчика и в состав работ не входят.</w:t>
      </w:r>
    </w:p>
    <w:p>
      <w:pPr>
        <w:pBdr>
          <w:left w:val="single" w:color="8A8578" w:sz="12" w:space="10"/>
        </w:pBdr>
        <w:shd w:fill="F4F2EC" w:color="auto" w:val="clear"/>
        <w:spacing w:after="140" w:before="80" w:line="264"/>
        <w:ind w:left="280"/>
        <w:jc w:val="both"/>
      </w:pPr>
      <w:r>
        <w:rPr>
          <w:rFonts w:ascii="Times New Roman" w:cs="Times New Roman" w:eastAsia="Times New Roman" w:hAnsi="Times New Roman"/>
          <w:b/>
          <w:bCs/>
          <w:sz w:val="19"/>
          <w:szCs w:val="19"/>
        </w:rPr>
        <w:t xml:space="preserve">Зависимость от оборудования:</w:t>
      </w:r>
      <w:r>
        <w:rPr>
          <w:rFonts w:ascii="Times New Roman" w:cs="Times New Roman" w:eastAsia="Times New Roman" w:hAnsi="Times New Roman"/>
          <w:b w:val="false"/>
          <w:bCs w:val="false"/>
          <w:sz w:val="19"/>
          <w:szCs w:val="19"/>
        </w:rPr>
        <w:t xml:space="preserve"> состав GSM-модулей и способ их подключения подбираются на этапе ядра; связь на вторых уровнях обеспечивается усилителями сигнала (зона ответственности Заказчика по монтажу).</w:t>
      </w:r>
    </w:p>
    <w:p>
      <w:r>
        <w:br w:type="page"/>
      </w:r>
    </w:p>
    <w:p>
      <w:pPr>
        <w:keepNext/>
        <w:spacing w:after="0" w:before="220"/>
      </w:pPr>
      <w:r>
        <w:rPr>
          <w:rFonts w:ascii="Times New Roman" w:cs="Times New Roman" w:eastAsia="Times New Roman" w:hAnsi="Times New Roman"/>
          <w:b/>
          <w:bCs/>
          <w:caps/>
          <w:color w:val="6B7280"/>
          <w:sz w:val="16"/>
          <w:szCs w:val="16"/>
        </w:rPr>
        <w:t xml:space="preserve">Раздел 6</w:t>
      </w:r>
    </w:p>
    <w:p>
      <w:pPr>
        <w:keepNext/>
        <w:spacing w:after="90" w:before="60"/>
      </w:pPr>
      <w:r>
        <w:rPr>
          <w:rFonts w:ascii="Times New Roman" w:cs="Times New Roman" w:eastAsia="Times New Roman" w:hAnsi="Times New Roman"/>
          <w:b/>
          <w:bCs/>
          <w:caps/>
          <w:sz w:val="22"/>
          <w:szCs w:val="22"/>
        </w:rPr>
        <w:t xml:space="preserve">Личный кабинет клиента</w:t>
      </w:r>
    </w:p>
    <w:p>
      <w:pPr>
        <w:spacing w:after="80" w:line="264"/>
        <w:ind w:left="480" w:hanging="480"/>
        <w:jc w:val="both"/>
      </w:pP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 xml:space="preserve">✓	</w:t>
      </w:r>
      <w:r>
        <w:rPr>
          <w:rFonts w:ascii="Times New Roman" w:cs="Times New Roman" w:eastAsia="Times New Roman" w:hAnsi="Times New Roman"/>
          <w:b w:val="false"/>
          <w:bCs w:val="false"/>
          <w:sz w:val="21"/>
          <w:szCs w:val="21"/>
        </w:rPr>
        <w:t xml:space="preserve">Мобильная веб-версия без приложения: бокс, договор, период, счёт, оплата Kaspi, продление, история платежей.</w:t>
      </w:r>
    </w:p>
    <w:p>
      <w:pPr>
        <w:spacing w:after="80" w:line="264"/>
        <w:ind w:left="480" w:hanging="480"/>
        <w:jc w:val="both"/>
      </w:pP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 xml:space="preserve">✓	</w:t>
      </w:r>
      <w:r>
        <w:rPr>
          <w:rFonts w:ascii="Times New Roman" w:cs="Times New Roman" w:eastAsia="Times New Roman" w:hAnsi="Times New Roman"/>
          <w:b w:val="false"/>
          <w:bCs w:val="false"/>
          <w:sz w:val="21"/>
          <w:szCs w:val="21"/>
        </w:rPr>
        <w:t xml:space="preserve">Управление доступом: свой номер-ключ, добавление доверенных лиц, разовые доступы; статус «доступ закрыт — оплатите» с причиной.</w:t>
      </w:r>
    </w:p>
    <w:p>
      <w:pPr>
        <w:spacing w:after="80" w:line="264"/>
        <w:ind w:left="480" w:hanging="480"/>
        <w:jc w:val="both"/>
      </w:pP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 xml:space="preserve">✓	</w:t>
      </w:r>
      <w:r>
        <w:rPr>
          <w:rFonts w:ascii="Times New Roman" w:cs="Times New Roman" w:eastAsia="Times New Roman" w:hAnsi="Times New Roman"/>
          <w:b w:val="false"/>
          <w:bCs w:val="false"/>
          <w:sz w:val="21"/>
          <w:szCs w:val="21"/>
        </w:rPr>
        <w:t xml:space="preserve">Онбординг новых клиентов: после оплаты — PDF-инструкция в WhatsApp (как пройти, как открыть дверь звонком).</w:t>
      </w:r>
    </w:p>
    <w:p>
      <w:pPr>
        <w:keepNext/>
        <w:spacing w:after="0" w:before="220"/>
      </w:pPr>
      <w:r>
        <w:rPr>
          <w:rFonts w:ascii="Times New Roman" w:cs="Times New Roman" w:eastAsia="Times New Roman" w:hAnsi="Times New Roman"/>
          <w:b/>
          <w:bCs/>
          <w:caps/>
          <w:color w:val="6B7280"/>
          <w:sz w:val="16"/>
          <w:szCs w:val="16"/>
        </w:rPr>
        <w:t xml:space="preserve">Раздел 7</w:t>
      </w:r>
    </w:p>
    <w:p>
      <w:pPr>
        <w:keepNext/>
        <w:spacing w:after="90" w:before="60"/>
      </w:pPr>
      <w:r>
        <w:rPr>
          <w:rFonts w:ascii="Times New Roman" w:cs="Times New Roman" w:eastAsia="Times New Roman" w:hAnsi="Times New Roman"/>
          <w:b/>
          <w:bCs/>
          <w:caps/>
          <w:sz w:val="22"/>
          <w:szCs w:val="22"/>
        </w:rPr>
        <w:t xml:space="preserve">Сайт и приём заявок</w:t>
      </w:r>
    </w:p>
    <w:p>
      <w:pPr>
        <w:spacing w:after="80" w:line="264"/>
        <w:ind w:left="480" w:hanging="480"/>
        <w:jc w:val="both"/>
      </w:pP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 xml:space="preserve">✓	</w:t>
      </w: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 xml:space="preserve">Новый сайт с нуля</w:t>
      </w:r>
      <w:r>
        <w:rPr>
          <w:rFonts w:ascii="Times New Roman" w:cs="Times New Roman" w:eastAsia="Times New Roman" w:hAnsi="Times New Roman"/>
          <w:b w:val="false"/>
          <w:bCs w:val="false"/>
          <w:sz w:val="21"/>
          <w:szCs w:val="21"/>
        </w:rPr>
        <w:t xml:space="preserve"> (лендинг-витрина + интеграционный модуль): склады на карте, свободные боксы в реальном времени, цены, онлайн-бронирование и полный самостоятельный чек-ин — выбрал бокс, оплатил, получил доступ и инструкцию без участия менеджера. Контент и данные мигрируются с текущего сайта.</w:t>
      </w:r>
    </w:p>
    <w:p>
      <w:pPr>
        <w:spacing w:after="80" w:line="264"/>
        <w:ind w:left="480" w:hanging="480"/>
        <w:jc w:val="both"/>
      </w:pP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 xml:space="preserve">✓	</w:t>
      </w: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 xml:space="preserve">Подбор бокса:</w:t>
      </w:r>
      <w:r>
        <w:rPr>
          <w:rFonts w:ascii="Times New Roman" w:cs="Times New Roman" w:eastAsia="Times New Roman" w:hAnsi="Times New Roman"/>
          <w:b w:val="false"/>
          <w:bCs w:val="false"/>
          <w:sz w:val="21"/>
          <w:szCs w:val="21"/>
        </w:rPr>
        <w:t xml:space="preserve"> размерные категории (S / M / L / XL / XXL) с понятной визуализацией «что помещается» (по образцу лучших практик); формат подбора уточняется по опросу действующих клиентов Заказчика.</w:t>
      </w:r>
    </w:p>
    <w:p>
      <w:pPr>
        <w:spacing w:after="80" w:line="264"/>
        <w:ind w:left="480" w:hanging="480"/>
        <w:jc w:val="both"/>
      </w:pP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 xml:space="preserve">✓	</w:t>
      </w: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 xml:space="preserve">Канбан заявок:</w:t>
      </w:r>
      <w:r>
        <w:rPr>
          <w:rFonts w:ascii="Times New Roman" w:cs="Times New Roman" w:eastAsia="Times New Roman" w:hAnsi="Times New Roman"/>
          <w:b w:val="false"/>
          <w:bCs w:val="false"/>
          <w:sz w:val="21"/>
          <w:szCs w:val="21"/>
        </w:rPr>
        <w:t xml:space="preserve"> обращения с сайта, WhatsApp, Instagram и звонков в одной воронке с источником (Google ≈45%, рекомендации ≈20%, 2ГИС ≈13%, Instagram ≈11% и др.) и маркетинг-кодами — для оценки каналов и рекламы.</w:t>
      </w:r>
    </w:p>
    <w:p>
      <w:pPr>
        <w:keepNext/>
        <w:spacing w:after="0" w:before="220"/>
      </w:pPr>
      <w:r>
        <w:rPr>
          <w:rFonts w:ascii="Times New Roman" w:cs="Times New Roman" w:eastAsia="Times New Roman" w:hAnsi="Times New Roman"/>
          <w:b/>
          <w:bCs/>
          <w:caps/>
          <w:color w:val="6B7280"/>
          <w:sz w:val="16"/>
          <w:szCs w:val="16"/>
        </w:rPr>
        <w:t xml:space="preserve">Раздел 8</w:t>
      </w:r>
    </w:p>
    <w:p>
      <w:pPr>
        <w:keepNext/>
        <w:spacing w:after="90" w:before="60"/>
      </w:pPr>
      <w:r>
        <w:rPr>
          <w:rFonts w:ascii="Times New Roman" w:cs="Times New Roman" w:eastAsia="Times New Roman" w:hAnsi="Times New Roman"/>
          <w:b/>
          <w:bCs/>
          <w:caps/>
          <w:sz w:val="22"/>
          <w:szCs w:val="22"/>
        </w:rPr>
        <w:t xml:space="preserve">Телефония и WhatsApp</w:t>
      </w:r>
    </w:p>
    <w:p>
      <w:pPr>
        <w:spacing w:after="80" w:line="264"/>
        <w:ind w:left="480" w:hanging="480"/>
        <w:jc w:val="both"/>
      </w:pP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 xml:space="preserve">✓	</w:t>
      </w: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 xml:space="preserve">IP-телефония:</w:t>
      </w:r>
      <w:r>
        <w:rPr>
          <w:rFonts w:ascii="Times New Roman" w:cs="Times New Roman" w:eastAsia="Times New Roman" w:hAnsi="Times New Roman"/>
          <w:b w:val="false"/>
          <w:bCs w:val="false"/>
          <w:sz w:val="21"/>
          <w:szCs w:val="21"/>
        </w:rPr>
        <w:t xml:space="preserve"> действующие номера переводятся в SIP-формат у одного оператора на юрлицо; подключение АТС (Sipuni/Binotel или аналог). Входящие и исходящие звонки: запись разговоров, автоматическое создание карточек, привязка к существующим клиентам. Личные номера сотрудников выводятся из рабочего контура.</w:t>
      </w:r>
    </w:p>
    <w:p>
      <w:pPr>
        <w:spacing w:after="80" w:line="264"/>
        <w:ind w:left="480" w:hanging="480"/>
        <w:jc w:val="both"/>
      </w:pP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 xml:space="preserve">✓	</w:t>
      </w: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 xml:space="preserve">WhatsApp</w:t>
      </w:r>
      <w:r>
        <w:rPr>
          <w:rFonts w:ascii="Times New Roman" w:cs="Times New Roman" w:eastAsia="Times New Roman" w:hAnsi="Times New Roman"/>
          <w:b w:val="false"/>
          <w:bCs w:val="false"/>
          <w:sz w:val="21"/>
          <w:szCs w:val="21"/>
        </w:rPr>
        <w:t xml:space="preserve"> по QR-протоколу (green-API, ≈5 000 ₸/канал/мес): вся переписка и файлы архивируются в системе и привязываются к клиенту; отправка счетов, напоминаний и инструкций. WhatsApp-звонки — вне текущего объёма (появятся после стабилизации официального канала Meta).</w:t>
      </w:r>
    </w:p>
    <w:p>
      <w:r>
        <w:br w:type="page"/>
      </w:r>
    </w:p>
    <w:p>
      <w:pPr>
        <w:keepNext/>
        <w:spacing w:after="0" w:before="220"/>
      </w:pPr>
      <w:r>
        <w:rPr>
          <w:rFonts w:ascii="Times New Roman" w:cs="Times New Roman" w:eastAsia="Times New Roman" w:hAnsi="Times New Roman"/>
          <w:b/>
          <w:bCs/>
          <w:caps/>
          <w:color w:val="6B7280"/>
          <w:sz w:val="16"/>
          <w:szCs w:val="16"/>
        </w:rPr>
        <w:t xml:space="preserve">Раздел 9</w:t>
      </w:r>
    </w:p>
    <w:p>
      <w:pPr>
        <w:keepNext/>
        <w:spacing w:after="90" w:before="60"/>
      </w:pPr>
      <w:r>
        <w:rPr>
          <w:rFonts w:ascii="Times New Roman" w:cs="Times New Roman" w:eastAsia="Times New Roman" w:hAnsi="Times New Roman"/>
          <w:b/>
          <w:bCs/>
          <w:caps/>
          <w:sz w:val="22"/>
          <w:szCs w:val="22"/>
        </w:rPr>
        <w:t xml:space="preserve">Аналитика, роли и админка</w:t>
      </w:r>
    </w:p>
    <w:p>
      <w:pPr>
        <w:spacing w:after="80" w:line="264"/>
        <w:ind w:left="480" w:hanging="480"/>
        <w:jc w:val="both"/>
      </w:pP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 xml:space="preserve">✓	</w:t>
      </w:r>
      <w:r>
        <w:rPr>
          <w:rFonts w:ascii="Times New Roman" w:cs="Times New Roman" w:eastAsia="Times New Roman" w:hAnsi="Times New Roman"/>
          <w:b w:val="false"/>
          <w:bCs w:val="false"/>
          <w:sz w:val="21"/>
          <w:szCs w:val="21"/>
        </w:rPr>
        <w:t xml:space="preserve">Дашборд с показателями сводного файла Заказчика: загрузка, выручка, ставка за м², должники, источники, отток и прогноз; выгрузки в Excel.</w:t>
      </w:r>
    </w:p>
    <w:p>
      <w:pPr>
        <w:spacing w:after="80" w:line="264"/>
        <w:ind w:left="480" w:hanging="480"/>
        <w:jc w:val="both"/>
      </w:pP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 xml:space="preserve">✓	</w:t>
      </w: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 xml:space="preserve">Роли и права доступа:</w:t>
      </w:r>
      <w:r>
        <w:rPr>
          <w:rFonts w:ascii="Times New Roman" w:cs="Times New Roman" w:eastAsia="Times New Roman" w:hAnsi="Times New Roman"/>
          <w:b w:val="false"/>
          <w:bCs w:val="false"/>
          <w:sz w:val="21"/>
          <w:szCs w:val="21"/>
        </w:rPr>
        <w:t xml:space="preserve"> владелец, менеджер, оператор охраны, администратор, клиент. Реализуется стандартная сетка прав: по каждому разделу системы для каждой роли задаётся уровень доступа — нет доступа, просмотр, изменение. </w:t>
      </w: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 xml:space="preserve">Конкретное распределение прав по ролям согласовывается с Заказчиком</w:t>
      </w:r>
      <w:r>
        <w:rPr>
          <w:rFonts w:ascii="Times New Roman" w:cs="Times New Roman" w:eastAsia="Times New Roman" w:hAnsi="Times New Roman"/>
          <w:b w:val="false"/>
          <w:bCs w:val="false"/>
          <w:sz w:val="21"/>
          <w:szCs w:val="21"/>
        </w:rPr>
        <w:t xml:space="preserve"> на этапе ядра и фиксируется письменно; дальше права меняются в админке без обращения к Исполнителю.</w:t>
      </w:r>
    </w:p>
    <w:p>
      <w:pPr>
        <w:spacing w:after="80" w:line="264"/>
        <w:ind w:left="480" w:hanging="480"/>
        <w:jc w:val="both"/>
      </w:pP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 xml:space="preserve">✓	</w:t>
      </w:r>
      <w:r>
        <w:rPr>
          <w:rFonts w:ascii="Times New Roman" w:cs="Times New Roman" w:eastAsia="Times New Roman" w:hAnsi="Times New Roman"/>
          <w:b w:val="false"/>
          <w:bCs w:val="false"/>
          <w:sz w:val="21"/>
          <w:szCs w:val="21"/>
        </w:rPr>
        <w:t xml:space="preserve">Админка: склады, тарифы, юрлица, интеграции, пользователи, скидки.</w:t>
      </w:r>
    </w:p>
    <w:p>
      <w:pPr>
        <w:keepNext/>
        <w:spacing w:after="0" w:before="220"/>
      </w:pPr>
      <w:r>
        <w:rPr>
          <w:rFonts w:ascii="Times New Roman" w:cs="Times New Roman" w:eastAsia="Times New Roman" w:hAnsi="Times New Roman"/>
          <w:b/>
          <w:bCs/>
          <w:caps/>
          <w:color w:val="6B7280"/>
          <w:sz w:val="16"/>
          <w:szCs w:val="16"/>
        </w:rPr>
        <w:t xml:space="preserve">Раздел 10</w:t>
      </w:r>
    </w:p>
    <w:p>
      <w:pPr>
        <w:keepNext/>
        <w:spacing w:after="90" w:before="60"/>
      </w:pPr>
      <w:r>
        <w:rPr>
          <w:rFonts w:ascii="Times New Roman" w:cs="Times New Roman" w:eastAsia="Times New Roman" w:hAnsi="Times New Roman"/>
          <w:b/>
          <w:bCs/>
          <w:caps/>
          <w:sz w:val="22"/>
          <w:szCs w:val="22"/>
        </w:rPr>
        <w:t xml:space="preserve">Резервное копирование и отказоустойчивость</w:t>
      </w:r>
    </w:p>
    <w:p>
      <w:pPr>
        <w:spacing w:after="80" w:line="264"/>
        <w:ind w:left="480" w:hanging="480"/>
        <w:jc w:val="both"/>
      </w:pP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 xml:space="preserve">✓	</w:t>
      </w: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 xml:space="preserve">Резервное копирование</w:t>
      </w:r>
      <w:r>
        <w:rPr>
          <w:rFonts w:ascii="Times New Roman" w:cs="Times New Roman" w:eastAsia="Times New Roman" w:hAnsi="Times New Roman"/>
          <w:b w:val="false"/>
          <w:bCs w:val="false"/>
          <w:sz w:val="21"/>
          <w:szCs w:val="21"/>
        </w:rPr>
        <w:t xml:space="preserve"> выполняется штатными средствами Cloudflare. </w:t>
      </w: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 xml:space="preserve">Глубина хранения копий — 30 дней.</w:t>
      </w:r>
      <w:r>
        <w:rPr>
          <w:rFonts w:ascii="Times New Roman" w:cs="Times New Roman" w:eastAsia="Times New Roman" w:hAnsi="Times New Roman"/>
          <w:b w:val="false"/>
          <w:bCs w:val="false"/>
          <w:sz w:val="21"/>
          <w:szCs w:val="21"/>
        </w:rPr>
        <w:t xml:space="preserve"> Восстановление на любую дату в пределах этого срока выполняется Исполнителем по обращению Заказчика.</w:t>
      </w:r>
    </w:p>
    <w:p>
      <w:pPr>
        <w:spacing w:after="80" w:line="264"/>
        <w:ind w:left="480" w:hanging="480"/>
        <w:jc w:val="both"/>
      </w:pP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 xml:space="preserve">✓	</w:t>
      </w: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 xml:space="preserve">Ежемесячная копия на резервный сервер</w:t>
      </w:r>
      <w:r>
        <w:rPr>
          <w:rFonts w:ascii="Times New Roman" w:cs="Times New Roman" w:eastAsia="Times New Roman" w:hAnsi="Times New Roman"/>
          <w:b w:val="false"/>
          <w:bCs w:val="false"/>
          <w:sz w:val="21"/>
          <w:szCs w:val="21"/>
        </w:rPr>
        <w:t xml:space="preserve">, отличный от основного: раз в месяц полная копия базы и файлов переносится на отдельный сервер, чтобы данные не зависели от одной площадки. Настройка переноса входит в состав работ; оплата самого резервного сервера — за Заказчиком.</w:t>
      </w:r>
    </w:p>
    <w:p>
      <w:pPr>
        <w:spacing w:after="80" w:line="264"/>
        <w:ind w:left="480" w:hanging="480"/>
        <w:jc w:val="both"/>
      </w:pP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 xml:space="preserve">✓	</w:t>
      </w:r>
      <w:r>
        <w:rPr>
          <w:rFonts w:ascii="Times New Roman" w:cs="Times New Roman" w:eastAsia="Times New Roman" w:hAnsi="Times New Roman"/>
          <w:b w:val="false"/>
          <w:bCs w:val="false"/>
          <w:sz w:val="21"/>
          <w:szCs w:val="21"/>
        </w:rPr>
        <w:t xml:space="preserve">Проверка восстановления из копии проводится один раз на этапе полировки и фиксируется в акте приёмки. Отдельное соглашение об уровне доступности сервера (SLA) в состав работ не входит: сервер принадлежит Заказчику, его доступность и оплата — зона ответственности Заказчика.</w:t>
      </w:r>
    </w:p>
    <w:p>
      <w:pPr>
        <w:keepNext/>
        <w:spacing w:after="0" w:before="220"/>
      </w:pPr>
      <w:r>
        <w:rPr>
          <w:rFonts w:ascii="Times New Roman" w:cs="Times New Roman" w:eastAsia="Times New Roman" w:hAnsi="Times New Roman"/>
          <w:b/>
          <w:bCs/>
          <w:caps/>
          <w:color w:val="6B7280"/>
          <w:sz w:val="16"/>
          <w:szCs w:val="16"/>
        </w:rPr>
        <w:t xml:space="preserve">Раздел 11</w:t>
      </w:r>
    </w:p>
    <w:p>
      <w:pPr>
        <w:keepNext/>
        <w:spacing w:after="90" w:before="60"/>
      </w:pPr>
      <w:r>
        <w:rPr>
          <w:rFonts w:ascii="Times New Roman" w:cs="Times New Roman" w:eastAsia="Times New Roman" w:hAnsi="Times New Roman"/>
          <w:b/>
          <w:bCs/>
          <w:caps/>
          <w:sz w:val="22"/>
          <w:szCs w:val="22"/>
        </w:rPr>
        <w:t xml:space="preserve">Этапы, приёмка и границы объёма</w:t>
      </w:r>
    </w:p>
    <w:p>
      <w:pPr>
        <w:spacing w:after="80" w:line="264"/>
        <w:ind w:left="480" w:hanging="480"/>
        <w:jc w:val="both"/>
      </w:pP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 xml:space="preserve">1.	</w:t>
      </w: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 xml:space="preserve">Этап «Ядро»</w:t>
      </w:r>
      <w:r>
        <w:rPr>
          <w:rFonts w:ascii="Times New Roman" w:cs="Times New Roman" w:eastAsia="Times New Roman" w:hAnsi="Times New Roman"/>
          <w:b w:val="false"/>
          <w:bCs w:val="false"/>
          <w:sz w:val="21"/>
          <w:szCs w:val="21"/>
        </w:rPr>
        <w:t xml:space="preserve"> — рабочий каркас всех разделов на данных Заказчика (перенос из текущих таблиц включён). Приёмка — работой в системе. </w:t>
      </w: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 xml:space="preserve">Этап «Полировка»</w:t>
      </w:r>
      <w:r>
        <w:rPr>
          <w:rFonts w:ascii="Times New Roman" w:cs="Times New Roman" w:eastAsia="Times New Roman" w:hAnsi="Times New Roman"/>
          <w:b w:val="false"/>
          <w:bCs w:val="false"/>
          <w:sz w:val="21"/>
          <w:szCs w:val="21"/>
        </w:rPr>
        <w:t xml:space="preserve"> — правки по обратной связи боевого использования, перенос на сервер Заказчика, передача кода и вики.</w:t>
      </w:r>
    </w:p>
    <w:p>
      <w:pPr>
        <w:spacing w:after="80" w:line="264"/>
        <w:ind w:left="480" w:hanging="480"/>
        <w:jc w:val="both"/>
      </w:pP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 xml:space="preserve">2.	</w:t>
      </w:r>
      <w:r>
        <w:rPr>
          <w:rFonts w:ascii="Times New Roman" w:cs="Times New Roman" w:eastAsia="Times New Roman" w:hAnsi="Times New Roman"/>
          <w:b w:val="false"/>
          <w:bCs w:val="false"/>
          <w:sz w:val="21"/>
          <w:szCs w:val="21"/>
        </w:rPr>
        <w:t xml:space="preserve">Оплата: 10% при старте, 45% после утверждения ядра, 45% после полной сдачи. Ошибки исправляются бесплатно; доработки после сдачи — 20 $/час.</w:t>
      </w:r>
    </w:p>
    <w:p>
      <w:pPr>
        <w:spacing w:after="80" w:line="264"/>
        <w:ind w:left="480" w:hanging="480"/>
        <w:jc w:val="both"/>
      </w:pP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 xml:space="preserve">3.	</w:t>
      </w: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 xml:space="preserve">Вне текущего объёма</w:t>
      </w:r>
      <w:r>
        <w:rPr>
          <w:rFonts w:ascii="Times New Roman" w:cs="Times New Roman" w:eastAsia="Times New Roman" w:hAnsi="Times New Roman"/>
          <w:b w:val="false"/>
          <w:bCs w:val="false"/>
          <w:sz w:val="21"/>
          <w:szCs w:val="21"/>
        </w:rPr>
        <w:t xml:space="preserve"> (следующий круг развития, по отдельному согласованию): AI-агент подбора бокса в нерабочее время, аукционы невыкупленных боксов, WhatsApp-звонки, кубометры как единица тарификации, промокоды и программа лояльности, страхование хранимого имущества.</w:t>
      </w:r>
    </w:p>
    <w:p>
      <w:pPr>
        <w:spacing w:after="80" w:line="264"/>
        <w:ind w:left="480" w:hanging="480"/>
        <w:jc w:val="both"/>
      </w:pP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 xml:space="preserve">4.	</w:t>
      </w: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 xml:space="preserve">Просрочка сроков Исполнителем.</w:t>
      </w:r>
      <w:r>
        <w:rPr>
          <w:rFonts w:ascii="Times New Roman" w:cs="Times New Roman" w:eastAsia="Times New Roman" w:hAnsi="Times New Roman"/>
          <w:b w:val="false"/>
          <w:bCs w:val="false"/>
          <w:sz w:val="21"/>
          <w:szCs w:val="21"/>
        </w:rPr>
        <w:t xml:space="preserve"> Ответственность за нарушение срока работ установлена п. 10.4 Договора: неустойка </w:t>
      </w: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 xml:space="preserve">0,5% от общей стоимости работ за каждый календарный день просрочки, но не более 5% от общей стоимости</w:t>
      </w:r>
      <w:r>
        <w:rPr>
          <w:rFonts w:ascii="Times New Roman" w:cs="Times New Roman" w:eastAsia="Times New Roman" w:hAnsi="Times New Roman"/>
          <w:b w:val="false"/>
          <w:bCs w:val="false"/>
          <w:sz w:val="21"/>
          <w:szCs w:val="21"/>
        </w:rPr>
        <w:t xml:space="preserve">. Периоды, вызванные непредоставлением Заказчиком данных, доступов, оборудования или согласований, а также ограничениями сторонних сервисов, при исчислении неустойки не учитываются и соразмерно продлевают срок.</w:t>
      </w:r>
    </w:p>
    <w:tbl>
      <w:tblPr>
        <w:tblW w:type="dxa" w:w="102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5103"/>
        <w:gridCol w:w="5103"/>
      </w:tblGrid>
      <w:tr>
        <w:tc>
          <w:tcPr>
            <w:tcW w:type="dxa" w:w="5103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Исполнитель · ИП «STUDYSTORIES.APP» (бренд Pllato)</w:t>
            </w:r>
          </w:p>
          <w:p>
            <w:pPr>
              <w:pBdr>
                <w:bottom w:val="single" w:color="111111" w:sz="6"/>
              </w:pBdr>
              <w:spacing w:after="40" w:before="280"/>
            </w:pPr>
          </w:p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Подпись, дата</w:t>
            </w:r>
          </w:p>
        </w:tc>
        <w:tc>
          <w:tcPr>
            <w:tcW w:type="dxa" w:w="5103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Заказчик · Мушекбаев А. С.</w:t>
            </w:r>
          </w:p>
          <w:p>
            <w:pPr>
              <w:pBdr>
                <w:bottom w:val="single" w:color="111111" w:sz="6"/>
              </w:pBdr>
              <w:spacing w:after="40" w:before="280"/>
            </w:pPr>
          </w:p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Подпись, дата</w:t>
            </w:r>
          </w:p>
        </w:tc>
      </w:tr>
    </w:tbl>
    <w:sectPr>
      <w:footerReference w:type="default" r:id="rId7"/>
      <w:pgSz w:w="11906" w:h="16838" w:orient="portrait"/>
      <w:pgMar w:top="794" w:right="850" w:bottom="680" w:left="8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/>
      </w:pBdr>
      <w:jc w:val="center"/>
    </w:pPr>
    <w:r>
      <w:rPr>
        <w:rFonts w:ascii="Times New Roman" w:cs="Times New Roman" w:eastAsia="Times New Roman" w:hAnsi="Times New Roman"/>
        <w:color w:val="444444"/>
        <w:sz w:val="16"/>
        <w:szCs w:val="16"/>
      </w:rPr>
      <w:t xml:space="preserve">Техническое задание · приложение № 1 к договору № PL-260910-1 · стр. </w:t>
    </w:r>
    <w:r>
      <w:rPr>
        <w:rFonts w:ascii="Times New Roman" w:cs="Times New Roman" w:eastAsia="Times New Roman" w:hAnsi="Times New Roman"/>
        <w:color w:val="444444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Times New Roman" w:cs="Times New Roman" w:eastAsia="Times New Roman" w:hAnsi="Times New Roman"/>
        <w:color w:val="444444"/>
        <w:sz w:val="16"/>
        <w:szCs w:val="16"/>
      </w:rPr>
      <w:t xml:space="preserve"> из </w:t>
    </w:r>
    <w:r>
      <w:rPr>
        <w:rFonts w:ascii="Times New Roman" w:cs="Times New Roman" w:eastAsia="Times New Roman" w:hAnsi="Times New Roman"/>
        <w:color w:val="444444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Техническое задание</dc:title>
  <dc:creator>Pllato</dc:creator>
  <dc:description>Техническое задание</dc:description>
  <cp:lastModifiedBy>Un-named</cp:lastModifiedBy>
  <cp:revision>1</cp:revision>
  <dcterms:created xsi:type="dcterms:W3CDTF">2026-09-11T15:02:39.000Z</dcterms:created>
  <dcterms:modified xsi:type="dcterms:W3CDTF">2026-09-11T15:02:39.001Z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