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40" w:line="252" w:lineRule="auto"/>
      </w:pPr>
      <w:r>
        <w:rPr>
          <w:rFonts w:ascii="Arial" w:hAnsi="Arial" w:eastAsia="Arial"/>
          <w:b w:val="0"/>
          <w:caps w:val="0"/>
          <w:color w:val="172033"/>
          <w:sz w:val="6"/>
        </w:rPr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КОММЕРЧЕСКОЕ ПРЕДЛОЖЕНИЕ</w:t>
      </w:r>
    </w:p>
    <w:p>
      <w:pPr>
        <w:spacing w:after="120"/>
      </w:pPr>
      <w:r>
        <w:rPr>
          <w:rFonts w:ascii="Arial" w:hAnsi="Arial" w:eastAsia="Arial"/>
          <w:b/>
          <w:caps w:val="0"/>
          <w:color w:val="0B1930"/>
          <w:sz w:val="60"/>
        </w:rPr>
        <w:t>NUK Control</w:t>
      </w:r>
    </w:p>
    <w:p>
      <w:pPr>
        <w:spacing w:before="0" w:after="360" w:line="269" w:lineRule="auto"/>
      </w:pPr>
      <w:r>
        <w:rPr>
          <w:rFonts w:ascii="Arial" w:hAnsi="Arial" w:eastAsia="Arial"/>
          <w:b w:val="0"/>
          <w:caps w:val="0"/>
          <w:color w:val="667085"/>
          <w:sz w:val="25"/>
        </w:rPr>
        <w:t>Собственная цифровая платформа BMW‑авторазбора: от донора и полки до продажи, сайта и управленческой аналитики.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23"/>
      </w:tblGrid>
      <w:tr>
        <w:tc>
          <w:tcPr>
            <w:tcW w:type="dxa" w:w="3305"/>
            <w:shd w:fill="0B1930"/>
            <w:tcMar>
              <w:top w:w="190" w:type="dxa"/>
              <w:start w:w="170" w:type="dxa"/>
              <w:bottom w:w="18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FFFFFF"/>
                <w:sz w:val="32"/>
              </w:rPr>
              <w:t>4 000 USD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полная стоимость</w:t>
            </w:r>
          </w:p>
        </w:tc>
        <w:tc>
          <w:tcPr>
            <w:tcW w:type="dxa" w:w="3305"/>
            <w:shd w:fill="EAF1FF"/>
            <w:tcMar>
              <w:top w:w="190" w:type="dxa"/>
              <w:start w:w="170" w:type="dxa"/>
              <w:bottom w:w="18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2"/>
              </w:rPr>
              <w:t>до 6 недель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0B1930"/>
                <w:sz w:val="15"/>
              </w:rPr>
              <w:t>до промышленного запуска</w:t>
            </w:r>
          </w:p>
        </w:tc>
        <w:tc>
          <w:tcPr>
            <w:tcW w:type="dxa" w:w="3311"/>
            <w:shd w:fill="EAF1FF"/>
            <w:tcMar>
              <w:top w:w="190" w:type="dxa"/>
              <w:start w:w="170" w:type="dxa"/>
              <w:bottom w:w="18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2"/>
              </w:rPr>
              <w:t>400 USD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0B1930"/>
                <w:sz w:val="15"/>
              </w:rPr>
              <w:t>предоплата 10%</w:t>
            </w:r>
          </w:p>
        </w:tc>
      </w:tr>
    </w:tbl>
    <w:p>
      <w:pPr>
        <w:spacing w:before="0" w:after="280" w:line="252" w:lineRule="auto"/>
      </w:pPr>
      <w:r>
        <w:rPr>
          <w:rFonts w:ascii="Arial" w:hAnsi="Arial" w:eastAsia="Arial"/>
          <w:b w:val="0"/>
          <w:caps w:val="0"/>
          <w:color w:val="172033"/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F4F7FC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Результат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Один источник правды по остаткам, продажам и движению каждой запчасти — с живым каталогом на сайте и контролем двух площадок.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spacing w:before="320" w:after="60" w:line="252" w:lineRule="auto"/>
      </w:pPr>
      <w:r>
        <w:rPr>
          <w:rFonts w:ascii="Arial" w:hAnsi="Arial" w:eastAsia="Arial"/>
          <w:b/>
          <w:caps w:val="0"/>
          <w:color w:val="0B1930"/>
          <w:sz w:val="18"/>
        </w:rPr>
        <w:t>Подготовлено для: NUK / Нурлан</w:t>
      </w:r>
    </w:p>
    <w:p>
      <w:pPr>
        <w:spacing w:before="0" w:after="60" w:line="252" w:lineRule="auto"/>
      </w:pPr>
      <w:r>
        <w:rPr>
          <w:rFonts w:ascii="Arial" w:hAnsi="Arial" w:eastAsia="Arial"/>
          <w:b w:val="0"/>
          <w:caps w:val="0"/>
          <w:color w:val="667085"/>
          <w:sz w:val="16"/>
        </w:rPr>
        <w:t>Подготовлено: Pllato · 04 августа 2026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aps w:val="0"/>
          <w:color w:val="667085"/>
          <w:sz w:val="16"/>
        </w:rPr>
        <w:t>Версия 1.0 · для согласования</w:t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01 · ЗАДАЧА БИЗНЕСА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Что мы услышали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NUK нужен не ещё один складской справочник, а рабочая система, которая помогает продавать и масштабировать бизнес.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60–70 тыс.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целевой объём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карточек без искусственного лимита</w:t>
            </w:r>
          </w:p>
        </w:tc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2 площадки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единый остаток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Бесагаш и точка на Суюнбая</w:t>
            </w:r>
          </w:p>
        </w:tc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18–20 тыс.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текущие данные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карточки и фото для миграции из Bazon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80" w:after="10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Ключевые проблемы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Bazon используется главным образом как хранилище карточек, но не связывает склад, продажи, маркетинг и сайт в единый процесс.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Физический склад формировался с 2009 года: требуется адресная раскладка, маркировка и постепенная оцифровка без остановки работы.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Поступления из контейнеров необходимо быстро превращать в товарные карточки: донор → деталь → фото → OEM → состояние → полка.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Клиентские обращения из WhatsApp и звонков не должны теряться; менеджер должен собирать заказ прямо из актуального остатка.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Собственнику нужна аналитика: какие доноры окупаются, что продаётся быстро, что лежит и какие позиции выгодно закупать.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Сайт и реклама должны вести BMW‑аудиторию сразу к конкретной детали, а не генерировать нецелевые звонки по другим маркам.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DF8F2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14804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14804A"/>
                <w:sz w:val="20"/>
              </w:rPr>
              <w:t>Цель проекта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Запустить собственную управляемую платформу NUK, которая остаётся у заказчика, не требует обязательной помесячной лицензии и может подключаться к сайту и внешним каналам через API.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02 · КОНЦЕПЦИЯ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Как будет работать NUK Control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Сквозной процесс строится вокруг единицы товара и её движения — от автомобиля‑донора до выданного заказа.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2"/>
        <w:gridCol w:w="3209"/>
        <w:gridCol w:w="5188"/>
      </w:tblGrid>
      <w:tr>
        <w:trPr>
          <w:tblHeader w:val="true"/>
        </w:trPr>
        <w:tc>
          <w:tcPr>
            <w:tcW w:type="dxa" w:w="1020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Шаг</w:t>
            </w:r>
          </w:p>
        </w:tc>
        <w:tc>
          <w:tcPr>
            <w:tcW w:type="dxa" w:w="3402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Что делает команда</w:t>
            </w:r>
          </w:p>
        </w:tc>
        <w:tc>
          <w:tcPr>
            <w:tcW w:type="dxa" w:w="5499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Что фиксирует система</w:t>
            </w:r>
          </w:p>
        </w:tc>
      </w:tr>
      <w:tr>
        <w:trPr>
          <w:cantSplit/>
        </w:trPr>
        <w:tc>
          <w:tcPr>
            <w:tcW w:type="dxa" w:w="96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1. Донор</w:t>
            </w:r>
          </w:p>
        </w:tc>
        <w:tc>
          <w:tcPr>
            <w:tcW w:type="dxa" w:w="320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Создаёт автомобиль или партию</w:t>
            </w:r>
          </w:p>
        </w:tc>
        <w:tc>
          <w:tcPr>
            <w:tcW w:type="dxa" w:w="518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VIN/модель, кузов, двигатель, год, закупка, источник</w:t>
            </w:r>
          </w:p>
        </w:tc>
      </w:tr>
      <w:tr>
        <w:trPr>
          <w:cantSplit/>
        </w:trPr>
        <w:tc>
          <w:tcPr>
            <w:tcW w:type="dxa" w:w="96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2. Разбор</w:t>
            </w:r>
          </w:p>
        </w:tc>
        <w:tc>
          <w:tcPr>
            <w:tcW w:type="dxa" w:w="320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Назначает детали и исполнителей</w:t>
            </w:r>
          </w:p>
        </w:tc>
        <w:tc>
          <w:tcPr>
            <w:tcW w:type="dxa" w:w="518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План/факт, фото, маркировка, состояние, дефекты</w:t>
            </w:r>
          </w:p>
        </w:tc>
      </w:tr>
      <w:tr>
        <w:trPr>
          <w:cantSplit/>
        </w:trPr>
        <w:tc>
          <w:tcPr>
            <w:tcW w:type="dxa" w:w="96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3. Приёмка</w:t>
            </w:r>
          </w:p>
        </w:tc>
        <w:tc>
          <w:tcPr>
            <w:tcW w:type="dxa" w:w="320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Проверяет и размещает</w:t>
            </w:r>
          </w:p>
        </w:tc>
        <w:tc>
          <w:tcPr>
            <w:tcW w:type="dxa" w:w="518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Количество, себестоимость, склад, зона, стеллаж, полка</w:t>
            </w:r>
          </w:p>
        </w:tc>
      </w:tr>
      <w:tr>
        <w:trPr>
          <w:cantSplit/>
        </w:trPr>
        <w:tc>
          <w:tcPr>
            <w:tcW w:type="dxa" w:w="96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4. Публикация</w:t>
            </w:r>
          </w:p>
        </w:tc>
        <w:tc>
          <w:tcPr>
            <w:tcW w:type="dxa" w:w="320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Дополняет карточку и цену</w:t>
            </w:r>
          </w:p>
        </w:tc>
        <w:tc>
          <w:tcPr>
            <w:tcW w:type="dxa" w:w="518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OEM/кросс‑номера, совместимость, SEO‑страница, доступность</w:t>
            </w:r>
          </w:p>
        </w:tc>
      </w:tr>
      <w:tr>
        <w:trPr>
          <w:cantSplit/>
        </w:trPr>
        <w:tc>
          <w:tcPr>
            <w:tcW w:type="dxa" w:w="96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5. Продажа</w:t>
            </w:r>
          </w:p>
        </w:tc>
        <w:tc>
          <w:tcPr>
            <w:tcW w:type="dxa" w:w="320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Ведёт диалог и собирает заказ</w:t>
            </w:r>
          </w:p>
        </w:tc>
        <w:tc>
          <w:tcPr>
            <w:tcW w:type="dxa" w:w="518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Источник, клиент, резерв, скидка, оплата, ответственный</w:t>
            </w:r>
          </w:p>
        </w:tc>
      </w:tr>
      <w:tr>
        <w:trPr>
          <w:cantSplit/>
        </w:trPr>
        <w:tc>
          <w:tcPr>
            <w:tcW w:type="dxa" w:w="96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6. Выдача</w:t>
            </w:r>
          </w:p>
        </w:tc>
        <w:tc>
          <w:tcPr>
            <w:tcW w:type="dxa" w:w="320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Отгружает или доставляет</w:t>
            </w:r>
          </w:p>
        </w:tc>
        <w:tc>
          <w:tcPr>
            <w:tcW w:type="dxa" w:w="518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Списание, перемещение, возврат, история операции</w:t>
            </w:r>
          </w:p>
        </w:tc>
      </w:tr>
      <w:tr>
        <w:trPr>
          <w:cantSplit/>
        </w:trPr>
        <w:tc>
          <w:tcPr>
            <w:tcW w:type="dxa" w:w="96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7. Аналитика</w:t>
            </w:r>
          </w:p>
        </w:tc>
        <w:tc>
          <w:tcPr>
            <w:tcW w:type="dxa" w:w="320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Принимает решение по закупке</w:t>
            </w:r>
          </w:p>
        </w:tc>
        <w:tc>
          <w:tcPr>
            <w:tcW w:type="dxa" w:w="518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Маржа, оборачиваемость, окупаемость донора, залежалость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6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Главный принцип</w:t>
      </w:r>
    </w:p>
    <w:p>
      <w:pPr>
        <w:spacing w:before="0" w:after="140" w:line="252" w:lineRule="auto"/>
      </w:pPr>
      <w:r>
        <w:rPr>
          <w:rFonts w:ascii="Arial" w:hAnsi="Arial" w:eastAsia="Arial"/>
          <w:b w:val="0"/>
          <w:caps w:val="0"/>
          <w:color w:val="172033"/>
          <w:sz w:val="20"/>
        </w:rPr>
        <w:t>Склад является ядром. Сайт, CRM, продажи, партнёрские коды и отчёты читают одни и те же актуальные данные — без ручного дублирования карточек.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Единый идентификатор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Каждая запчасть получает уникальный код и историю от донора до продажи.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Адресное хранение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Система показывает точное место: площадка, зона, стеллаж и полка.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Живой остаток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Резерв и продажа сразу меняют доступность внутри NUK Control и на сайте.</w:t>
            </w:r>
          </w:p>
        </w:tc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Контроль собственника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Риски, деньги, залежалость и результат команды видны в одном пульте.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03 · ВНУТРЕННЯЯ ПЛАТФОРМА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Модули NUK Control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Рабочее пространство для собственника, склада, цеха, продаж и маркетинга.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Пульт собственника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Продажи, маржа, остаток, просроченные резервы, проблемные доноры, AI‑сигналы и отклонения по двум точкам.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Доноры и разбор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Карточка автомобиля/партии, состав деталей, задания цеху, план/факт, закупочная стоимость и окупаемость.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Поступления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Приёмка контейнера, пакетное создание позиций, фото, маркировка, качество и распределение по складам.</w:t>
            </w:r>
          </w:p>
        </w:tc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Каталог запчастей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OEM и кросс‑номера, BMW модель/кузов/двигатель/год, состояние, цена, себестоимость, совместимость и фото.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Адресный склад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Бесагаш / Суюнбая, зоны, стеллажи и полки; приход, расход, перемещение, резерв, списание и инвентаризация.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Продажи и заказы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Воронка заявок, подбор из остатка, коммерческое предложение, резерв, оплата, выдача, доставка и возврат.</w:t>
            </w:r>
          </w:p>
        </w:tc>
      </w:tr>
      <w:tr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CRM и коммуникации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Клиент, автомобиль, история покупок, WhatsApp‑диалог, звонки, источник обращения и следующий шаг.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Задачи команды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Доска по этапам для склада, цеха, продаж и контента; сроки, ответственные, чек‑листы и вложения.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Финансы и аналитика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Выручка, валовая маржа, оборачиваемость, ABC/XYZ, залежалость, окупаемость доноров и прогноз закупки.</w:t>
            </w:r>
          </w:p>
        </w:tc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Маркетинг и партнёры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Рекламные метки, источник сделки, реферальные коды СТО/блогеров, скидка клиенту и начисление партнёру.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Важно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Интерфейс проектируется под реальные роли и операции NUK. Сотрудник видит только нужные действия, а собственник — полную картину и журнал изменений.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04 · КЛИЕНТСКИЙ КОНТУР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Каталог BMW‑запчастей на сайте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Отдельная витрина синхронизируется с NUK Control и показывает клиенту только реально доступные позиции.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Умный поиск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По OEM, кросс‑номеру, названию, модели, кузову, поколению, двигателю, году и ключевым словам.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Фильтры совместимости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BMW‑ориентированная структура исключает нецелевой трафик и помогает подобрать деталь к автомобилю.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Реальные фото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В карточке показываются фото конкретной б/у детали, её состояние, дефекты, маркировка и расположение.</w:t>
            </w:r>
          </w:p>
        </w:tc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Живое наличие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Статусы «в наличии», «резерв», «продано», доступная точка и срок перемещения обновляются из склада.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Быстрый запрос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Кнопка WhatsApp/звонка передаёт менеджеру выбранную позицию, OEM, UTM‑источник и контакт клиента.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Базовое SEO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Индексируемые страницы деталей, человекопонятные URL, мета‑данные и карта сайта для запросов по OEM/модели.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60" w:after="10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Что увидит клиент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9"/>
        <w:gridCol w:w="7220"/>
      </w:tblGrid>
      <w:tr>
        <w:trPr>
          <w:tblHeader w:val="true"/>
        </w:trPr>
        <w:tc>
          <w:tcPr>
            <w:tcW w:type="dxa" w:w="2268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6"/>
              </w:rPr>
              <w:t>Экран</w:t>
            </w:r>
          </w:p>
        </w:tc>
        <w:tc>
          <w:tcPr>
            <w:tcW w:type="dxa" w:w="7654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6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13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Каталог</w:t>
            </w:r>
          </w:p>
        </w:tc>
        <w:tc>
          <w:tcPr>
            <w:tcW w:type="dxa" w:w="722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Поиск, модель BMW, кузов, категория, цена, точка, наличие, сортировка</w:t>
            </w:r>
          </w:p>
        </w:tc>
      </w:tr>
      <w:tr>
        <w:trPr>
          <w:cantSplit/>
        </w:trPr>
        <w:tc>
          <w:tcPr>
            <w:tcW w:type="dxa" w:w="213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Карточка детали</w:t>
            </w:r>
          </w:p>
        </w:tc>
        <w:tc>
          <w:tcPr>
            <w:tcW w:type="dxa" w:w="722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Фото, OEM, совместимость, состояние, дефекты, цена, наличие, запрос менеджеру</w:t>
            </w:r>
          </w:p>
        </w:tc>
      </w:tr>
      <w:tr>
        <w:trPr>
          <w:cantSplit/>
        </w:trPr>
        <w:tc>
          <w:tcPr>
            <w:tcW w:type="dxa" w:w="213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Подбор</w:t>
            </w:r>
          </w:p>
        </w:tc>
        <w:tc>
          <w:tcPr>
            <w:tcW w:type="dxa" w:w="722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Заявка по VIN/госномеру и списку нужных деталей, вложение фото</w:t>
            </w:r>
          </w:p>
        </w:tc>
      </w:tr>
      <w:tr>
        <w:trPr>
          <w:cantSplit/>
        </w:trPr>
        <w:tc>
          <w:tcPr>
            <w:tcW w:type="dxa" w:w="213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Контакты</w:t>
            </w:r>
          </w:p>
        </w:tc>
        <w:tc>
          <w:tcPr>
            <w:tcW w:type="dxa" w:w="722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Две площадки, карта, график, WhatsApp, телефония и маршрут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Демо интерфейса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Текущий кликабельный прототип показывает предлагаемую логику: pllato.kz/app/nukrazbor.html и отдельную витрину pllato.kz/app/nukrazbor-catalog.html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05 · МИГРАЦИЯ И ИНТЕГРАЦИИ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Перенос данных без остановки работы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Миграция выполняется после технического аудита выгрузки Bazon и согласования контрольной выборки.</w:t>
      </w:r>
    </w:p>
    <w:p>
      <w:pPr>
        <w:keepNext/>
        <w:spacing w:before="0" w:after="10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План миграции Bazon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Получить официальный экспорт/API либо согласованный файл‑выгрузку и каталог фотографий.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Построить карту полей: карточка, OEM/кроссы, автомобиль, состояние, цена, фото, склад, история и клиентские связи.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Очистить дубли, проверить обязательные поля и сформировать отчёт по записям, требующим ручного решения.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Импортировать контрольную выборку и письменно утвердить результат на 50–100 карточках.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Перенести основной массив ориентировочно 18–20 тыс. карточек и выполнить сверку количества, фото и статусов.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Зафиксировать дату переключения и сохранить исходный экспорт как архив для возможной проверки.</w:t>
      </w:r>
    </w:p>
    <w:p>
      <w:pPr>
        <w:keepNext/>
        <w:spacing w:before="140" w:after="10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Интеграционные каналы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8"/>
        <w:gridCol w:w="3797"/>
        <w:gridCol w:w="3904"/>
      </w:tblGrid>
      <w:tr>
        <w:trPr>
          <w:tblHeader w:val="true"/>
        </w:trPr>
        <w:tc>
          <w:tcPr>
            <w:tcW w:type="dxa" w:w="1757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Канал</w:t>
            </w:r>
          </w:p>
        </w:tc>
        <w:tc>
          <w:tcPr>
            <w:tcW w:type="dxa" w:w="4025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Что делаем</w:t>
            </w:r>
          </w:p>
        </w:tc>
        <w:tc>
          <w:tcPr>
            <w:tcW w:type="dxa" w:w="4139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Условие</w:t>
            </w:r>
          </w:p>
        </w:tc>
      </w:tr>
      <w:tr>
        <w:trPr>
          <w:cantSplit/>
        </w:trPr>
        <w:tc>
          <w:tcPr>
            <w:tcW w:type="dxa" w:w="165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Сайт NUK</w:t>
            </w:r>
          </w:p>
        </w:tc>
        <w:tc>
          <w:tcPr>
            <w:tcW w:type="dxa" w:w="37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Двусторонний каталог, наличие, заявки</w:t>
            </w:r>
          </w:p>
        </w:tc>
        <w:tc>
          <w:tcPr>
            <w:tcW w:type="dxa" w:w="3904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Входит в проект</w:t>
            </w:r>
          </w:p>
        </w:tc>
      </w:tr>
      <w:tr>
        <w:trPr>
          <w:cantSplit/>
        </w:trPr>
        <w:tc>
          <w:tcPr>
            <w:tcW w:type="dxa" w:w="165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WhatsApp Business</w:t>
            </w:r>
          </w:p>
        </w:tc>
        <w:tc>
          <w:tcPr>
            <w:tcW w:type="dxa" w:w="379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Диалоги и создание сделки</w:t>
            </w:r>
          </w:p>
        </w:tc>
        <w:tc>
          <w:tcPr>
            <w:tcW w:type="dxa" w:w="3904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Официальный номер/API заказчика</w:t>
            </w:r>
          </w:p>
        </w:tc>
      </w:tr>
      <w:tr>
        <w:trPr>
          <w:cantSplit/>
        </w:trPr>
        <w:tc>
          <w:tcPr>
            <w:tcW w:type="dxa" w:w="165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Телефония</w:t>
            </w:r>
          </w:p>
        </w:tc>
        <w:tc>
          <w:tcPr>
            <w:tcW w:type="dxa" w:w="37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Звонки, запись, привязка к клиенту</w:t>
            </w:r>
          </w:p>
        </w:tc>
        <w:tc>
          <w:tcPr>
            <w:tcW w:type="dxa" w:w="3904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Выбранный оператор и SIP/API</w:t>
            </w:r>
          </w:p>
        </w:tc>
      </w:tr>
      <w:tr>
        <w:trPr>
          <w:cantSplit/>
        </w:trPr>
        <w:tc>
          <w:tcPr>
            <w:tcW w:type="dxa" w:w="165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Kolesa / площадки</w:t>
            </w:r>
          </w:p>
        </w:tc>
        <w:tc>
          <w:tcPr>
            <w:tcW w:type="dxa" w:w="379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Фид/выгрузка карточек и статусов</w:t>
            </w:r>
          </w:p>
        </w:tc>
        <w:tc>
          <w:tcPr>
            <w:tcW w:type="dxa" w:w="3904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Только при наличии разрешённого API/формата</w:t>
            </w:r>
          </w:p>
        </w:tc>
      </w:tr>
      <w:tr>
        <w:trPr>
          <w:cantSplit/>
        </w:trPr>
        <w:tc>
          <w:tcPr>
            <w:tcW w:type="dxa" w:w="165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Реклама</w:t>
            </w:r>
          </w:p>
        </w:tc>
        <w:tc>
          <w:tcPr>
            <w:tcW w:type="dxa" w:w="37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UTM/источник/кампания в карточке сделки</w:t>
            </w:r>
          </w:p>
        </w:tc>
        <w:tc>
          <w:tcPr>
            <w:tcW w:type="dxa" w:w="3904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Доступы к рекламным кабинетам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FFF5EB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B54708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B54708"/>
                <w:sz w:val="20"/>
              </w:rPr>
              <w:t>Ограничение внешних сервисов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Pllato не обещает обход ограничений сторонних площадок. Если сервис не предоставляет официальный API, фид или разрешённый импорт, в проекте готовится совместимый файл/процесс там, где это допускают правила сервиса.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06 · РЕАЛИЗАЦИЯ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План запуска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Работа идёт короткими циклами: NUK получает рабочее ядро в первые 7–10 дней, затем команда ежедневно уточняет реальные операции.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3"/>
        <w:gridCol w:w="2032"/>
        <w:gridCol w:w="6043"/>
      </w:tblGrid>
      <w:tr>
        <w:trPr>
          <w:tblHeader w:val="true"/>
        </w:trPr>
        <w:tc>
          <w:tcPr>
            <w:tcW w:type="dxa" w:w="1361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Период</w:t>
            </w:r>
          </w:p>
        </w:tc>
        <w:tc>
          <w:tcPr>
            <w:tcW w:type="dxa" w:w="2154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Результат</w:t>
            </w:r>
          </w:p>
        </w:tc>
        <w:tc>
          <w:tcPr>
            <w:tcW w:type="dxa" w:w="6406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Состав работ</w:t>
            </w:r>
          </w:p>
        </w:tc>
      </w:tr>
      <w:tr>
        <w:trPr>
          <w:cantSplit/>
        </w:trPr>
        <w:tc>
          <w:tcPr>
            <w:tcW w:type="dxa" w:w="128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Дни 1–3</w:t>
            </w:r>
          </w:p>
        </w:tc>
        <w:tc>
          <w:tcPr>
            <w:tcW w:type="dxa" w:w="203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Проектирование</w:t>
            </w:r>
          </w:p>
        </w:tc>
        <w:tc>
          <w:tcPr>
            <w:tcW w:type="dxa" w:w="604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Интервью ролей, процессы, карта данных, протокол интеграций, план миграции</w:t>
            </w:r>
          </w:p>
        </w:tc>
      </w:tr>
      <w:tr>
        <w:trPr>
          <w:cantSplit/>
        </w:trPr>
        <w:tc>
          <w:tcPr>
            <w:tcW w:type="dxa" w:w="128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Дни 4–10</w:t>
            </w:r>
          </w:p>
        </w:tc>
        <w:tc>
          <w:tcPr>
            <w:tcW w:type="dxa" w:w="203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Рабочее ядро</w:t>
            </w:r>
          </w:p>
        </w:tc>
        <w:tc>
          <w:tcPr>
            <w:tcW w:type="dxa" w:w="604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Роли, доноры, каталог, остатки, адресный склад, базовые продажи и тестовый сервер</w:t>
            </w:r>
          </w:p>
        </w:tc>
      </w:tr>
      <w:tr>
        <w:trPr>
          <w:cantSplit/>
        </w:trPr>
        <w:tc>
          <w:tcPr>
            <w:tcW w:type="dxa" w:w="128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Недели 2–3</w:t>
            </w:r>
          </w:p>
        </w:tc>
        <w:tc>
          <w:tcPr>
            <w:tcW w:type="dxa" w:w="203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Операционный MVP</w:t>
            </w:r>
          </w:p>
        </w:tc>
        <w:tc>
          <w:tcPr>
            <w:tcW w:type="dxa" w:w="604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Поступления, разбор, заказы, CRM, задачи, инвентаризация, две площадки</w:t>
            </w:r>
          </w:p>
        </w:tc>
      </w:tr>
      <w:tr>
        <w:trPr>
          <w:cantSplit/>
        </w:trPr>
        <w:tc>
          <w:tcPr>
            <w:tcW w:type="dxa" w:w="128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Недели 3–4</w:t>
            </w:r>
          </w:p>
        </w:tc>
        <w:tc>
          <w:tcPr>
            <w:tcW w:type="dxa" w:w="203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Клиентский контур</w:t>
            </w:r>
          </w:p>
        </w:tc>
        <w:tc>
          <w:tcPr>
            <w:tcW w:type="dxa" w:w="604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Каталог сайта, поиск, карточка детали, заявки, базовое SEO, источники</w:t>
            </w:r>
          </w:p>
        </w:tc>
      </w:tr>
      <w:tr>
        <w:trPr>
          <w:cantSplit/>
        </w:trPr>
        <w:tc>
          <w:tcPr>
            <w:tcW w:type="dxa" w:w="128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Недели 4–5</w:t>
            </w:r>
          </w:p>
        </w:tc>
        <w:tc>
          <w:tcPr>
            <w:tcW w:type="dxa" w:w="203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Данные и аналитика</w:t>
            </w:r>
          </w:p>
        </w:tc>
        <w:tc>
          <w:tcPr>
            <w:tcW w:type="dxa" w:w="604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Контрольная миграция Bazon, отчёты, партнёры, доработка ролей</w:t>
            </w:r>
          </w:p>
        </w:tc>
      </w:tr>
      <w:tr>
        <w:trPr>
          <w:cantSplit/>
        </w:trPr>
        <w:tc>
          <w:tcPr>
            <w:tcW w:type="dxa" w:w="128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Недели 5–6</w:t>
            </w:r>
          </w:p>
        </w:tc>
        <w:tc>
          <w:tcPr>
            <w:tcW w:type="dxa" w:w="203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Полировка и сдача</w:t>
            </w:r>
          </w:p>
        </w:tc>
        <w:tc>
          <w:tcPr>
            <w:tcW w:type="dxa" w:w="604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Обучение, проверка сценариев, перенос, документация, промышленный запуск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10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Включённые результаты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Программный продукт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NUK Control и адаптивный каталог для сайта.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Развёртывание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Настройка тестового и рабочего окружения заказчика.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Миграция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Импорт доступных данных Bazon после контрольной сверки.</w:t>
            </w:r>
          </w:p>
        </w:tc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Обучение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Сессии для собственника, склада, цеха и продаж.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Документация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Краткие инструкции по ролям и ключевым операциям.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Гарантия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30 календарных дней исправления дефектов после приёмки.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Формат согласования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Каждый этап демонстрируется на рабочем стенде. Замечания фиксируются единым списком; согласованное ядро становится основанием для второго платежа.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07 · СТОИМОСТЬ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Коммерческие условия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Фиксированная стоимость охватывает разработку платформы, клиентского каталога и согласованный объём интеграций. Оплата производится в тенге по официальному курсу Национального Банка РК на дату платежа.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46"/>
        <w:gridCol w:w="2513"/>
      </w:tblGrid>
      <w:tr>
        <w:trPr>
          <w:tblHeader w:val="true"/>
        </w:trPr>
        <w:tc>
          <w:tcPr>
            <w:tcW w:type="dxa" w:w="7257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7"/>
              </w:rPr>
              <w:t>Часть проекта</w:t>
            </w:r>
          </w:p>
        </w:tc>
        <w:tc>
          <w:tcPr>
            <w:tcW w:type="dxa" w:w="2665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7"/>
              </w:rPr>
              <w:t>Стоимость</w:t>
            </w:r>
          </w:p>
        </w:tc>
      </w:tr>
      <w:tr>
        <w:trPr>
          <w:cantSplit/>
        </w:trPr>
        <w:tc>
          <w:tcPr>
            <w:tcW w:type="dxa" w:w="68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NUK Control: склад, доноры, CRM, задачи, аналитика, роли и API</w:t>
            </w:r>
          </w:p>
        </w:tc>
        <w:tc>
          <w:tcPr>
            <w:tcW w:type="dxa" w:w="251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3 200 USD</w:t>
            </w:r>
          </w:p>
        </w:tc>
      </w:tr>
      <w:tr>
        <w:trPr>
          <w:cantSplit/>
        </w:trPr>
        <w:tc>
          <w:tcPr>
            <w:tcW w:type="dxa" w:w="684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Клиентский BMW‑каталог, интеграция с сайтом и базовое техническое SEO</w:t>
            </w:r>
          </w:p>
        </w:tc>
        <w:tc>
          <w:tcPr>
            <w:tcW w:type="dxa" w:w="251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800 USD</w:t>
            </w:r>
          </w:p>
        </w:tc>
      </w:tr>
      <w:tr>
        <w:trPr>
          <w:cantSplit/>
        </w:trPr>
        <w:tc>
          <w:tcPr>
            <w:tcW w:type="dxa" w:w="68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Итого по предложению</w:t>
            </w:r>
          </w:p>
        </w:tc>
        <w:tc>
          <w:tcPr>
            <w:tcW w:type="dxa" w:w="251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4 000 USD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140" w:after="10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График оплаты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10%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400 USD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предоплата после подписания</w:t>
            </w:r>
          </w:p>
        </w:tc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45%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1 800 USD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после согласования ядра</w:t>
            </w:r>
          </w:p>
        </w:tc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45%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1 800 USD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после приёмки MVP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8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В стоимость не входят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сервер/облачная инфраструктура, домен, платные API, WhatsApp Business, телефония и комиссии внешних сервисов;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рекламный бюджет, ведение рекламы, регулярное SEO‑продвижение и создание контента после запуска;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ручная оцифровка физических остатков силами Pllato и исправление недостоверных исходных данных;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интеграции, которые не описаны в итоговом ТЗ либо требуют платного/закрытого API третьей стороны.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DF8F2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14804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14804A"/>
                <w:sz w:val="20"/>
              </w:rPr>
              <w:t>Права и эксплуатация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После полной оплаты заказчик получает право использования результата и развёртывание на своём сервере. Обязательная ежемесячная лицензия Pllato не предусмотрена; инфраструктура и внешние сервисы оплачиваются отдельно.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08 · СЛЕДУЮЩИЙ ШАГ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Что нужно для старта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Проект можно начать сразу после согласования ТЗ, коммерческих условий и ответственных со стороны NUK.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Подтвердить функциональные границы и приоритеты первой рабочей версии.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Назначить владельца процесса со стороны NUK и представителей склада, цеха и продаж.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Предоставить тестовый экспорт Bazon, доступ к фотоархиву и список текущих справочников.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Подтвердить адресную модель двух площадок и правила резервов, списаний, возвратов и скидок.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Выбрать официальные каналы WhatsApp/телефонии и предоставить технические доступы после старта.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Подписать договор и внести предоплату 400 USD.</w:t>
      </w:r>
    </w:p>
    <w:p>
      <w:pPr>
        <w:keepNext/>
        <w:spacing w:before="16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Критерий успеха</w:t>
      </w:r>
    </w:p>
    <w:p>
      <w:pPr>
        <w:spacing w:before="0" w:after="240" w:line="276" w:lineRule="auto"/>
      </w:pPr>
      <w:r>
        <w:rPr>
          <w:rFonts w:ascii="Arial" w:hAnsi="Arial" w:eastAsia="Arial"/>
          <w:b w:val="0"/>
          <w:caps w:val="0"/>
          <w:color w:val="172033"/>
          <w:sz w:val="22"/>
        </w:rPr>
        <w:t>Сотрудник NUK за один рабочий цикл принимает деталь, размещает её на конкретной полке, публикует на сайте, создаёт резерв из обращения и выдаёт заказ. Собственник видит остаток, деньги и результат по каждой площадке без ручной сверки.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Готовы к запуску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Команда Pllato берёт на себя проектирование, разработку, перенос данных, настройку и обучение. Со стороны NUK нужны быстрые решения по процессам и доступ к исходным данным.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spacing w:before="400" w:after="60" w:line="252" w:lineRule="auto"/>
      </w:pPr>
      <w:r>
        <w:rPr>
          <w:rFonts w:ascii="Arial" w:hAnsi="Arial" w:eastAsia="Arial"/>
          <w:b/>
          <w:caps w:val="0"/>
          <w:color w:val="0B1930"/>
          <w:sz w:val="36"/>
        </w:rPr>
        <w:t>Pllato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aps w:val="0"/>
          <w:color w:val="667085"/>
          <w:sz w:val="20"/>
        </w:rPr>
        <w:t>Автоматизация, которая становится частью бизнеса заказчика.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1906" w:h="16838"/>
      <w:pgMar w:top="879" w:right="935" w:bottom="822" w:left="93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b w:val="0"/>
        <w:caps w:val="0"/>
        <w:color w:val="667085"/>
        <w:sz w:val="14"/>
      </w:rPr>
      <w:t>Pllato · автоматизация бизнеса  |  Конфиденциально</w:t>
    </w:r>
    <w:r>
      <w:rPr>
        <w:rFonts w:ascii="Arial" w:hAnsi="Arial" w:eastAsia="Arial"/>
        <w:b w:val="0"/>
        <w:caps w:val="0"/>
        <w:color w:val="667085"/>
        <w:sz w:val="14"/>
      </w:rPr>
      <w:t xml:space="preserve">                                  стр. </w:t>
      <w:fldChar w:fldCharType="begin"/>
      <w:instrText xml:space="preserve">PAGE</w:instrText>
      <w:fldChar w:fldCharType="separate"/>
      <w:fldChar w:fldCharType="end"/>
    </w:r>
    <w:r>
      <w:rPr>
        <w:rFonts w:ascii="Arial" w:hAnsi="Arial" w:eastAsia="Arial"/>
        <w:b w:val="0"/>
        <w:caps w:val="0"/>
        <w:color w:val="667085"/>
        <w:sz w:val="14"/>
      </w:rPr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b w:val="0"/>
        <w:caps w:val="0"/>
        <w:color w:val="667085"/>
        <w:sz w:val="14"/>
      </w:rPr>
      <w:t>Pllato · автоматизация бизнеса  |  Конфиденциально</w:t>
    </w:r>
    <w:r>
      <w:rPr>
        <w:rFonts w:ascii="Arial" w:hAnsi="Arial" w:eastAsia="Arial"/>
        <w:b w:val="0"/>
        <w:caps w:val="0"/>
        <w:color w:val="667085"/>
        <w:sz w:val="14"/>
      </w:rPr>
      <w:t xml:space="preserve">                                  стр. </w:t>
      <w:fldChar w:fldCharType="begin"/>
      <w:instrText xml:space="preserve">PAGE</w:instrText>
      <w:fldChar w:fldCharType="separate"/>
      <w:fldChar w:fldCharType="end"/>
    </w:r>
    <w:r>
      <w:rPr>
        <w:rFonts w:ascii="Arial" w:hAnsi="Arial" w:eastAsia="Arial"/>
        <w:b w:val="0"/>
        <w:caps w:val="0"/>
        <w:color w:val="667085"/>
        <w:sz w:val="14"/>
      </w:rPr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5017"/>
          <w:tcMar>
            <w:top w:w="40" w:type="dxa"/>
            <w:start w:w="0" w:type="dxa"/>
            <w:bottom w:w="40" w:type="dxa"/>
            <w:end w:w="80" w:type="dxa"/>
          </w:tcMar>
          <w:tcBorders>
            <w:bottom w:val="single" w:sz="10" w:color="2A6FF0"/>
          </w:tcBorders>
        </w:tcPr>
        <w:p>
          <w:pPr>
            <w:jc w:val="left"/>
          </w:pPr>
          <w:r>
            <w:rPr>
              <w:rFonts w:ascii="Arial" w:hAnsi="Arial" w:eastAsia="Arial"/>
              <w:b/>
              <w:caps w:val="0"/>
              <w:color w:val="2A6FF0"/>
              <w:sz w:val="30"/>
            </w:rPr>
            <w:t>NUK</w:t>
          </w:r>
          <w:r>
            <w:rPr>
              <w:rFonts w:ascii="Arial" w:hAnsi="Arial" w:eastAsia="Arial"/>
              <w:b/>
              <w:caps w:val="0"/>
              <w:color w:val="0B1930"/>
              <w:sz w:val="16"/>
            </w:rPr>
            <w:t xml:space="preserve">  ×  PLLATO</w:t>
          </w:r>
        </w:p>
      </w:tc>
      <w:tc>
        <w:tcPr>
          <w:tcW w:type="dxa" w:w="5017"/>
          <w:tcMar>
            <w:top w:w="40" w:type="dxa"/>
            <w:start w:w="80" w:type="dxa"/>
            <w:bottom w:w="40" w:type="dxa"/>
            <w:end w:w="0" w:type="dxa"/>
          </w:tcMar>
          <w:tcBorders>
            <w:bottom w:val="single" w:sz="10" w:color="2A6FF0"/>
          </w:tcBorders>
        </w:tcPr>
        <w:p>
          <w:pPr>
            <w:jc w:val="right"/>
          </w:pPr>
          <w:r>
            <w:rPr>
              <w:rFonts w:ascii="Arial" w:hAnsi="Arial" w:eastAsia="Arial"/>
              <w:b/>
              <w:caps/>
              <w:color w:val="667085"/>
              <w:sz w:val="14"/>
            </w:rPr>
            <w:t>КОММЕРЧЕСКОЕ ПРЕДЛОЖЕНИЕ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5017"/>
          <w:tcMar>
            <w:top w:w="40" w:type="dxa"/>
            <w:start w:w="0" w:type="dxa"/>
            <w:bottom w:w="40" w:type="dxa"/>
            <w:end w:w="80" w:type="dxa"/>
          </w:tcMar>
          <w:tcBorders>
            <w:bottom w:val="single" w:sz="10" w:color="2A6FF0"/>
          </w:tcBorders>
        </w:tcPr>
        <w:p>
          <w:pPr>
            <w:jc w:val="left"/>
          </w:pPr>
          <w:r>
            <w:rPr>
              <w:rFonts w:ascii="Arial" w:hAnsi="Arial" w:eastAsia="Arial"/>
              <w:b/>
              <w:caps w:val="0"/>
              <w:color w:val="2A6FF0"/>
              <w:sz w:val="30"/>
            </w:rPr>
            <w:t>NUK</w:t>
          </w:r>
          <w:r>
            <w:rPr>
              <w:rFonts w:ascii="Arial" w:hAnsi="Arial" w:eastAsia="Arial"/>
              <w:b/>
              <w:caps w:val="0"/>
              <w:color w:val="0B1930"/>
              <w:sz w:val="16"/>
            </w:rPr>
            <w:t xml:space="preserve">  ×  PLLATO</w:t>
          </w:r>
        </w:p>
      </w:tc>
      <w:tc>
        <w:tcPr>
          <w:tcW w:type="dxa" w:w="5017"/>
          <w:tcMar>
            <w:top w:w="40" w:type="dxa"/>
            <w:start w:w="80" w:type="dxa"/>
            <w:bottom w:w="40" w:type="dxa"/>
            <w:end w:w="0" w:type="dxa"/>
          </w:tcMar>
          <w:tcBorders>
            <w:bottom w:val="single" w:sz="10" w:color="2A6FF0"/>
          </w:tcBorders>
        </w:tcPr>
        <w:p>
          <w:pPr>
            <w:jc w:val="right"/>
          </w:pPr>
          <w:r>
            <w:rPr>
              <w:rFonts w:ascii="Arial" w:hAnsi="Arial" w:eastAsia="Arial"/>
              <w:b/>
              <w:caps/>
              <w:color w:val="667085"/>
              <w:sz w:val="14"/>
            </w:rPr>
            <w:t>КОММЕРЧЕСКОЕ ПРЕДЛОЖЕНИЕ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 w:eastAsia="Arial"/>
      <w:color w:val="1720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B19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B19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A6FF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B193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12" w:hanging="142"/>
      <w:contextualSpacing/>
    </w:pPr>
    <w:rPr>
      <w:rFonts w:ascii="Arial" w:hAnsi="Arial" w:eastAsia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12" w:hanging="142"/>
      <w:contextualSpacing/>
    </w:pPr>
    <w:rPr>
      <w:rFonts w:ascii="Arial" w:hAnsi="Arial" w:eastAsia="Arial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