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100"/>
      </w:pPr>
      <w:r>
        <w:rPr>
          <w:rFonts w:ascii="Aptos" w:hAnsi="Aptos"/>
          <w:b/>
          <w:i w:val="0"/>
          <w:color w:val="A67034"/>
          <w:sz w:val="20"/>
        </w:rPr>
        <w:t>КОММЕРЧЕСКОЕ ПРЕДЛОЖЕНИЕ</w:t>
      </w:r>
    </w:p>
    <w:p>
      <w:pPr>
        <w:spacing w:after="160"/>
        <w:jc w:val="center"/>
      </w:pPr>
      <w:r>
        <w:rPr>
          <w:rFonts w:ascii="Aptos" w:hAnsi="Aptos"/>
          <w:b/>
          <w:i w:val="0"/>
          <w:color w:val="0B1220"/>
          <w:sz w:val="62"/>
        </w:rPr>
        <w:t>Единая CRM-система</w:t>
        <w:br/>
        <w:t>«Окна Сервис»</w:t>
      </w:r>
    </w:p>
    <w:p>
      <w:pPr>
        <w:spacing w:after="360"/>
        <w:jc w:val="center"/>
      </w:pPr>
      <w:r>
        <w:rPr>
          <w:rFonts w:ascii="Aptos" w:hAnsi="Aptos"/>
          <w:b/>
          <w:i w:val="0"/>
          <w:color w:val="64748B"/>
          <w:sz w:val="28"/>
        </w:rPr>
        <w:t>От заказа до прибыли проекта — без повторного ввода данных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605"/>
            <w:shd w:fill="EEF4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2563EB"/>
                <w:sz w:val="24"/>
              </w:rPr>
              <w:t>Что получает компания</w:t>
            </w:r>
          </w:p>
          <w:p>
            <w:pPr>
              <w:spacing w:after="0" w:line="288" w:lineRule="auto"/>
            </w:pPr>
            <w:r>
              <w:rPr>
                <w:rFonts w:ascii="Aptos" w:hAnsi="Aptos"/>
                <w:b w:val="0"/>
                <w:i w:val="0"/>
                <w:color w:val="0B1220"/>
                <w:sz w:val="21"/>
              </w:rPr>
              <w:t>Один цифровой контур для 11 отделов: продажи, замер, касса, проектирование, закупки, склад, производство, ОТК, логистика, монтаж и финальный расчёт. Выполненная работа автоматически превращается в объём, KPI, зарплату, себестоимость и прибыль.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802"/>
            <w:tcMar>
              <w:top w:w="100" w:type="dxa"/>
              <w:start w:w="140" w:type="dxa"/>
              <w:bottom w:w="100" w:type="dxa"/>
              <w:end w:w="140" w:type="dxa"/>
            </w:tcMar>
            <w:shd w:fill="F4F6F9"/>
          </w:tcPr>
          <w:p>
            <w:r>
              <w:rPr>
                <w:rFonts w:ascii="Aptos" w:hAnsi="Aptos"/>
                <w:b/>
                <w:i w:val="0"/>
                <w:color w:val="64748B"/>
                <w:sz w:val="20"/>
              </w:rPr>
              <w:t>Подготовлено для</w:t>
            </w:r>
          </w:p>
        </w:tc>
        <w:tc>
          <w:tcPr>
            <w:tcW w:type="dxa" w:w="4802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r>
              <w:rPr>
                <w:rFonts w:ascii="Aptos" w:hAnsi="Aptos"/>
                <w:b w:val="0"/>
                <w:i w:val="0"/>
                <w:color w:val="0B1220"/>
                <w:sz w:val="20"/>
              </w:rPr>
              <w:t>Компания «Окна Сервис»</w:t>
            </w:r>
          </w:p>
        </w:tc>
      </w:tr>
      <w:tr>
        <w:tc>
          <w:tcPr>
            <w:tcW w:type="dxa" w:w="4802"/>
            <w:tcMar>
              <w:top w:w="100" w:type="dxa"/>
              <w:start w:w="140" w:type="dxa"/>
              <w:bottom w:w="100" w:type="dxa"/>
              <w:end w:w="140" w:type="dxa"/>
            </w:tcMar>
            <w:shd w:fill="F4F6F9"/>
          </w:tcPr>
          <w:p>
            <w:r>
              <w:rPr>
                <w:rFonts w:ascii="Aptos" w:hAnsi="Aptos"/>
                <w:b/>
                <w:i w:val="0"/>
                <w:color w:val="64748B"/>
                <w:sz w:val="20"/>
              </w:rPr>
              <w:t>Подготовлено</w:t>
            </w:r>
          </w:p>
        </w:tc>
        <w:tc>
          <w:tcPr>
            <w:tcW w:type="dxa" w:w="4802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r>
              <w:rPr>
                <w:rFonts w:ascii="Aptos" w:hAnsi="Aptos"/>
                <w:b w:val="0"/>
                <w:i w:val="0"/>
                <w:color w:val="0B1220"/>
                <w:sz w:val="20"/>
              </w:rPr>
              <w:t>Pllato · Custom CRM Solutions</w:t>
            </w:r>
          </w:p>
        </w:tc>
      </w:tr>
      <w:tr>
        <w:tc>
          <w:tcPr>
            <w:tcW w:type="dxa" w:w="4802"/>
            <w:tcMar>
              <w:top w:w="100" w:type="dxa"/>
              <w:start w:w="140" w:type="dxa"/>
              <w:bottom w:w="100" w:type="dxa"/>
              <w:end w:w="140" w:type="dxa"/>
            </w:tcMar>
            <w:shd w:fill="F4F6F9"/>
          </w:tcPr>
          <w:p>
            <w:r>
              <w:rPr>
                <w:rFonts w:ascii="Aptos" w:hAnsi="Aptos"/>
                <w:b/>
                <w:i w:val="0"/>
                <w:color w:val="64748B"/>
                <w:sz w:val="20"/>
              </w:rPr>
              <w:t>Дата</w:t>
            </w:r>
          </w:p>
        </w:tc>
        <w:tc>
          <w:tcPr>
            <w:tcW w:type="dxa" w:w="4802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r>
              <w:rPr>
                <w:rFonts w:ascii="Aptos" w:hAnsi="Aptos"/>
                <w:b w:val="0"/>
                <w:i w:val="0"/>
                <w:color w:val="0B1220"/>
                <w:sz w:val="20"/>
              </w:rPr>
              <w:t>30 июля 2026</w:t>
            </w:r>
          </w:p>
        </w:tc>
      </w:tr>
      <w:tr>
        <w:tc>
          <w:tcPr>
            <w:tcW w:type="dxa" w:w="4802"/>
            <w:tcMar>
              <w:top w:w="100" w:type="dxa"/>
              <w:start w:w="140" w:type="dxa"/>
              <w:bottom w:w="100" w:type="dxa"/>
              <w:end w:w="140" w:type="dxa"/>
            </w:tcMar>
            <w:shd w:fill="F4F6F9"/>
          </w:tcPr>
          <w:p>
            <w:r>
              <w:rPr>
                <w:rFonts w:ascii="Aptos" w:hAnsi="Aptos"/>
                <w:b/>
                <w:i w:val="0"/>
                <w:color w:val="64748B"/>
                <w:sz w:val="20"/>
              </w:rPr>
              <w:t>Демо</w:t>
            </w:r>
          </w:p>
        </w:tc>
        <w:tc>
          <w:tcPr>
            <w:tcW w:type="dxa" w:w="4802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r>
              <w:rPr>
                <w:rFonts w:ascii="Aptos" w:hAnsi="Aptos"/>
                <w:b w:val="0"/>
                <w:i w:val="0"/>
                <w:color w:val="0B1220"/>
                <w:sz w:val="20"/>
              </w:rPr>
              <w:t>https://pllato.kz/app/okna-service/</w:t>
            </w:r>
          </w:p>
        </w:tc>
      </w:tr>
    </w:tbl>
    <w:p>
      <w:pPr>
        <w:spacing w:after="360"/>
      </w:pPr>
    </w:p>
    <w:p>
      <w:pPr>
        <w:jc w:val="center"/>
      </w:pPr>
      <w:r>
        <w:rPr>
          <w:rFonts w:ascii="Aptos" w:hAnsi="Aptos"/>
          <w:b/>
          <w:i w:val="0"/>
          <w:color w:val="2563EB"/>
          <w:sz w:val="22"/>
        </w:rPr>
        <w:t>Рабочее кликабельное демо уже реализовано по структуре ТЗ</w:t>
      </w:r>
    </w:p>
    <w:p>
      <w:r>
        <w:br w:type="page"/>
      </w:r>
    </w:p>
    <w:p>
      <w:pPr>
        <w:spacing w:after="100"/>
      </w:pPr>
      <w:r>
        <w:rPr>
          <w:rFonts w:ascii="Aptos" w:hAnsi="Aptos"/>
          <w:b/>
          <w:i w:val="0"/>
          <w:color w:val="A67034"/>
          <w:sz w:val="20"/>
        </w:rPr>
        <w:t>01 · РЕШЕНИЕ</w:t>
      </w:r>
    </w:p>
    <w:p>
      <w:pPr>
        <w:spacing w:after="160"/>
        <w:jc w:val="left"/>
      </w:pPr>
      <w:r>
        <w:rPr>
          <w:rFonts w:ascii="Aptos" w:hAnsi="Aptos"/>
          <w:b/>
          <w:i w:val="0"/>
          <w:color w:val="0B1220"/>
          <w:sz w:val="48"/>
        </w:rPr>
        <w:t>Не просто CRM, а операционная система заказа</w:t>
      </w:r>
    </w:p>
    <w:p>
      <w:pPr>
        <w:spacing w:after="160" w:line="307" w:lineRule="auto"/>
      </w:pPr>
      <w:r>
        <w:rPr>
          <w:rFonts w:ascii="Aptos" w:hAnsi="Aptos"/>
          <w:b w:val="0"/>
          <w:i w:val="0"/>
          <w:color w:val="0B1220"/>
          <w:sz w:val="22"/>
        </w:rPr>
        <w:t>Система построена вокруг единой Карточки проекта. Каждый отдел продолжает работу с теми же данными: адрес не перепечатывается, объём не вводится повторно, выполненная операция не создаёт второе начисление.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605"/>
            <w:shd w:fill="DCFCE7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2563EB"/>
                <w:sz w:val="24"/>
              </w:rPr>
              <w:t>Главная автоматизация</w:t>
            </w:r>
          </w:p>
          <w:p>
            <w:pPr>
              <w:spacing w:after="0" w:line="288" w:lineRule="auto"/>
            </w:pPr>
            <w:r>
              <w:rPr>
                <w:rFonts w:ascii="Aptos" w:hAnsi="Aptos"/>
                <w:b w:val="0"/>
                <w:i w:val="0"/>
                <w:color w:val="0B1220"/>
                <w:sz w:val="21"/>
              </w:rPr>
              <w:t>Сотрудник завершает обязательный чек-лист → CRM фиксирует исполнителя и объём → создаёт начисление → закрывает этап → назначает следующего ответственного и срок → отправляет уведомление.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160"/>
      </w:pPr>
      <w:r>
        <w:t>Сквозной процесс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rPr>
          <w:tblHeader w:val="true"/>
        </w:trPr>
        <w:tc>
          <w:tcPr>
            <w:tcW w:type="dxa" w:w="2088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1220"/>
                <w:sz w:val="19"/>
              </w:rPr>
              <w:t>Контур</w:t>
            </w:r>
          </w:p>
        </w:tc>
        <w:tc>
          <w:tcPr>
            <w:tcW w:type="dxa" w:w="468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1220"/>
                <w:sz w:val="19"/>
              </w:rPr>
              <w:t>Что автоматизируется</w:t>
            </w:r>
          </w:p>
        </w:tc>
        <w:tc>
          <w:tcPr>
            <w:tcW w:type="dxa" w:w="2808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1220"/>
                <w:sz w:val="19"/>
              </w:rPr>
              <w:t>Результат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Продажи → предоплата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лид, карта, замер, расчёт, КП, договор, платёж</w:t>
            </w:r>
          </w:p>
        </w:tc>
        <w:tc>
          <w:tcPr>
            <w:tcW w:type="dxa" w:w="28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проект готов к исполнению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Проект → закупка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чертежи, спецификация, дефицит, поставщики, рейсы</w:t>
            </w:r>
          </w:p>
        </w:tc>
        <w:tc>
          <w:tcPr>
            <w:tcW w:type="dxa" w:w="28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материалы вовремя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Склад → производство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приход, резерв, комплект, выдача, задание</w:t>
            </w:r>
          </w:p>
        </w:tc>
        <w:tc>
          <w:tcPr>
            <w:tcW w:type="dxa" w:w="28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нет ручного двойного ввода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ОТК → монтаж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контроль, дефекты, доставка, фото, акт</w:t>
            </w:r>
          </w:p>
        </w:tc>
        <w:tc>
          <w:tcPr>
            <w:tcW w:type="dxa" w:w="28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качество до передачи клиенту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Объём → зарплата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расценка, KPI, подтверждения, расчётный период</w:t>
            </w:r>
          </w:p>
        </w:tc>
        <w:tc>
          <w:tcPr>
            <w:tcW w:type="dxa" w:w="28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зарплата и себестоимость из факта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60" w:after="160"/>
      </w:pPr>
      <w:r>
        <w:t>Ролевые кабинеты</w:t>
      </w:r>
    </w:p>
    <w:p>
      <w:pPr>
        <w:spacing w:after="160" w:line="307" w:lineRule="auto"/>
      </w:pPr>
      <w:r>
        <w:rPr>
          <w:rFonts w:ascii="Aptos" w:hAnsi="Aptos"/>
          <w:b w:val="0"/>
          <w:i w:val="0"/>
          <w:color w:val="0B1220"/>
          <w:sz w:val="22"/>
        </w:rPr>
        <w:t>Директор видит весь бизнес и прибыль; финансовый отдел — начисления и периоды; руководитель — объём, сроки, ошибки и KPI без чужих итоговых зарплат; сотрудник — свои задачи и результаты.</w:t>
      </w:r>
    </w:p>
    <w:p>
      <w:r>
        <w:br w:type="page"/>
      </w:r>
    </w:p>
    <w:p>
      <w:pPr>
        <w:spacing w:after="100"/>
      </w:pPr>
      <w:r>
        <w:rPr>
          <w:rFonts w:ascii="Aptos" w:hAnsi="Aptos"/>
          <w:b/>
          <w:i w:val="0"/>
          <w:color w:val="A67034"/>
          <w:sz w:val="20"/>
        </w:rPr>
        <w:t>02 · ДЕМО</w:t>
      </w:r>
    </w:p>
    <w:p>
      <w:pPr>
        <w:spacing w:after="160"/>
        <w:jc w:val="left"/>
      </w:pPr>
      <w:r>
        <w:rPr>
          <w:rFonts w:ascii="Aptos" w:hAnsi="Aptos"/>
          <w:b/>
          <w:i w:val="0"/>
          <w:color w:val="0B1220"/>
          <w:sz w:val="48"/>
        </w:rPr>
        <w:t>Ключевые экраны уже можно проверять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35040" cy="31290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-proje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29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/>
          <w:b w:val="0"/>
          <w:i/>
          <w:color w:val="64748B"/>
          <w:sz w:val="17"/>
        </w:rPr>
        <w:t>Единая карточка проекта: цепочка этапов, чек-лист, паспорт, финансы и история</w:t>
      </w:r>
    </w:p>
    <w:p>
      <w:pPr>
        <w:spacing w:after="160" w:line="307" w:lineRule="auto"/>
      </w:pPr>
      <w:r>
        <w:rPr>
          <w:rFonts w:ascii="Aptos" w:hAnsi="Aptos"/>
          <w:b w:val="0"/>
          <w:i w:val="0"/>
          <w:color w:val="0B1220"/>
          <w:sz w:val="22"/>
        </w:rPr>
        <w:t>В демо можно войти под десятью ролями, поставить галочки, автоматически передать проект дальше, изменить статусы транспорта, подтвердить объём, провести расчётный период и проверить ограничения доступа.</w:t>
      </w:r>
    </w:p>
    <w:p>
      <w:r>
        <w:br w:type="page"/>
      </w:r>
    </w:p>
    <w:p>
      <w:pPr>
        <w:spacing w:after="100"/>
      </w:pPr>
      <w:r>
        <w:rPr>
          <w:rFonts w:ascii="Aptos" w:hAnsi="Aptos"/>
          <w:b/>
          <w:i w:val="0"/>
          <w:color w:val="A67034"/>
          <w:sz w:val="20"/>
        </w:rPr>
        <w:t>03 · КАРТА И РЕЗУЛЬТАТ</w:t>
      </w:r>
    </w:p>
    <w:p>
      <w:pPr>
        <w:spacing w:after="160"/>
        <w:jc w:val="left"/>
      </w:pPr>
      <w:r>
        <w:rPr>
          <w:rFonts w:ascii="Aptos" w:hAnsi="Aptos"/>
          <w:b/>
          <w:i w:val="0"/>
          <w:color w:val="0B1220"/>
          <w:sz w:val="48"/>
        </w:rPr>
        <w:t>Контроль выездов и труда — в реальном времени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35040" cy="31290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-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29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/>
          <w:b w:val="0"/>
          <w:i/>
          <w:color w:val="64748B"/>
          <w:sz w:val="17"/>
        </w:rPr>
        <w:t>Карта директора: активные объекты, замеры, доставки, монтажи и просрочки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35040" cy="31290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-payrol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29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/>
          <w:b w:val="0"/>
          <w:i/>
          <w:color w:val="64748B"/>
          <w:sz w:val="17"/>
        </w:rPr>
        <w:t>Начисления из выполненных работ: объём, индивидуальная ставка, KPI и подтверждения</w:t>
      </w:r>
    </w:p>
    <w:p>
      <w:r>
        <w:br w:type="page"/>
      </w:r>
    </w:p>
    <w:p>
      <w:pPr>
        <w:spacing w:after="100"/>
      </w:pPr>
      <w:r>
        <w:rPr>
          <w:rFonts w:ascii="Aptos" w:hAnsi="Aptos"/>
          <w:b/>
          <w:i w:val="0"/>
          <w:color w:val="A67034"/>
          <w:sz w:val="20"/>
        </w:rPr>
        <w:t>04 · ПОКРЫТИЕ ТЗ</w:t>
      </w:r>
    </w:p>
    <w:p>
      <w:pPr>
        <w:spacing w:after="160"/>
        <w:jc w:val="left"/>
      </w:pPr>
      <w:r>
        <w:rPr>
          <w:rFonts w:ascii="Aptos" w:hAnsi="Aptos"/>
          <w:b/>
          <w:i w:val="0"/>
          <w:color w:val="0B1220"/>
          <w:sz w:val="48"/>
        </w:rPr>
        <w:t>Все обязательные блоки включены в проект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rPr>
          <w:tblHeader w:val="true"/>
        </w:trPr>
        <w:tc>
          <w:tcPr>
            <w:tcW w:type="dxa" w:w="144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1220"/>
                <w:sz w:val="19"/>
              </w:rPr>
              <w:t>Разделы ТЗ</w:t>
            </w:r>
          </w:p>
        </w:tc>
        <w:tc>
          <w:tcPr>
            <w:tcW w:type="dxa" w:w="612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1220"/>
                <w:sz w:val="19"/>
              </w:rPr>
              <w:t>Функциональность</w:t>
            </w:r>
          </w:p>
        </w:tc>
        <w:tc>
          <w:tcPr>
            <w:tcW w:type="dxa" w:w="2016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1220"/>
                <w:sz w:val="19"/>
              </w:rPr>
              <w:t>Статус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1–5</w:t>
            </w:r>
          </w:p>
        </w:tc>
        <w:tc>
          <w:tcPr>
            <w:tcW w:type="dxa" w:w="6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Цель, единая карточка, карта и live-геолокация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Реализуется полностью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6–9</w:t>
            </w:r>
          </w:p>
        </w:tc>
        <w:tc>
          <w:tcPr>
            <w:tcW w:type="dxa" w:w="6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Продажи, замер, касса, проектирование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Реализуется полностью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10–15</w:t>
            </w:r>
          </w:p>
        </w:tc>
        <w:tc>
          <w:tcPr>
            <w:tcW w:type="dxa" w:w="6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Закупки, «Мой Склад», производство, ОТК, логистика, монтаж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Реализуется полностью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16–17</w:t>
            </w:r>
          </w:p>
        </w:tc>
        <w:tc>
          <w:tcPr>
            <w:tcW w:type="dxa" w:w="6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Переделки, брак и остаток оплаты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Реализуется полностью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18–25</w:t>
            </w:r>
          </w:p>
        </w:tc>
        <w:tc>
          <w:tcPr>
            <w:tcW w:type="dxa" w:w="6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Зарплата, расценки, KPI, периоды, себестоимость, прибыль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Реализуется полностью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26–30</w:t>
            </w:r>
          </w:p>
        </w:tc>
        <w:tc>
          <w:tcPr>
            <w:tcW w:type="dxa" w:w="6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Права, журнал, dashboard, автоматика, мобильная версия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Реализуется полностью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31–33</w:t>
            </w:r>
          </w:p>
        </w:tc>
        <w:tc>
          <w:tcPr>
            <w:tcW w:type="dxa" w:w="6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MVP, критерии приёмки и итоговый результат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Покрыто критериями сдачи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60" w:after="160"/>
      </w:pPr>
      <w:r>
        <w:t>Интеграции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0B1220"/>
          <w:sz w:val="21"/>
        </w:rPr>
        <w:t>2GIS или Yandex Maps — адреса, координаты, маршруты и карта директора.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0B1220"/>
          <w:sz w:val="21"/>
        </w:rPr>
        <w:t>«Мой Склад» — приход, резерв, выдача, возврат, перемещение, списание и инвентаризация.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0B1220"/>
          <w:sz w:val="21"/>
        </w:rPr>
        <w:t>Файловое хранилище — фото, эскизы, чертежи, спецификации, акты и история версий.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0B1220"/>
          <w:sz w:val="21"/>
        </w:rPr>
        <w:t>Уведомления — задачи, сроки, просрочки, переходы этапов и контроль оплат.</w:t>
      </w:r>
    </w:p>
    <w:p>
      <w:pPr>
        <w:pStyle w:val="Heading1"/>
        <w:keepNext/>
        <w:spacing w:before="360" w:after="160"/>
      </w:pPr>
      <w:r>
        <w:t>Критические правила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0B1220"/>
          <w:sz w:val="21"/>
        </w:rPr>
        <w:t>Один подтверждённый объём нельзя начислить дважды.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0B1220"/>
          <w:sz w:val="21"/>
        </w:rPr>
        <w:t>Старая ставка сохраняется в старом начислении после изменения справочника.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0B1220"/>
          <w:sz w:val="21"/>
        </w:rPr>
        <w:t>Сотрудник не подтверждает собственную зарплату.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0B1220"/>
          <w:sz w:val="21"/>
        </w:rPr>
        <w:t>Закрытый месяц не редактируется напрямую; только корректировка с причиной.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0B1220"/>
          <w:sz w:val="21"/>
        </w:rPr>
        <w:t>Собственная переделка не создаёт повторную оплату автоматически.</w:t>
      </w:r>
    </w:p>
    <w:p>
      <w:r>
        <w:br w:type="page"/>
      </w:r>
    </w:p>
    <w:p>
      <w:pPr>
        <w:spacing w:after="100"/>
      </w:pPr>
      <w:r>
        <w:rPr>
          <w:rFonts w:ascii="Aptos" w:hAnsi="Aptos"/>
          <w:b/>
          <w:i w:val="0"/>
          <w:color w:val="A67034"/>
          <w:sz w:val="20"/>
        </w:rPr>
        <w:t>05 · ВАУ-ЭФФЕКТЫ</w:t>
      </w:r>
    </w:p>
    <w:p>
      <w:pPr>
        <w:spacing w:after="160"/>
        <w:jc w:val="left"/>
      </w:pPr>
      <w:r>
        <w:rPr>
          <w:rFonts w:ascii="Aptos" w:hAnsi="Aptos"/>
          <w:b/>
          <w:i w:val="0"/>
          <w:color w:val="0B1220"/>
          <w:sz w:val="48"/>
        </w:rPr>
        <w:t>Дополнительно к ТЗ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rPr>
          <w:tblHeader w:val="true"/>
        </w:trPr>
        <w:tc>
          <w:tcPr>
            <w:tcW w:type="dxa" w:w="288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1220"/>
                <w:sz w:val="19"/>
              </w:rPr>
              <w:t>Функция</w:t>
            </w:r>
          </w:p>
        </w:tc>
        <w:tc>
          <w:tcPr>
            <w:tcW w:type="dxa" w:w="6696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1220"/>
                <w:sz w:val="19"/>
              </w:rPr>
              <w:t>Эффект для бизнеса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Умный центр управления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Подсказки директора: где проект рискует просрочиться, какой материал остановит производство и какое действие нужно сегодня.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Автопланирование закупок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Объединение дефицита нескольких проектов в один заказ и рейс с показом экономии.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Цифровой след качества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Фото «до/после», причина брака, виновный этап, срок исправления и влияние на KPI в одной цепочке.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Мобильный режим без лишних экранов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На выезде сотрудник видит маршрут, статус, чек-лист, камеру, объём, комментарий и подпись акта.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Сценарий демонстрации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Кнопка сброса данных, роли и готовые события позволяют показать полный цикл за 10–15 минут.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Drill-down показателей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Из суммы, объёма или KPI можно перейти к конкретным проектам и операциям, которые сформировали цифру.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605"/>
            <w:shd w:fill="EEF4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2563EB"/>
                <w:sz w:val="24"/>
              </w:rPr>
              <w:t>Результат для директора</w:t>
            </w:r>
          </w:p>
          <w:p>
            <w:pPr>
              <w:spacing w:after="0" w:line="288" w:lineRule="auto"/>
            </w:pPr>
            <w:r>
              <w:rPr>
                <w:rFonts w:ascii="Aptos" w:hAnsi="Aptos"/>
                <w:b w:val="0"/>
                <w:i w:val="0"/>
                <w:color w:val="0B1220"/>
                <w:sz w:val="21"/>
              </w:rPr>
              <w:t>В любой момент видно: где находится заказ, кто отвечает, что просрочено, сколько подтверждённого труда создано, сколько он стоит и какую прибыль приносит проект.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100"/>
      </w:pPr>
      <w:r>
        <w:rPr>
          <w:rFonts w:ascii="Aptos" w:hAnsi="Aptos"/>
          <w:b/>
          <w:i w:val="0"/>
          <w:color w:val="A67034"/>
          <w:sz w:val="20"/>
        </w:rPr>
        <w:t>06 · ПЛАН ВНЕДРЕНИЯ</w:t>
      </w:r>
    </w:p>
    <w:p>
      <w:pPr>
        <w:spacing w:after="160"/>
        <w:jc w:val="left"/>
      </w:pPr>
      <w:r>
        <w:rPr>
          <w:rFonts w:ascii="Aptos" w:hAnsi="Aptos"/>
          <w:b/>
          <w:i w:val="0"/>
          <w:color w:val="0B1220"/>
          <w:sz w:val="48"/>
        </w:rPr>
        <w:t>Поэтапный запуск без остановки работы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rPr>
          <w:tblHeader w:val="true"/>
        </w:trPr>
        <w:tc>
          <w:tcPr>
            <w:tcW w:type="dxa" w:w="252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1220"/>
                <w:sz w:val="19"/>
              </w:rPr>
              <w:t>Этап</w:t>
            </w:r>
          </w:p>
        </w:tc>
        <w:tc>
          <w:tcPr>
            <w:tcW w:type="dxa" w:w="144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1220"/>
                <w:sz w:val="19"/>
              </w:rPr>
              <w:t>Срок</w:t>
            </w:r>
          </w:p>
        </w:tc>
        <w:tc>
          <w:tcPr>
            <w:tcW w:type="dxa" w:w="5616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1220"/>
                <w:sz w:val="19"/>
              </w:rPr>
              <w:t>Результат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1. Проектирование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2 недели</w:t>
            </w:r>
          </w:p>
        </w:tc>
        <w:tc>
          <w:tcPr>
            <w:tcW w:type="dxa" w:w="56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интервью, роли, справочники, финальная карта процессов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2. Ядро CRM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4 недели</w:t>
            </w:r>
          </w:p>
        </w:tc>
        <w:tc>
          <w:tcPr>
            <w:tcW w:type="dxa" w:w="56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клиенты, проекты, карточка, стадии, чек-листы, задачи, история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3. Исполнение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5 недель</w:t>
            </w:r>
          </w:p>
        </w:tc>
        <w:tc>
          <w:tcPr>
            <w:tcW w:type="dxa" w:w="56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замер, проектирование, закупки, склад, производство, ОТК, логистика, монтаж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4. Зарплата и KPI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4 недели</w:t>
            </w:r>
          </w:p>
        </w:tc>
        <w:tc>
          <w:tcPr>
            <w:tcW w:type="dxa" w:w="56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объёмы, ставки, формулы, подтверждения, периоды, себестоимость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5. Интеграции и mobile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3 недели</w:t>
            </w:r>
          </w:p>
        </w:tc>
        <w:tc>
          <w:tcPr>
            <w:tcW w:type="dxa" w:w="56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карты, «Мой Склад», уведомления, камера, акты, геолокация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6. Пилот и запуск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2 недели</w:t>
            </w:r>
          </w:p>
        </w:tc>
        <w:tc>
          <w:tcPr>
            <w:tcW w:type="dxa" w:w="56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миграция, обучение, тестовые проекты, исправления, ввод в эксплуатацию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60" w:after="160"/>
      </w:pPr>
      <w:r>
        <w:t>Организация работ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0B1220"/>
          <w:sz w:val="21"/>
        </w:rPr>
        <w:t>Еженедельная демонстрация готового инкремента.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0B1220"/>
          <w:sz w:val="21"/>
        </w:rPr>
        <w:t>Приёмка по сценариям из ТЗ, а не по скриншотам.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0B1220"/>
          <w:sz w:val="21"/>
        </w:rPr>
        <w:t>Пилот на реальных проектах с участием каждого отдела.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0B1220"/>
          <w:sz w:val="21"/>
        </w:rPr>
        <w:t>Обучение руководителей и сотрудников по ролям.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0B1220"/>
          <w:sz w:val="21"/>
        </w:rPr>
        <w:t>Гарантийный период после промышленного запуска.</w:t>
      </w:r>
    </w:p>
    <w:p>
      <w:r>
        <w:br w:type="page"/>
      </w:r>
    </w:p>
    <w:p>
      <w:pPr>
        <w:spacing w:after="100"/>
      </w:pPr>
      <w:r>
        <w:rPr>
          <w:rFonts w:ascii="Aptos" w:hAnsi="Aptos"/>
          <w:b/>
          <w:i w:val="0"/>
          <w:color w:val="A67034"/>
          <w:sz w:val="20"/>
        </w:rPr>
        <w:t>07 · СТОИМОСТЬ</w:t>
      </w:r>
    </w:p>
    <w:p>
      <w:pPr>
        <w:spacing w:after="160"/>
        <w:jc w:val="left"/>
      </w:pPr>
      <w:r>
        <w:rPr>
          <w:rFonts w:ascii="Aptos" w:hAnsi="Aptos"/>
          <w:b/>
          <w:i w:val="0"/>
          <w:color w:val="0B1220"/>
          <w:sz w:val="48"/>
        </w:rPr>
        <w:t>Коммерческие условия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rPr>
          <w:tblHeader w:val="true"/>
        </w:trPr>
        <w:tc>
          <w:tcPr>
            <w:tcW w:type="dxa" w:w="18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1220"/>
                <w:sz w:val="19"/>
              </w:rPr>
              <w:t>Пакет</w:t>
            </w:r>
          </w:p>
        </w:tc>
        <w:tc>
          <w:tcPr>
            <w:tcW w:type="dxa" w:w="468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1220"/>
                <w:sz w:val="19"/>
              </w:rPr>
              <w:t>Состав</w:t>
            </w:r>
          </w:p>
        </w:tc>
        <w:tc>
          <w:tcPr>
            <w:tcW w:type="dxa" w:w="144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1220"/>
                <w:sz w:val="19"/>
              </w:rPr>
              <w:t>Срок</w:t>
            </w:r>
          </w:p>
        </w:tc>
        <w:tc>
          <w:tcPr>
            <w:tcW w:type="dxa" w:w="1656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1220"/>
                <w:sz w:val="19"/>
              </w:rPr>
              <w:t>Стоимость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Полный контур · рекомендовано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Все 33 раздела ТЗ, mobile, роли, зарплата/KPI, карта, интеграции, запуск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20 недель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2 480 000 сом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MVP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28 обязательных блоков без live-GPS и расширенной аналитики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14 недель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1 690 000 сом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Расширенный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Полный контур + вау-функции, расширенная аналитика и 3 мес. сопровождения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24 недели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2 980 000 сом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605"/>
            <w:shd w:fill="DCFCE7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2563EB"/>
                <w:sz w:val="24"/>
              </w:rPr>
              <w:t>Предлагаемый порядок оплаты</w:t>
            </w:r>
          </w:p>
          <w:p>
            <w:pPr>
              <w:spacing w:after="0" w:line="288" w:lineRule="auto"/>
            </w:pPr>
            <w:r>
              <w:rPr>
                <w:rFonts w:ascii="Aptos" w:hAnsi="Aptos"/>
                <w:b w:val="0"/>
                <w:i w:val="0"/>
                <w:color w:val="0B1220"/>
                <w:sz w:val="21"/>
              </w:rPr>
              <w:t>10% — старт и проектирование; 20% — готовое ядро CRM; 25% — рабочий производственный контур; 25% — зарплата, KPI и интеграции; 20% — после пилота и приёмки.</w:t>
            </w:r>
          </w:p>
        </w:tc>
      </w:tr>
    </w:tbl>
    <w:p>
      <w:pPr>
        <w:spacing w:after="40"/>
      </w:pPr>
    </w:p>
    <w:p>
      <w:pPr>
        <w:spacing w:after="160" w:line="307" w:lineRule="auto"/>
      </w:pPr>
      <w:r>
        <w:rPr>
          <w:rFonts w:ascii="Aptos" w:hAnsi="Aptos"/>
          <w:b w:val="0"/>
          <w:i w:val="0"/>
          <w:color w:val="0B1220"/>
          <w:sz w:val="22"/>
        </w:rPr>
        <w:t>Стоимость является предварительной оценкой по предоставленному ТЗ. После короткого обследования и фиксации интеграционных доступов состав и цена закрепляются в договоре и не меняются без согласованного расширения.</w:t>
      </w:r>
    </w:p>
    <w:p>
      <w:pPr>
        <w:pStyle w:val="Heading1"/>
        <w:keepNext/>
        <w:spacing w:before="360" w:after="160"/>
      </w:pPr>
      <w:r>
        <w:t>Включено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0B1220"/>
          <w:sz w:val="21"/>
        </w:rPr>
        <w:t>Разработка и адаптивная мобильная версия.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0B1220"/>
          <w:sz w:val="21"/>
        </w:rPr>
        <w:t>Настройка ролей, справочников, формул и чек-листов.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0B1220"/>
          <w:sz w:val="21"/>
        </w:rPr>
        <w:t>Тестовая миграция исходных данных.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0B1220"/>
          <w:sz w:val="21"/>
        </w:rPr>
        <w:t>Обучение ключевых пользователей.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0B1220"/>
          <w:sz w:val="21"/>
        </w:rPr>
        <w:t>30 дней гарантии после приёмки.</w:t>
      </w:r>
    </w:p>
    <w:p>
      <w:pPr>
        <w:pStyle w:val="Heading1"/>
        <w:keepNext/>
        <w:spacing w:before="360" w:after="160"/>
      </w:pPr>
      <w:r>
        <w:t>Не включено</w:t>
      </w:r>
    </w:p>
    <w:p>
      <w:pPr>
        <w:spacing w:after="160" w:line="307" w:lineRule="auto"/>
      </w:pPr>
      <w:r>
        <w:rPr>
          <w:rFonts w:ascii="Aptos" w:hAnsi="Aptos"/>
          <w:b w:val="0"/>
          <w:i w:val="0"/>
          <w:color w:val="0B1220"/>
          <w:sz w:val="22"/>
        </w:rPr>
        <w:t>Платные тарифы сторонних сервисов, оборудование, GPS-трекеры, платные API карт и отдельные доработки «Мой Склад», которые невозможно выполнить через доступный API.</w:t>
      </w:r>
    </w:p>
    <w:p>
      <w:r>
        <w:br w:type="page"/>
      </w:r>
    </w:p>
    <w:p>
      <w:pPr>
        <w:spacing w:after="100"/>
      </w:pPr>
      <w:r>
        <w:rPr>
          <w:rFonts w:ascii="Aptos" w:hAnsi="Aptos"/>
          <w:b/>
          <w:i w:val="0"/>
          <w:color w:val="A67034"/>
          <w:sz w:val="20"/>
        </w:rPr>
        <w:t>08 · ПРИЁМКА</w:t>
      </w:r>
    </w:p>
    <w:p>
      <w:pPr>
        <w:spacing w:after="160"/>
        <w:jc w:val="left"/>
      </w:pPr>
      <w:r>
        <w:rPr>
          <w:rFonts w:ascii="Aptos" w:hAnsi="Aptos"/>
          <w:b/>
          <w:i w:val="0"/>
          <w:color w:val="0B1220"/>
          <w:sz w:val="48"/>
        </w:rPr>
        <w:t>Как подтвердим, что система работает правильно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rPr>
          <w:tblHeader w:val="true"/>
        </w:trPr>
        <w:tc>
          <w:tcPr>
            <w:tcW w:type="dxa" w:w="2232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1220"/>
                <w:sz w:val="19"/>
              </w:rPr>
              <w:t>Область</w:t>
            </w:r>
          </w:p>
        </w:tc>
        <w:tc>
          <w:tcPr>
            <w:tcW w:type="dxa" w:w="7344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1220"/>
                <w:sz w:val="19"/>
              </w:rPr>
              <w:t>Контрольный сценарий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Проект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обязательные поля и чек-лист блокируют некорректный переход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Автоматика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после завершения создаются объём, начисление, задача, срок и уведомление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Зарплата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ставка подставляется по дате; дубль объёма невозможен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Права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руководитель подтверждает объём, но не видит чужую итоговую зарплату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Переделки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причина и виновник обязательны; собственная ошибка не оплачивается повторно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Период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после закрытия доступны только корректировки с обязательной причиной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Себестоимость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подтверждённая зарплата автоматически попадает в проект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Мобильность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замерщик, водитель и бригада проходят рабочий сценарий с телефона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605"/>
            <w:shd w:fill="EEF4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2563EB"/>
                <w:sz w:val="24"/>
              </w:rPr>
              <w:t>Следующий шаг</w:t>
            </w:r>
          </w:p>
          <w:p>
            <w:pPr>
              <w:spacing w:after="0" w:line="288" w:lineRule="auto"/>
            </w:pPr>
            <w:r>
              <w:rPr>
                <w:rFonts w:ascii="Aptos" w:hAnsi="Aptos"/>
                <w:b w:val="0"/>
                <w:i w:val="0"/>
                <w:color w:val="0B1220"/>
                <w:sz w:val="21"/>
              </w:rPr>
              <w:t>Открыть демо, пройти сценарий OS-1050 от проектирования до следующего этапа, выбрать пакет и провести 60-минутную рабочую сессию с руководителями отделов.</w:t>
            </w:r>
          </w:p>
        </w:tc>
      </w:tr>
    </w:tbl>
    <w:p>
      <w:pPr>
        <w:spacing w:after="40"/>
      </w:pPr>
    </w:p>
    <w:p>
      <w:pPr>
        <w:spacing w:before="520"/>
        <w:jc w:val="center"/>
      </w:pPr>
      <w:r>
        <w:rPr>
          <w:rFonts w:ascii="Aptos" w:hAnsi="Aptos"/>
          <w:b/>
          <w:i w:val="0"/>
          <w:color w:val="2563EB"/>
          <w:sz w:val="26"/>
        </w:rPr>
        <w:t>Демо: https://pllato.kz/app/okna-service/</w:t>
      </w:r>
    </w:p>
    <w:p>
      <w:pPr>
        <w:jc w:val="center"/>
      </w:pPr>
      <w:r>
        <w:rPr>
          <w:rFonts w:ascii="Aptos" w:hAnsi="Aptos"/>
          <w:b/>
          <w:i w:val="0"/>
          <w:color w:val="64748B"/>
          <w:sz w:val="20"/>
        </w:rPr>
        <w:t>Pllato · pllato.kz · Custom CRM Solutions</w:t>
      </w:r>
    </w:p>
    <w:sectPr w:rsidR="00FC693F" w:rsidRPr="0006063C" w:rsidSect="00034616">
      <w:footerReference w:type="default" r:id="rId9"/>
      <w:headerReference w:type="default" r:id="rId10"/>
      <w:pgSz w:w="11909" w:h="16834"/>
      <w:pgMar w:top="936" w:right="1152" w:bottom="936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4748B"/>
        <w:sz w:val="18"/>
      </w:rPr>
      <w:t xml:space="preserve">Pllato · Окна Сервис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ptos" w:hAnsi="Aptos"/>
        <w:b/>
        <w:i w:val="0"/>
        <w:color w:val="64748B"/>
        <w:sz w:val="18"/>
      </w:rPr>
      <w:t>PLLATO  |  CUSTOM CRM SOLUTIONS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0" w:lineRule="auto"/>
    </w:pPr>
    <w:rPr>
      <w:rFonts w:ascii="Aptos" w:hAnsi="Aptos"/>
      <w:color w:val="0B12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ptos" w:hAnsi="Aptos"/>
      <w:b/>
      <w:bCs/>
      <w:color w:val="2563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" w:hAnsi="Aptos"/>
      <w:b/>
      <w:bCs/>
      <w:color w:val="0B12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