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40" w:line="252" w:lineRule="auto"/>
      </w:pPr>
      <w:r>
        <w:rPr>
          <w:rFonts w:ascii="Arial" w:hAnsi="Arial" w:eastAsia="Arial"/>
          <w:b w:val="0"/>
          <w:caps w:val="0"/>
          <w:color w:val="172033"/>
          <w:sz w:val="6"/>
        </w:rPr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ТЕХНИЧЕСКОЕ ЗАДАНИЕ</w:t>
      </w:r>
    </w:p>
    <w:p>
      <w:pPr>
        <w:spacing w:after="120"/>
      </w:pPr>
      <w:r>
        <w:rPr>
          <w:rFonts w:ascii="Arial" w:hAnsi="Arial" w:eastAsia="Arial"/>
          <w:b/>
          <w:caps w:val="0"/>
          <w:color w:val="0B1930"/>
          <w:sz w:val="60"/>
        </w:rPr>
        <w:t>NUK Control</w:t>
      </w:r>
    </w:p>
    <w:p>
      <w:pPr>
        <w:spacing w:before="0" w:after="360" w:line="269" w:lineRule="auto"/>
      </w:pPr>
      <w:r>
        <w:rPr>
          <w:rFonts w:ascii="Arial" w:hAnsi="Arial" w:eastAsia="Arial"/>
          <w:b w:val="0"/>
          <w:caps w:val="0"/>
          <w:color w:val="667085"/>
          <w:sz w:val="25"/>
        </w:rPr>
        <w:t>Информационная система управления BMW‑авторазбором и публичный каталог запчастей. Версия 1.0 для согласования.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23"/>
      </w:tblGrid>
      <w:tr>
        <w:tc>
          <w:tcPr>
            <w:tcW w:type="dxa" w:w="3305"/>
            <w:shd w:fill="0B1930"/>
            <w:tcMar>
              <w:top w:w="190" w:type="dxa"/>
              <w:start w:w="170" w:type="dxa"/>
              <w:bottom w:w="18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FFFFFF"/>
                <w:sz w:val="32"/>
              </w:rPr>
              <w:t>70 000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расчётный объём карточек</w:t>
            </w:r>
          </w:p>
        </w:tc>
        <w:tc>
          <w:tcPr>
            <w:tcW w:type="dxa" w:w="3305"/>
            <w:shd w:fill="EAF1FF"/>
            <w:tcMar>
              <w:top w:w="190" w:type="dxa"/>
              <w:start w:w="170" w:type="dxa"/>
              <w:bottom w:w="18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2"/>
              </w:rPr>
              <w:t>2 площадки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0B1930"/>
                <w:sz w:val="15"/>
              </w:rPr>
              <w:t>единое адресное хранение</w:t>
            </w:r>
          </w:p>
        </w:tc>
        <w:tc>
          <w:tcPr>
            <w:tcW w:type="dxa" w:w="3311"/>
            <w:shd w:fill="EAF1FF"/>
            <w:tcMar>
              <w:top w:w="190" w:type="dxa"/>
              <w:start w:w="170" w:type="dxa"/>
              <w:bottom w:w="18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2"/>
              </w:rPr>
              <w:t>6 недель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0B1930"/>
                <w:sz w:val="15"/>
              </w:rPr>
              <w:t>целевой срок реализации</w:t>
            </w:r>
          </w:p>
        </w:tc>
      </w:tr>
    </w:tbl>
    <w:p>
      <w:pPr>
        <w:spacing w:before="0" w:after="280" w:line="252" w:lineRule="auto"/>
      </w:pPr>
      <w:r>
        <w:rPr>
          <w:rFonts w:ascii="Arial" w:hAnsi="Arial" w:eastAsia="Arial"/>
          <w:b w:val="0"/>
          <w:caps w:val="0"/>
          <w:color w:val="172033"/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F4F7FC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Результат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ТЗ определяет функциональный объём, данные, роли, интеграции, ограничения и проверяемые критерии приёмки первой промышленной версии.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spacing w:before="320" w:after="60" w:line="252" w:lineRule="auto"/>
      </w:pPr>
      <w:r>
        <w:rPr>
          <w:rFonts w:ascii="Arial" w:hAnsi="Arial" w:eastAsia="Arial"/>
          <w:b/>
          <w:caps w:val="0"/>
          <w:color w:val="0B1930"/>
          <w:sz w:val="18"/>
        </w:rPr>
        <w:t>Подготовлено для: NUK / Нурлан</w:t>
      </w:r>
    </w:p>
    <w:p>
      <w:pPr>
        <w:spacing w:before="0" w:after="60" w:line="252" w:lineRule="auto"/>
      </w:pPr>
      <w:r>
        <w:rPr>
          <w:rFonts w:ascii="Arial" w:hAnsi="Arial" w:eastAsia="Arial"/>
          <w:b w:val="0"/>
          <w:caps w:val="0"/>
          <w:color w:val="667085"/>
          <w:sz w:val="16"/>
        </w:rPr>
        <w:t>Подготовлено: Pllato · 04 августа 2026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aps w:val="0"/>
          <w:color w:val="667085"/>
          <w:sz w:val="16"/>
        </w:rPr>
        <w:t>Версия 1.0 · для согласования</w:t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01 · ОБЩИЕ ПОЛОЖЕНИЯ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Назначение и границы системы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Документ является основанием для проектирования, реализации, демонстрации и приёмки NUK Control.</w:t>
      </w:r>
    </w:p>
    <w:p>
      <w:pPr>
        <w:keepNext/>
        <w:spacing w:before="0" w:after="6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1.1. Заказчик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caps w:val="0"/>
          <w:color w:val="172033"/>
          <w:sz w:val="18"/>
        </w:rPr>
        <w:t>Компания NUK / собственник Нурлан. Юридические и банковские реквизиты уточняются в договоре.</w:t>
      </w:r>
    </w:p>
    <w:p>
      <w:pPr>
        <w:keepNext/>
        <w:spacing w:before="0" w:after="6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1.2. Исполнитель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caps w:val="0"/>
          <w:color w:val="172033"/>
          <w:sz w:val="18"/>
        </w:rPr>
        <w:t>Pllato — проектирование, разработка, развёртывание, миграция данных и обучение.</w:t>
      </w:r>
    </w:p>
    <w:p>
      <w:pPr>
        <w:keepNext/>
        <w:spacing w:before="0" w:after="6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1.3. Назначение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caps w:val="0"/>
          <w:color w:val="172033"/>
          <w:sz w:val="18"/>
        </w:rPr>
        <w:t>Создать собственный складской портал NUK для учёта доноров и BMW‑запчастей, адресного хранения, продаж, клиентов, задач и аналитики; запустить синхронный сайт‑каталог с предварительным SEO и универсальным лендингом для рекламы в социальных сетях.</w:t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1.4. Исходные условия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Две операционные площадки: склад в Бесагаше и городская точка на Суюнбая.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Существующий физический склад работает с 2009 года и оцифровывается поэтапно.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В Bazon ориентировочно 18–20 тыс. карточек/фото; целевой объём системы — 60–70 тыс. позиций и выше без лицензионного лимита со стороны Pllato.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Новые партии поступают в том числе контейнерами в виде разобранных и промаркированных автомобилей/комплектов.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Клиентские коммуникации ведутся через WhatsApp и телефонию; сайт должен привлекать целевую BMW‑аудиторию.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Терминология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«Карточка» — цифровое описание единицы/партии запчасти; «донор» — автомобиль или комплект, являющийся источником деталей; «ядро» — согласованный минимальный набор рабочих модулей и справочников.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02 · ЦЕЛИ И РОЛИ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Цели, пользователи и доступ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Права доступа строятся по принципу минимально необходимой информации.</w:t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2.1. Бизнес‑цели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Обеспечить достоверный остаток и местонахождение каждой детали.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Сократить время от поступления до публикации и продажи.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Объединить склад, продажи, сайт и коммуникации в одном источнике данных.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Сформировать управленческую аналитику по донорам, оборачиваемости и маржинальности.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Создать принадлежащую NUK платформу без обязательной лицензии Pllato за пользователя/карточку.</w:t>
      </w:r>
    </w:p>
    <w:p>
      <w:pPr>
        <w:keepNext/>
        <w:spacing w:before="10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2.2. Роли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46"/>
        <w:gridCol w:w="7113"/>
      </w:tblGrid>
      <w:tr>
        <w:trPr>
          <w:tblHeader w:val="true"/>
        </w:trPr>
        <w:tc>
          <w:tcPr>
            <w:tcW w:type="dxa" w:w="2381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6"/>
              </w:rPr>
              <w:t>Роль</w:t>
            </w:r>
          </w:p>
        </w:tc>
        <w:tc>
          <w:tcPr>
            <w:tcW w:type="dxa" w:w="7540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6"/>
              </w:rPr>
              <w:t>Доступ и ответственность</w:t>
            </w:r>
          </w:p>
        </w:tc>
      </w:tr>
      <w:tr>
        <w:trPr>
          <w:cantSplit/>
        </w:trPr>
        <w:tc>
          <w:tcPr>
            <w:tcW w:type="dxa" w:w="22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Собственник / администратор</w:t>
            </w:r>
          </w:p>
        </w:tc>
        <w:tc>
          <w:tcPr>
            <w:tcW w:type="dxa" w:w="711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Все данные, настройки, пользователи, финансы, аналитика, журнал действий</w:t>
            </w:r>
          </w:p>
        </w:tc>
      </w:tr>
      <w:tr>
        <w:trPr>
          <w:cantSplit/>
        </w:trPr>
        <w:tc>
          <w:tcPr>
            <w:tcW w:type="dxa" w:w="224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Руководитель продаж</w:t>
            </w:r>
          </w:p>
        </w:tc>
        <w:tc>
          <w:tcPr>
            <w:tcW w:type="dxa" w:w="711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Воронка, клиенты, заказы, скидки, резервы, отчёты менеджеров</w:t>
            </w:r>
          </w:p>
        </w:tc>
      </w:tr>
      <w:tr>
        <w:trPr>
          <w:cantSplit/>
        </w:trPr>
        <w:tc>
          <w:tcPr>
            <w:tcW w:type="dxa" w:w="22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Менеджер</w:t>
            </w:r>
          </w:p>
        </w:tc>
        <w:tc>
          <w:tcPr>
            <w:tcW w:type="dxa" w:w="711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Обращения, подбор, клиенты, сделки, резервы и выдача в пределах полномочий</w:t>
            </w:r>
          </w:p>
        </w:tc>
      </w:tr>
      <w:tr>
        <w:trPr>
          <w:cantSplit/>
        </w:trPr>
        <w:tc>
          <w:tcPr>
            <w:tcW w:type="dxa" w:w="224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Кладовщик</w:t>
            </w:r>
          </w:p>
        </w:tc>
        <w:tc>
          <w:tcPr>
            <w:tcW w:type="dxa" w:w="711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Приход, размещение, перемещение, инвентаризация, комплектация и списание</w:t>
            </w:r>
          </w:p>
        </w:tc>
      </w:tr>
      <w:tr>
        <w:trPr>
          <w:cantSplit/>
        </w:trPr>
        <w:tc>
          <w:tcPr>
            <w:tcW w:type="dxa" w:w="22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Мастер / разборщик</w:t>
            </w:r>
          </w:p>
        </w:tc>
        <w:tc>
          <w:tcPr>
            <w:tcW w:type="dxa" w:w="711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Доноры, задания на разбор, детали, фото, состояние и маркировка</w:t>
            </w:r>
          </w:p>
        </w:tc>
      </w:tr>
      <w:tr>
        <w:trPr>
          <w:cantSplit/>
        </w:trPr>
        <w:tc>
          <w:tcPr>
            <w:tcW w:type="dxa" w:w="224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Маркетолог</w:t>
            </w:r>
          </w:p>
        </w:tc>
        <w:tc>
          <w:tcPr>
            <w:tcW w:type="dxa" w:w="711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Каталог сайта, публикации, источники, партнёры, SEO‑поля без доступа к себестоимости</w:t>
            </w:r>
          </w:p>
        </w:tc>
      </w:tr>
      <w:tr>
        <w:trPr>
          <w:cantSplit/>
        </w:trPr>
        <w:tc>
          <w:tcPr>
            <w:tcW w:type="dxa" w:w="22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Наблюдатель</w:t>
            </w:r>
          </w:p>
        </w:tc>
        <w:tc>
          <w:tcPr>
            <w:tcW w:type="dxa" w:w="711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Чтение разрешённых отчётов без изменения данных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Требование доступа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Администратор должен уметь включать/отключать пользователя, назначать роль и ограничивать доступ по площадке. Критические операции журналируются.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03 · ДАННЫЕ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Основные сущности и реквизиты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Структура данных должна поддерживать серийный и количественный учёт, а также дальнейшее расширение через API.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1"/>
        <w:gridCol w:w="7648"/>
      </w:tblGrid>
      <w:tr>
        <w:trPr>
          <w:tblHeader w:val="true"/>
        </w:trPr>
        <w:tc>
          <w:tcPr>
            <w:tcW w:type="dxa" w:w="1814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Сущность</w:t>
            </w:r>
          </w:p>
        </w:tc>
        <w:tc>
          <w:tcPr>
            <w:tcW w:type="dxa" w:w="8107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Обязательные / ключевые поля</w:t>
            </w:r>
          </w:p>
        </w:tc>
      </w:tr>
      <w:tr>
        <w:trPr>
          <w:cantSplit/>
        </w:trPr>
        <w:tc>
          <w:tcPr>
            <w:tcW w:type="dxa" w:w="1711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Донор</w:t>
            </w:r>
          </w:p>
        </w:tc>
        <w:tc>
          <w:tcPr>
            <w:tcW w:type="dxa" w:w="764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ID, VIN/внутренний номер, BMW модель/кузов/поколение, двигатель, год, цвет, пробег, источник, закупка, дата, фото, статус</w:t>
            </w:r>
          </w:p>
        </w:tc>
      </w:tr>
      <w:tr>
        <w:trPr>
          <w:cantSplit/>
        </w:trPr>
        <w:tc>
          <w:tcPr>
            <w:tcW w:type="dxa" w:w="1711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Запчасть</w:t>
            </w:r>
          </w:p>
        </w:tc>
        <w:tc>
          <w:tcPr>
            <w:tcW w:type="dxa" w:w="764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ID, штрихкод NUK, все прежние штрихкоды, название, категория, OEM/кроссы, маркировка, совместимость, состояние, дефекты, фото, цена, себестоимость, донор</w:t>
            </w:r>
          </w:p>
        </w:tc>
      </w:tr>
      <w:tr>
        <w:trPr>
          <w:cantSplit/>
        </w:trPr>
        <w:tc>
          <w:tcPr>
            <w:tcW w:type="dxa" w:w="1711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Остаток</w:t>
            </w:r>
          </w:p>
        </w:tc>
        <w:tc>
          <w:tcPr>
            <w:tcW w:type="dxa" w:w="764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Запчасть, количество, доступно/резерв/брак, площадка, зона, стеллаж, полка, штрихкод складского адреса, дата движения</w:t>
            </w:r>
          </w:p>
        </w:tc>
      </w:tr>
      <w:tr>
        <w:trPr>
          <w:cantSplit/>
        </w:trPr>
        <w:tc>
          <w:tcPr>
            <w:tcW w:type="dxa" w:w="1711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Поступление</w:t>
            </w:r>
          </w:p>
        </w:tc>
        <w:tc>
          <w:tcPr>
            <w:tcW w:type="dxa" w:w="764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Номер, дата, поставщик/контейнер, доноры, позиции, количество, стоимость, ответственный, статус проверки</w:t>
            </w:r>
          </w:p>
        </w:tc>
      </w:tr>
      <w:tr>
        <w:trPr>
          <w:cantSplit/>
        </w:trPr>
        <w:tc>
          <w:tcPr>
            <w:tcW w:type="dxa" w:w="1711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Клиент</w:t>
            </w:r>
          </w:p>
        </w:tc>
        <w:tc>
          <w:tcPr>
            <w:tcW w:type="dxa" w:w="764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ФИО/компания, телефоны, WhatsApp, BMW/VIN, история, согласия, теги, источник</w:t>
            </w:r>
          </w:p>
        </w:tc>
      </w:tr>
      <w:tr>
        <w:trPr>
          <w:cantSplit/>
        </w:trPr>
        <w:tc>
          <w:tcPr>
            <w:tcW w:type="dxa" w:w="1711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Сделка/заказ</w:t>
            </w:r>
          </w:p>
        </w:tc>
        <w:tc>
          <w:tcPr>
            <w:tcW w:type="dxa" w:w="764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Источник, клиент, позиции, цены, скидка, резерв, оплата, доставка/выдача, ответственный, этап, причины отказа</w:t>
            </w:r>
          </w:p>
        </w:tc>
      </w:tr>
      <w:tr>
        <w:trPr>
          <w:cantSplit/>
        </w:trPr>
        <w:tc>
          <w:tcPr>
            <w:tcW w:type="dxa" w:w="1711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Партнёр</w:t>
            </w:r>
          </w:p>
        </w:tc>
        <w:tc>
          <w:tcPr>
            <w:tcW w:type="dxa" w:w="764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СТО/блогер, код, ставка/скидка, контакты, сделки, начисления и взаиморасчёты</w:t>
            </w:r>
          </w:p>
        </w:tc>
      </w:tr>
      <w:tr>
        <w:trPr>
          <w:cantSplit/>
        </w:trPr>
        <w:tc>
          <w:tcPr>
            <w:tcW w:type="dxa" w:w="1711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Задача</w:t>
            </w:r>
          </w:p>
        </w:tc>
        <w:tc>
          <w:tcPr>
            <w:tcW w:type="dxa" w:w="764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Проект/доска, этап, заголовок, срок, ответственный, чек‑лист, комментарии, вложения, связь с сущностью</w:t>
            </w:r>
          </w:p>
        </w:tc>
      </w:tr>
      <w:tr>
        <w:trPr>
          <w:cantSplit/>
        </w:trPr>
        <w:tc>
          <w:tcPr>
            <w:tcW w:type="dxa" w:w="1711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Движение</w:t>
            </w:r>
          </w:p>
        </w:tc>
        <w:tc>
          <w:tcPr>
            <w:tcW w:type="dxa" w:w="764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Тип, дата/время, количество, откуда/куда, основание, пользователь, комментарий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DF8F2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14804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14804A"/>
                <w:sz w:val="20"/>
              </w:rPr>
              <w:t>Идентичность товара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Уникальный ID/штрихкод NUK не изменяется при перемещении; все прежние штрихкоды сохраняются как действующие идентификаторы и ведут в ту же карточку детали.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04 · ДОНОРЫ И ПОСТУПЛЕНИЯ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FR‑01. Донорский цикл и приёмка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Система должна проводить новую партию от регистрации до размещённых и готовых к продаже деталей.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6"/>
        <w:gridCol w:w="4492"/>
        <w:gridCol w:w="3690"/>
      </w:tblGrid>
      <w:tr>
        <w:trPr>
          <w:tblHeader w:val="true"/>
        </w:trPr>
        <w:tc>
          <w:tcPr>
            <w:tcW w:type="dxa" w:w="1247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ID</w:t>
            </w:r>
          </w:p>
        </w:tc>
        <w:tc>
          <w:tcPr>
            <w:tcW w:type="dxa" w:w="4762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Требование</w:t>
            </w:r>
          </w:p>
        </w:tc>
        <w:tc>
          <w:tcPr>
            <w:tcW w:type="dxa" w:w="3912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Проверяемый результат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FR‑01.01</w:t>
            </w:r>
          </w:p>
        </w:tc>
        <w:tc>
          <w:tcPr>
            <w:tcW w:type="dxa" w:w="449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Создание донора/партии вручную или импортом</w:t>
            </w:r>
          </w:p>
        </w:tc>
        <w:tc>
          <w:tcPr>
            <w:tcW w:type="dxa" w:w="369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Карточка имеет номер, характеристики, стоимость и статус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FR‑01.02</w:t>
            </w:r>
          </w:p>
        </w:tc>
        <w:tc>
          <w:tcPr>
            <w:tcW w:type="dxa" w:w="449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Шаблон типовых деталей по модели/кузову</w:t>
            </w:r>
          </w:p>
        </w:tc>
        <w:tc>
          <w:tcPr>
            <w:tcW w:type="dxa" w:w="369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Пользователь создаёт список деталей без повторного ввода общих данных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FR‑01.03</w:t>
            </w:r>
          </w:p>
        </w:tc>
        <w:tc>
          <w:tcPr>
            <w:tcW w:type="dxa" w:w="449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Задания на разбор по исполнителям</w:t>
            </w:r>
          </w:p>
        </w:tc>
        <w:tc>
          <w:tcPr>
            <w:tcW w:type="dxa" w:w="369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Видны план, срок, прогресс и фактические позиции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FR‑01.04</w:t>
            </w:r>
          </w:p>
        </w:tc>
        <w:tc>
          <w:tcPr>
            <w:tcW w:type="dxa" w:w="449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Фото и состояние с мобильного устройства</w:t>
            </w:r>
          </w:p>
        </w:tc>
        <w:tc>
          <w:tcPr>
            <w:tcW w:type="dxa" w:w="369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Фото прикрепляется к конкретной детали; дефект фиксируется отдельно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FR‑01.05</w:t>
            </w:r>
          </w:p>
        </w:tc>
        <w:tc>
          <w:tcPr>
            <w:tcW w:type="dxa" w:w="449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Импорт, генерация, массовая печать и сканирование штрихкода каждой детали</w:t>
            </w:r>
          </w:p>
        </w:tc>
        <w:tc>
          <w:tcPr>
            <w:tcW w:type="dxa" w:w="369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Новый и любой перенесённый штрихкод открывают одну карточку; этикетка печатается пакетно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FR‑01.06</w:t>
            </w:r>
          </w:p>
        </w:tc>
        <w:tc>
          <w:tcPr>
            <w:tcW w:type="dxa" w:w="449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Пакетная приёмка контейнера</w:t>
            </w:r>
          </w:p>
        </w:tc>
        <w:tc>
          <w:tcPr>
            <w:tcW w:type="dxa" w:w="369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Позиции группируются по партии и проходят статус проверки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FR‑01.07</w:t>
            </w:r>
          </w:p>
        </w:tc>
        <w:tc>
          <w:tcPr>
            <w:tcW w:type="dxa" w:w="449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Расчёт окупаемости донора</w:t>
            </w:r>
          </w:p>
        </w:tc>
        <w:tc>
          <w:tcPr>
            <w:tcW w:type="dxa" w:w="369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Сопоставлены закупка, поступившие детали, продажи и текущий остаток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FR‑01.08</w:t>
            </w:r>
          </w:p>
        </w:tc>
        <w:tc>
          <w:tcPr>
            <w:tcW w:type="dxa" w:w="449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Статусы процесса</w:t>
            </w:r>
          </w:p>
        </w:tc>
        <w:tc>
          <w:tcPr>
            <w:tcW w:type="dxa" w:w="369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Ожидается → принят → в разборе → проверка → размещён → закрыт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10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Правила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Деталь нельзя опубликовать как доступную без площадки/ячейки либо явного статуса «ожидает размещения».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Себестоимость может распределяться между деталями по правилам, утверждённым NUK; ручная корректировка доступна только уполномоченной роли.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Закрытие донора не удаляет детали и историю операций.</w:t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05 · КАТАЛОГ И СКЛАД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FR‑02. Каталог, остатки и инвентаризация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Склад — центральный источник наличия для внутренних пользователей и сайта.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6"/>
        <w:gridCol w:w="4653"/>
        <w:gridCol w:w="3530"/>
      </w:tblGrid>
      <w:tr>
        <w:trPr>
          <w:tblHeader w:val="true"/>
        </w:trPr>
        <w:tc>
          <w:tcPr>
            <w:tcW w:type="dxa" w:w="1247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ID</w:t>
            </w:r>
          </w:p>
        </w:tc>
        <w:tc>
          <w:tcPr>
            <w:tcW w:type="dxa" w:w="4932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Требование</w:t>
            </w:r>
          </w:p>
        </w:tc>
        <w:tc>
          <w:tcPr>
            <w:tcW w:type="dxa" w:w="3742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Критерий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FR‑02.01</w:t>
            </w:r>
          </w:p>
        </w:tc>
        <w:tc>
          <w:tcPr>
            <w:tcW w:type="dxa" w:w="465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Поиск по ID, OEM/кроссу, названию, BMW, VIN/кузову, маркировке и полке</w:t>
            </w:r>
          </w:p>
        </w:tc>
        <w:tc>
          <w:tcPr>
            <w:tcW w:type="dxa" w:w="353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Релевантные результаты открываются без просмотра всех карточек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FR‑02.02</w:t>
            </w:r>
          </w:p>
        </w:tc>
        <w:tc>
          <w:tcPr>
            <w:tcW w:type="dxa" w:w="465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Раздельный остаток по двум площадкам и ячейкам</w:t>
            </w:r>
          </w:p>
        </w:tc>
        <w:tc>
          <w:tcPr>
            <w:tcW w:type="dxa" w:w="353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Сумма по ячейкам равна общему остатку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FR‑02.03</w:t>
            </w:r>
          </w:p>
        </w:tc>
        <w:tc>
          <w:tcPr>
            <w:tcW w:type="dxa" w:w="465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Операции приход/расход/резерв/снятие/перемещение/списание/возврат</w:t>
            </w:r>
          </w:p>
        </w:tc>
        <w:tc>
          <w:tcPr>
            <w:tcW w:type="dxa" w:w="353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Каждая операция создаёт запись движения и автора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FR‑02.04</w:t>
            </w:r>
          </w:p>
        </w:tc>
        <w:tc>
          <w:tcPr>
            <w:tcW w:type="dxa" w:w="465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Инвентаризация по площадке, зоне, стеллажу или выборке</w:t>
            </w:r>
          </w:p>
        </w:tc>
        <w:tc>
          <w:tcPr>
            <w:tcW w:type="dxa" w:w="353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Система фиксирует план/факт и создаёт корректировку после подтверждения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FR‑02.05</w:t>
            </w:r>
          </w:p>
        </w:tc>
        <w:tc>
          <w:tcPr>
            <w:tcW w:type="dxa" w:w="465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Контроль дублей по OEM, донору, маркировке и фото</w:t>
            </w:r>
          </w:p>
        </w:tc>
        <w:tc>
          <w:tcPr>
            <w:tcW w:type="dxa" w:w="353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Пользователь получает предупреждение и может объединить/разделить карточки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FR‑02.06</w:t>
            </w:r>
          </w:p>
        </w:tc>
        <w:tc>
          <w:tcPr>
            <w:tcW w:type="dxa" w:w="465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Массовое изменение допустимых полей</w:t>
            </w:r>
          </w:p>
        </w:tc>
        <w:tc>
          <w:tcPr>
            <w:tcW w:type="dxa" w:w="353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Выбранные позиции меняются с предпросмотром и журналом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FR‑02.07</w:t>
            </w:r>
          </w:p>
        </w:tc>
        <w:tc>
          <w:tcPr>
            <w:tcW w:type="dxa" w:w="465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Статусы доступности</w:t>
            </w:r>
          </w:p>
        </w:tc>
        <w:tc>
          <w:tcPr>
            <w:tcW w:type="dxa" w:w="353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В наличии / резерв / продано / брак / ожидает размещения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FR‑02.08</w:t>
            </w:r>
          </w:p>
        </w:tc>
        <w:tc>
          <w:tcPr>
            <w:tcW w:type="dxa" w:w="465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Минимальный и залежалый остаток</w:t>
            </w:r>
          </w:p>
        </w:tc>
        <w:tc>
          <w:tcPr>
            <w:tcW w:type="dxa" w:w="353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Система формирует списки контроля и сигналы собственнику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FR‑02.09</w:t>
            </w:r>
          </w:p>
        </w:tc>
        <w:tc>
          <w:tcPr>
            <w:tcW w:type="dxa" w:w="465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Уникальный штрихкод каждой зоны, стеллажа и полки на обеих площадках</w:t>
            </w:r>
          </w:p>
        </w:tc>
        <w:tc>
          <w:tcPr>
            <w:tcW w:type="dxa" w:w="353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Сканирование кода открывает адрес, содержимое и журнал движений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FR‑02.10</w:t>
            </w:r>
          </w:p>
        </w:tc>
        <w:tc>
          <w:tcPr>
            <w:tcW w:type="dxa" w:w="465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Сканирование штрихкодов детали и полки при размещении, перемещении, инвентаризации и выдаче</w:t>
            </w:r>
          </w:p>
        </w:tc>
        <w:tc>
          <w:tcPr>
            <w:tcW w:type="dxa" w:w="353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Операция не теряет связь деталь → адрес; ошибки и несовпадения блокируются или подтверждаются ответственным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Производительность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Каталог проектируется для не менее чем 70 000 карточек и не менее 300 000 записей движения при корректной серверной конфигурации. Поиск и фильтры выполняются серверно с индексами.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06 · ПРОДАЖИ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FR‑03. CRM, заказы и коммуникации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Обращение должно превращаться в управляемую сделку с подбором из живого остатка.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6"/>
        <w:gridCol w:w="4546"/>
        <w:gridCol w:w="3637"/>
      </w:tblGrid>
      <w:tr>
        <w:trPr>
          <w:tblHeader w:val="true"/>
        </w:trPr>
        <w:tc>
          <w:tcPr>
            <w:tcW w:type="dxa" w:w="1247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ID</w:t>
            </w:r>
          </w:p>
        </w:tc>
        <w:tc>
          <w:tcPr>
            <w:tcW w:type="dxa" w:w="4819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Требование</w:t>
            </w:r>
          </w:p>
        </w:tc>
        <w:tc>
          <w:tcPr>
            <w:tcW w:type="dxa" w:w="3855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Критерий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FR‑03.01</w:t>
            </w:r>
          </w:p>
        </w:tc>
        <w:tc>
          <w:tcPr>
            <w:tcW w:type="dxa" w:w="45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Единая воронка обращений и заказов</w:t>
            </w:r>
          </w:p>
        </w:tc>
        <w:tc>
          <w:tcPr>
            <w:tcW w:type="dxa" w:w="363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Этапы, ответственный, срок следующего действия и причина отказа видны в карточке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FR‑03.02</w:t>
            </w:r>
          </w:p>
        </w:tc>
        <w:tc>
          <w:tcPr>
            <w:tcW w:type="dxa" w:w="454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Создание сделки из клиента/входящего канала</w:t>
            </w:r>
          </w:p>
        </w:tc>
        <w:tc>
          <w:tcPr>
            <w:tcW w:type="dxa" w:w="363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Контакт, источник и история не вводятся повторно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FR‑03.03</w:t>
            </w:r>
          </w:p>
        </w:tc>
        <w:tc>
          <w:tcPr>
            <w:tcW w:type="dxa" w:w="45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Подбор позиции из склада</w:t>
            </w:r>
          </w:p>
        </w:tc>
        <w:tc>
          <w:tcPr>
            <w:tcW w:type="dxa" w:w="363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Менеджер видит фото, OEM, цену, точку, доступность и может добавить в заказ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FR‑03.04</w:t>
            </w:r>
          </w:p>
        </w:tc>
        <w:tc>
          <w:tcPr>
            <w:tcW w:type="dxa" w:w="454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Резерв с датой окончания</w:t>
            </w:r>
          </w:p>
        </w:tc>
        <w:tc>
          <w:tcPr>
            <w:tcW w:type="dxa" w:w="363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Количество становится недоступным другим заказам и автоматически контролируется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FR‑03.05</w:t>
            </w:r>
          </w:p>
        </w:tc>
        <w:tc>
          <w:tcPr>
            <w:tcW w:type="dxa" w:w="45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Скидка по полномочиям и партнёрскому коду</w:t>
            </w:r>
          </w:p>
        </w:tc>
        <w:tc>
          <w:tcPr>
            <w:tcW w:type="dxa" w:w="363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Система сохраняет основание, автора, скидку клиенту и начисление партнёру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FR‑03.06</w:t>
            </w:r>
          </w:p>
        </w:tc>
        <w:tc>
          <w:tcPr>
            <w:tcW w:type="dxa" w:w="454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Статусы оплаты и выдачи</w:t>
            </w:r>
          </w:p>
        </w:tc>
        <w:tc>
          <w:tcPr>
            <w:tcW w:type="dxa" w:w="363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Не оплачено / частично / оплачено; самовывоз / перемещение / доставка / выдано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FR‑03.07</w:t>
            </w:r>
          </w:p>
        </w:tc>
        <w:tc>
          <w:tcPr>
            <w:tcW w:type="dxa" w:w="45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Возврат с причиной и состоянием</w:t>
            </w:r>
          </w:p>
        </w:tc>
        <w:tc>
          <w:tcPr>
            <w:tcW w:type="dxa" w:w="363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Возврат создаёт обратное движение либо перевод в брак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FR‑03.08</w:t>
            </w:r>
          </w:p>
        </w:tc>
        <w:tc>
          <w:tcPr>
            <w:tcW w:type="dxa" w:w="454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WhatsApp и телефония</w:t>
            </w:r>
          </w:p>
        </w:tc>
        <w:tc>
          <w:tcPr>
            <w:tcW w:type="dxa" w:w="363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При наличии официального API сообщение/звонок связывается с клиентом и сделкой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FR‑03.09</w:t>
            </w:r>
          </w:p>
        </w:tc>
        <w:tc>
          <w:tcPr>
            <w:tcW w:type="dxa" w:w="45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Контроль пропущенных действий</w:t>
            </w:r>
          </w:p>
        </w:tc>
        <w:tc>
          <w:tcPr>
            <w:tcW w:type="dxa" w:w="363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Просроченные задачи и необработанные обращения видны руководителю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100" w:after="80" w:line="252" w:lineRule="auto"/>
      </w:pPr>
      <w:r>
        <w:rPr>
          <w:rFonts w:ascii="Arial" w:hAnsi="Arial" w:eastAsia="Arial"/>
          <w:b/>
          <w:caps w:val="0"/>
          <w:color w:val="0B1930"/>
          <w:sz w:val="22"/>
        </w:rPr>
        <w:t>Базовые этапы воронки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aps w:val="0"/>
          <w:color w:val="172033"/>
          <w:sz w:val="19"/>
        </w:rPr>
        <w:t>Новый запрос → подбор → предложение → резерв → оплата → комплектация → выдача/доставка → завершено. Отказ фиксируется с причиной на любом этапе.</w:t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07 · ПУБЛИЧНЫЙ КАТАЛОГ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FR‑04. Сайт и BMW‑каталог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Каталог должен быть простым для клиента, адаптивным для телефона и синхронным со складом.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6"/>
        <w:gridCol w:w="4385"/>
        <w:gridCol w:w="3797"/>
      </w:tblGrid>
      <w:tr>
        <w:trPr>
          <w:tblHeader w:val="true"/>
        </w:trPr>
        <w:tc>
          <w:tcPr>
            <w:tcW w:type="dxa" w:w="1247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ID</w:t>
            </w:r>
          </w:p>
        </w:tc>
        <w:tc>
          <w:tcPr>
            <w:tcW w:type="dxa" w:w="4649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Требование</w:t>
            </w:r>
          </w:p>
        </w:tc>
        <w:tc>
          <w:tcPr>
            <w:tcW w:type="dxa" w:w="4025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Критерий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FR‑04.01</w:t>
            </w:r>
          </w:p>
        </w:tc>
        <w:tc>
          <w:tcPr>
            <w:tcW w:type="dxa" w:w="4385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Каталог и поиск по OEM/названию/BMW</w:t>
            </w:r>
          </w:p>
        </w:tc>
        <w:tc>
          <w:tcPr>
            <w:tcW w:type="dxa" w:w="37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Клиент получает карточки с реальным наличием и фото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FR‑04.02</w:t>
            </w:r>
          </w:p>
        </w:tc>
        <w:tc>
          <w:tcPr>
            <w:tcW w:type="dxa" w:w="4385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Фильтры модель/поколение/кузов/двигатель/год/категория/цена/точка</w:t>
            </w:r>
          </w:p>
        </w:tc>
        <w:tc>
          <w:tcPr>
            <w:tcW w:type="dxa" w:w="379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Фильтры комбинируются и отражаются в URL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FR‑04.03</w:t>
            </w:r>
          </w:p>
        </w:tc>
        <w:tc>
          <w:tcPr>
            <w:tcW w:type="dxa" w:w="4385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Карточка конкретной б/у детали</w:t>
            </w:r>
          </w:p>
        </w:tc>
        <w:tc>
          <w:tcPr>
            <w:tcW w:type="dxa" w:w="37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Фото, состояние, дефекты, OEM, совместимость, цена, наличие и точка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FR‑04.04</w:t>
            </w:r>
          </w:p>
        </w:tc>
        <w:tc>
          <w:tcPr>
            <w:tcW w:type="dxa" w:w="4385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Быстрый запрос менеджеру</w:t>
            </w:r>
          </w:p>
        </w:tc>
        <w:tc>
          <w:tcPr>
            <w:tcW w:type="dxa" w:w="379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В обращение передаются ID детали, URL, источник/UTM и контакт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FR‑04.05</w:t>
            </w:r>
          </w:p>
        </w:tc>
        <w:tc>
          <w:tcPr>
            <w:tcW w:type="dxa" w:w="4385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Заявка по VIN и списку деталей</w:t>
            </w:r>
          </w:p>
        </w:tc>
        <w:tc>
          <w:tcPr>
            <w:tcW w:type="dxa" w:w="37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Клиент может приложить фото и согласиться на обработку данных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FR‑04.06</w:t>
            </w:r>
          </w:p>
        </w:tc>
        <w:tc>
          <w:tcPr>
            <w:tcW w:type="dxa" w:w="4385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Предварительное техническое SEO каталога</w:t>
            </w:r>
          </w:p>
        </w:tc>
        <w:tc>
          <w:tcPr>
            <w:tcW w:type="dxa" w:w="379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ЧПУ, title/description, canonical, sitemap, robots и структурированные данные товара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FR‑04.07</w:t>
            </w:r>
          </w:p>
        </w:tc>
        <w:tc>
          <w:tcPr>
            <w:tcW w:type="dxa" w:w="4385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Синхронизация статуса</w:t>
            </w:r>
          </w:p>
        </w:tc>
        <w:tc>
          <w:tcPr>
            <w:tcW w:type="dxa" w:w="37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Продажа/резерв меняет доступность на сайте по согласованному регламенту</w:t>
            </w:r>
          </w:p>
        </w:tc>
      </w:tr>
      <w:tr>
        <w:trPr>
          <w:cantSplit/>
        </w:trPr>
        <w:tc>
          <w:tcPr>
            <w:tcW w:type="dxa" w:w="11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FR‑04.08</w:t>
            </w:r>
          </w:p>
        </w:tc>
        <w:tc>
          <w:tcPr>
            <w:tcW w:type="dxa" w:w="4385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Адаптивность</w:t>
            </w:r>
          </w:p>
        </w:tc>
        <w:tc>
          <w:tcPr>
            <w:tcW w:type="dxa" w:w="379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Основные сценарии работают на экранах от 360 px без горизонтальной прокрутки</w:t>
            </w:r>
          </w:p>
        </w:tc>
      </w:tr>
      <w:tr>
        <w:trPr>
          <w:cantSplit/>
        </w:trPr>
        <w:tc>
          <w:tcPr>
            <w:tcW w:type="dxa" w:w="11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FR‑04.09</w:t>
            </w:r>
          </w:p>
        </w:tc>
        <w:tc>
          <w:tcPr>
            <w:tcW w:type="dxa" w:w="4385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Универсальная адаптивная посадочная страница для рекламы в социальных сетях</w:t>
            </w:r>
          </w:p>
        </w:tc>
        <w:tc>
          <w:tcPr>
            <w:tcW w:type="dxa" w:w="37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Оффер, преимущества, подбор, реальные позиции каталога, WhatsApp/звонок/форма и UTM передаются в CRM; контент можно менять без переделки сайта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FFF5EB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B54708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B54708"/>
                <w:sz w:val="20"/>
              </w:rPr>
              <w:t>SEO‑границы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Проект включает предварительную техническую SEO‑подготовку каталога и универсальный рекламный лендинг. Гарантированные позиции, регулярный контент, закупка ссылок и постоянное SEO‑ведение не входят.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08 · УПРАВЛЕНИЕ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FR‑05. Задачи, аналитика и партнёры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Система должна показывать не только факты, но и действия, которые требуют внимания.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9"/>
        <w:gridCol w:w="7220"/>
      </w:tblGrid>
      <w:tr>
        <w:trPr>
          <w:tblHeader w:val="true"/>
        </w:trPr>
        <w:tc>
          <w:tcPr>
            <w:tcW w:type="dxa" w:w="2268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Блок</w:t>
            </w:r>
          </w:p>
        </w:tc>
        <w:tc>
          <w:tcPr>
            <w:tcW w:type="dxa" w:w="7654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Функциональные требования</w:t>
            </w:r>
          </w:p>
        </w:tc>
      </w:tr>
      <w:tr>
        <w:trPr>
          <w:cantSplit/>
        </w:trPr>
        <w:tc>
          <w:tcPr>
            <w:tcW w:type="dxa" w:w="213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Задачи</w:t>
            </w:r>
          </w:p>
        </w:tc>
        <w:tc>
          <w:tcPr>
            <w:tcW w:type="dxa" w:w="722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Доски по процессам; колонки/этапы; карточки с ответственным, сроком, приоритетом, чек‑листом, файлами, комментариями и связью с донором/деталью/сделкой.</w:t>
            </w:r>
          </w:p>
        </w:tc>
      </w:tr>
      <w:tr>
        <w:trPr>
          <w:cantSplit/>
        </w:trPr>
        <w:tc>
          <w:tcPr>
            <w:tcW w:type="dxa" w:w="213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Пульт</w:t>
            </w:r>
          </w:p>
        </w:tc>
        <w:tc>
          <w:tcPr>
            <w:tcW w:type="dxa" w:w="722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Продажи сегодня/период, валовая маржа, сумма и возраст остатка, резервы, необработанные обращения, просроченные задачи, риск‑сигналы.</w:t>
            </w:r>
          </w:p>
        </w:tc>
      </w:tr>
      <w:tr>
        <w:trPr>
          <w:cantSplit/>
        </w:trPr>
        <w:tc>
          <w:tcPr>
            <w:tcW w:type="dxa" w:w="213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Складская аналитика</w:t>
            </w:r>
          </w:p>
        </w:tc>
        <w:tc>
          <w:tcPr>
            <w:tcW w:type="dxa" w:w="722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ABC/XYZ, оборачиваемость, залежалость, продажи по категориям/OEM/моделям, остаток и движение по площадке.</w:t>
            </w:r>
          </w:p>
        </w:tc>
      </w:tr>
      <w:tr>
        <w:trPr>
          <w:cantSplit/>
        </w:trPr>
        <w:tc>
          <w:tcPr>
            <w:tcW w:type="dxa" w:w="213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Доноры</w:t>
            </w:r>
          </w:p>
        </w:tc>
        <w:tc>
          <w:tcPr>
            <w:tcW w:type="dxa" w:w="722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Закупочная стоимость, ожидаемая выручка, фактическая выручка, остаток, маржа и процент окупаемости.</w:t>
            </w:r>
          </w:p>
        </w:tc>
      </w:tr>
      <w:tr>
        <w:trPr>
          <w:cantSplit/>
        </w:trPr>
        <w:tc>
          <w:tcPr>
            <w:tcW w:type="dxa" w:w="213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Продажи</w:t>
            </w:r>
          </w:p>
        </w:tc>
        <w:tc>
          <w:tcPr>
            <w:tcW w:type="dxa" w:w="722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Конверсия по этапам, средний чек, маржа, причины отказа, результат менеджеров, источники и кампании.</w:t>
            </w:r>
          </w:p>
        </w:tc>
      </w:tr>
      <w:tr>
        <w:trPr>
          <w:cantSplit/>
        </w:trPr>
        <w:tc>
          <w:tcPr>
            <w:tcW w:type="dxa" w:w="213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Партнёры</w:t>
            </w:r>
          </w:p>
        </w:tc>
        <w:tc>
          <w:tcPr>
            <w:tcW w:type="dxa" w:w="722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Коды СТО/блогеров, условия скидки/вознаграждения, сделки, начислено, выплачено, период и ответственный.</w:t>
            </w:r>
          </w:p>
        </w:tc>
      </w:tr>
      <w:tr>
        <w:trPr>
          <w:cantSplit/>
        </w:trPr>
        <w:tc>
          <w:tcPr>
            <w:tcW w:type="dxa" w:w="213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AI‑сигналы</w:t>
            </w:r>
          </w:p>
        </w:tc>
        <w:tc>
          <w:tcPr>
            <w:tcW w:type="dxa" w:w="722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Правила/модели выявляют залежалость, аномальные скидки, просроченные резервы и дефицит данных; пользователь подтверждает решение.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DF8F2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14804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14804A"/>
                <w:sz w:val="20"/>
              </w:rPr>
              <w:t>Управленческий принцип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Любой показатель должен раскрываться до исходных карточек и операций. Итог без возможности проверить первичные данные не считается достаточным.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09 · ИНТЕГРАЦИИ И МИГРАЦИЯ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FR‑06. Обмен данными и перенос Bazon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Интеграции реализуются только через разрешённые механизмы и подтверждённые технические доступы.</w:t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9.1. Миграция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9"/>
        <w:gridCol w:w="7220"/>
      </w:tblGrid>
      <w:tr>
        <w:trPr>
          <w:tblHeader w:val="true"/>
        </w:trPr>
        <w:tc>
          <w:tcPr>
            <w:tcW w:type="dxa" w:w="2268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6"/>
              </w:rPr>
              <w:t>Этап</w:t>
            </w:r>
          </w:p>
        </w:tc>
        <w:tc>
          <w:tcPr>
            <w:tcW w:type="dxa" w:w="7654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6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13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Аудит</w:t>
            </w:r>
          </w:p>
        </w:tc>
        <w:tc>
          <w:tcPr>
            <w:tcW w:type="dxa" w:w="722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Список таблиц/полей/фото и всех полей штрихкодов, объёмы, дубли, отсутствующие значения и ограничения экспорта</w:t>
            </w:r>
          </w:p>
        </w:tc>
      </w:tr>
      <w:tr>
        <w:trPr>
          <w:cantSplit/>
        </w:trPr>
        <w:tc>
          <w:tcPr>
            <w:tcW w:type="dxa" w:w="213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Карта</w:t>
            </w:r>
          </w:p>
        </w:tc>
        <w:tc>
          <w:tcPr>
            <w:tcW w:type="dxa" w:w="722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Сопоставление Bazon → NUK Control, включая каждый прежний штрихкод и складской адрес; правила преобразования и конфликтов</w:t>
            </w:r>
          </w:p>
        </w:tc>
      </w:tr>
      <w:tr>
        <w:trPr>
          <w:cantSplit/>
        </w:trPr>
        <w:tc>
          <w:tcPr>
            <w:tcW w:type="dxa" w:w="213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Проба</w:t>
            </w:r>
          </w:p>
        </w:tc>
        <w:tc>
          <w:tcPr>
            <w:tcW w:type="dxa" w:w="722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Импорт 50–100 карточек со штрихкодами; сверка кодов, фото, полей и письменное согласование</w:t>
            </w:r>
          </w:p>
        </w:tc>
      </w:tr>
      <w:tr>
        <w:trPr>
          <w:cantSplit/>
        </w:trPr>
        <w:tc>
          <w:tcPr>
            <w:tcW w:type="dxa" w:w="213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Основной перенос</w:t>
            </w:r>
          </w:p>
        </w:tc>
        <w:tc>
          <w:tcPr>
            <w:tcW w:type="dxa" w:w="722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Карточки, фото, история и все доступные штрихкоды; таблица старый код → карточка NUK и отчёт импортировано/пропущено/конфликт</w:t>
            </w:r>
          </w:p>
        </w:tc>
      </w:tr>
      <w:tr>
        <w:trPr>
          <w:cantSplit/>
        </w:trPr>
        <w:tc>
          <w:tcPr>
            <w:tcW w:type="dxa" w:w="213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Переключение</w:t>
            </w:r>
          </w:p>
        </w:tc>
        <w:tc>
          <w:tcPr>
            <w:tcW w:type="dxa" w:w="722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Финальная дельта, контроль количества штрихкодов, список конфликтов, контрольные суммы и архив исходной выгрузки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10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9.2. Интерфейсы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Внутренний API каталога и остатков для сайта NUK.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Webhook/API приёма заявок из каталога и универсального рекламного лендинга с UTM‑параметрами.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WhatsApp Business и телефония — после выбора провайдера и получения официальных ключей/номеров.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Kolesa и иные площадки — только официальный API, фид или разрешённый импорт; иначе формируется допустимый файл/ручной регламент.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Экспорт основных справочников и операций NUK в CSV/XLSX для контроля и резервного использования.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FFF5EB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B54708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B54708"/>
                <w:sz w:val="20"/>
              </w:rPr>
              <w:t>Зависимость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Срок интеграции с внешним сервисом приостанавливается на период, когда сервис не предоставил доступ, документацию либо изменил правила. Это не блокирует сдачу независимых модулей NUK Control.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10 · НЕФУНКЦИОНАЛЬНЫЕ ТРЕБОВАНИЯ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NFR. Надёжность, безопасность и эксплуатация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Система должна сохранять управляемость при росте каталога, пользователей и операций.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3"/>
        <w:gridCol w:w="8076"/>
      </w:tblGrid>
      <w:tr>
        <w:trPr>
          <w:tblHeader w:val="true"/>
        </w:trPr>
        <w:tc>
          <w:tcPr>
            <w:tcW w:type="dxa" w:w="1361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ID</w:t>
            </w:r>
          </w:p>
        </w:tc>
        <w:tc>
          <w:tcPr>
            <w:tcW w:type="dxa" w:w="8561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128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NFR‑01</w:t>
            </w:r>
          </w:p>
        </w:tc>
        <w:tc>
          <w:tcPr>
            <w:tcW w:type="dxa" w:w="80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Веб‑интерфейс на русском языке; поддержка актуальных Chrome, Safari и мобильных браузеров.</w:t>
            </w:r>
          </w:p>
        </w:tc>
      </w:tr>
      <w:tr>
        <w:trPr>
          <w:cantSplit/>
        </w:trPr>
        <w:tc>
          <w:tcPr>
            <w:tcW w:type="dxa" w:w="128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NFR‑02</w:t>
            </w:r>
          </w:p>
        </w:tc>
        <w:tc>
          <w:tcPr>
            <w:tcW w:type="dxa" w:w="80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Адаптивный интерфейс; ключевые складские и продажные операции доступны со смартфона.</w:t>
            </w:r>
          </w:p>
        </w:tc>
      </w:tr>
      <w:tr>
        <w:trPr>
          <w:cantSplit/>
        </w:trPr>
        <w:tc>
          <w:tcPr>
            <w:tcW w:type="dxa" w:w="128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NFR‑03</w:t>
            </w:r>
          </w:p>
        </w:tc>
        <w:tc>
          <w:tcPr>
            <w:tcW w:type="dxa" w:w="80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Разграничение прав по ролям и площадкам; пароли хранятся только в виде стойких хешей.</w:t>
            </w:r>
          </w:p>
        </w:tc>
      </w:tr>
      <w:tr>
        <w:trPr>
          <w:cantSplit/>
        </w:trPr>
        <w:tc>
          <w:tcPr>
            <w:tcW w:type="dxa" w:w="128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NFR‑04</w:t>
            </w:r>
          </w:p>
        </w:tc>
        <w:tc>
          <w:tcPr>
            <w:tcW w:type="dxa" w:w="80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Журнал входов и критических изменений: остаток, цена, скидка, себестоимость, роль, удаление/архив.</w:t>
            </w:r>
          </w:p>
        </w:tc>
      </w:tr>
      <w:tr>
        <w:trPr>
          <w:cantSplit/>
        </w:trPr>
        <w:tc>
          <w:tcPr>
            <w:tcW w:type="dxa" w:w="128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NFR‑05</w:t>
            </w:r>
          </w:p>
        </w:tc>
        <w:tc>
          <w:tcPr>
            <w:tcW w:type="dxa" w:w="80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Ежедневное резервное копирование базы и регулярная проверка восстановления; срок хранения согласуется при развёртывании.</w:t>
            </w:r>
          </w:p>
        </w:tc>
      </w:tr>
      <w:tr>
        <w:trPr>
          <w:cantSplit/>
        </w:trPr>
        <w:tc>
          <w:tcPr>
            <w:tcW w:type="dxa" w:w="128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NFR‑06</w:t>
            </w:r>
          </w:p>
        </w:tc>
        <w:tc>
          <w:tcPr>
            <w:tcW w:type="dxa" w:w="80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HTTPS, защита сессий, ограничение попыток входа, проверка файлов и серверная валидация входных данных.</w:t>
            </w:r>
          </w:p>
        </w:tc>
      </w:tr>
      <w:tr>
        <w:trPr>
          <w:cantSplit/>
        </w:trPr>
        <w:tc>
          <w:tcPr>
            <w:tcW w:type="dxa" w:w="128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NFR‑07</w:t>
            </w:r>
          </w:p>
        </w:tc>
        <w:tc>
          <w:tcPr>
            <w:tcW w:type="dxa" w:w="80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Серверная пагинация/поиск; основные списки не загружают весь каталог на устройство пользователя.</w:t>
            </w:r>
          </w:p>
        </w:tc>
      </w:tr>
      <w:tr>
        <w:trPr>
          <w:cantSplit/>
        </w:trPr>
        <w:tc>
          <w:tcPr>
            <w:tcW w:type="dxa" w:w="128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NFR‑08</w:t>
            </w:r>
          </w:p>
        </w:tc>
        <w:tc>
          <w:tcPr>
            <w:tcW w:type="dxa" w:w="80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Экспорт данных в машиночитаемом формате и отсутствие закрытой зависимости от Pllato.</w:t>
            </w:r>
          </w:p>
        </w:tc>
      </w:tr>
      <w:tr>
        <w:trPr>
          <w:cantSplit/>
        </w:trPr>
        <w:tc>
          <w:tcPr>
            <w:tcW w:type="dxa" w:w="128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NFR‑09</w:t>
            </w:r>
          </w:p>
        </w:tc>
        <w:tc>
          <w:tcPr>
            <w:tcW w:type="dxa" w:w="807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Ошибки интеграций регистрируются; повторная отправка не создаёт дубли благодаря идемпотентности.</w:t>
            </w:r>
          </w:p>
        </w:tc>
      </w:tr>
      <w:tr>
        <w:trPr>
          <w:cantSplit/>
        </w:trPr>
        <w:tc>
          <w:tcPr>
            <w:tcW w:type="dxa" w:w="128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NFR‑10</w:t>
            </w:r>
          </w:p>
        </w:tc>
        <w:tc>
          <w:tcPr>
            <w:tcW w:type="dxa" w:w="807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Часовой пояс Asia/Almaty, суммы в тенге, даты в понятном пользователю формате.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10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Целевые показатели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≤ 3 сек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рабочие списки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при типовой нагрузке и нормальном канале</w:t>
            </w:r>
          </w:p>
        </w:tc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70 000+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карточек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с архитектурой без лимита Pllato</w:t>
            </w:r>
          </w:p>
        </w:tc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100%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критических действий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в журнале аудита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11 · ПРИЁМКА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Критерии готовности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Приёмка проводится по сценариям на тестовом/рабочем стенде с данными, согласованными сторонами.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9"/>
        <w:gridCol w:w="8290"/>
      </w:tblGrid>
      <w:tr>
        <w:trPr>
          <w:tblHeader w:val="true"/>
        </w:trPr>
        <w:tc>
          <w:tcPr>
            <w:tcW w:type="dxa" w:w="1134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AC</w:t>
            </w:r>
          </w:p>
        </w:tc>
        <w:tc>
          <w:tcPr>
            <w:tcW w:type="dxa" w:w="8787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4"/>
              </w:rPr>
              <w:t>Сценарий приёмки</w:t>
            </w:r>
          </w:p>
        </w:tc>
      </w:tr>
      <w:tr>
        <w:trPr>
          <w:cantSplit/>
        </w:trPr>
        <w:tc>
          <w:tcPr>
            <w:tcW w:type="dxa" w:w="106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AC‑01</w:t>
            </w:r>
          </w:p>
        </w:tc>
        <w:tc>
          <w:tcPr>
            <w:tcW w:type="dxa" w:w="829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Администратор создаёт пользователей пяти базовых ролей и ограничивает кладовщика одной площадкой.</w:t>
            </w:r>
          </w:p>
        </w:tc>
      </w:tr>
      <w:tr>
        <w:trPr>
          <w:cantSplit/>
        </w:trPr>
        <w:tc>
          <w:tcPr>
            <w:tcW w:type="dxa" w:w="106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AC‑02</w:t>
            </w:r>
          </w:p>
        </w:tc>
        <w:tc>
          <w:tcPr>
            <w:tcW w:type="dxa" w:w="829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Мастер создаёт донора, формирует детали, прикладывает фото и передаёт их на приёмку.</w:t>
            </w:r>
          </w:p>
        </w:tc>
      </w:tr>
      <w:tr>
        <w:trPr>
          <w:cantSplit/>
        </w:trPr>
        <w:tc>
          <w:tcPr>
            <w:tcW w:type="dxa" w:w="106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AC‑03</w:t>
            </w:r>
          </w:p>
        </w:tc>
        <w:tc>
          <w:tcPr>
            <w:tcW w:type="dxa" w:w="829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Кладовщик сканирует штрихкоды детали и полки, размещает её в Бесагаше и перемещает на Суюнбая; оба адреса и операции сохраняются.</w:t>
            </w:r>
          </w:p>
        </w:tc>
      </w:tr>
      <w:tr>
        <w:trPr>
          <w:cantSplit/>
        </w:trPr>
        <w:tc>
          <w:tcPr>
            <w:tcW w:type="dxa" w:w="106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AC‑04</w:t>
            </w:r>
          </w:p>
        </w:tc>
        <w:tc>
          <w:tcPr>
            <w:tcW w:type="dxa" w:w="829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Менеджер находит деталь по OEM, добавляет в заказ и ставит резерв; доступность в каталоге меняется.</w:t>
            </w:r>
          </w:p>
        </w:tc>
      </w:tr>
      <w:tr>
        <w:trPr>
          <w:cantSplit/>
        </w:trPr>
        <w:tc>
          <w:tcPr>
            <w:tcW w:type="dxa" w:w="106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AC‑05</w:t>
            </w:r>
          </w:p>
        </w:tc>
        <w:tc>
          <w:tcPr>
            <w:tcW w:type="dxa" w:w="829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После выдачи заказ списывает остаток, фиксирует оплату и попадает в отчёт продаж/маржи.</w:t>
            </w:r>
          </w:p>
        </w:tc>
      </w:tr>
      <w:tr>
        <w:trPr>
          <w:cantSplit/>
        </w:trPr>
        <w:tc>
          <w:tcPr>
            <w:tcW w:type="dxa" w:w="106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AC‑06</w:t>
            </w:r>
          </w:p>
        </w:tc>
        <w:tc>
          <w:tcPr>
            <w:tcW w:type="dxa" w:w="829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Возврат восстанавливает товар в доступный остаток либо переводит в брак с указанием причины.</w:t>
            </w:r>
          </w:p>
        </w:tc>
      </w:tr>
      <w:tr>
        <w:trPr>
          <w:cantSplit/>
        </w:trPr>
        <w:tc>
          <w:tcPr>
            <w:tcW w:type="dxa" w:w="106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AC‑07</w:t>
            </w:r>
          </w:p>
        </w:tc>
        <w:tc>
          <w:tcPr>
            <w:tcW w:type="dxa" w:w="829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Инвентаризация выбранной зоны показывает план/факт и создаёт подтверждённую корректировку.</w:t>
            </w:r>
          </w:p>
        </w:tc>
      </w:tr>
      <w:tr>
        <w:trPr>
          <w:cantSplit/>
        </w:trPr>
        <w:tc>
          <w:tcPr>
            <w:tcW w:type="dxa" w:w="106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AC‑08</w:t>
            </w:r>
          </w:p>
        </w:tc>
        <w:tc>
          <w:tcPr>
            <w:tcW w:type="dxa" w:w="829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Заявка из каталога или универсального рекламного лендинга содержит контакт, выбранную деталь/интерес и UTM‑источник и появляется в воронке.</w:t>
            </w:r>
          </w:p>
        </w:tc>
      </w:tr>
      <w:tr>
        <w:trPr>
          <w:cantSplit/>
        </w:trPr>
        <w:tc>
          <w:tcPr>
            <w:tcW w:type="dxa" w:w="106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AC‑09</w:t>
            </w:r>
          </w:p>
        </w:tc>
        <w:tc>
          <w:tcPr>
            <w:tcW w:type="dxa" w:w="829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Партнёрский код применяет согласованную скидку и создаёт начисление партнёру.</w:t>
            </w:r>
          </w:p>
        </w:tc>
      </w:tr>
      <w:tr>
        <w:trPr>
          <w:cantSplit/>
        </w:trPr>
        <w:tc>
          <w:tcPr>
            <w:tcW w:type="dxa" w:w="106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AC‑10</w:t>
            </w:r>
          </w:p>
        </w:tc>
        <w:tc>
          <w:tcPr>
            <w:tcW w:type="dxa" w:w="829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Пульт раскрывает показатель до карточек/операций и показывает просроченный резерв.</w:t>
            </w:r>
          </w:p>
        </w:tc>
      </w:tr>
      <w:tr>
        <w:trPr>
          <w:cantSplit/>
        </w:trPr>
        <w:tc>
          <w:tcPr>
            <w:tcW w:type="dxa" w:w="106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AC‑11</w:t>
            </w:r>
          </w:p>
        </w:tc>
        <w:tc>
          <w:tcPr>
            <w:tcW w:type="dxa" w:w="829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Миграция Bazon проходит сверку карточек, обязательных полей, фотографий и всех исходных штрихкодов; ни один код не пропадает без записи в отчёте конфликтов.</w:t>
            </w:r>
          </w:p>
        </w:tc>
      </w:tr>
      <w:tr>
        <w:trPr>
          <w:cantSplit/>
        </w:trPr>
        <w:tc>
          <w:tcPr>
            <w:tcW w:type="dxa" w:w="106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AC‑12</w:t>
            </w:r>
          </w:p>
        </w:tc>
        <w:tc>
          <w:tcPr>
            <w:tcW w:type="dxa" w:w="829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4"/>
              </w:rPr>
              <w:t>Экспорт каталога и движений формируется в согласованном формате без участия разработчика.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Порядок замечаний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Дефект — несоответствие утверждённому требованию/критерию. Новая функция или изменение согласованного процесса оформляется как запрос на изменение с отдельной оценкой.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12 · ЭТАПЫ И ИСКЛЮЧЕНИЯ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Сдача, гарантии и границы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Функциональный объём уточняется только через согласованный протокол изменений.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8"/>
        <w:gridCol w:w="1604"/>
        <w:gridCol w:w="6097"/>
      </w:tblGrid>
      <w:tr>
        <w:trPr>
          <w:tblHeader w:val="true"/>
        </w:trPr>
        <w:tc>
          <w:tcPr>
            <w:tcW w:type="dxa" w:w="1757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6"/>
              </w:rPr>
              <w:t>Этап</w:t>
            </w:r>
          </w:p>
        </w:tc>
        <w:tc>
          <w:tcPr>
            <w:tcW w:type="dxa" w:w="1701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6"/>
              </w:rPr>
              <w:t>Срок</w:t>
            </w:r>
          </w:p>
        </w:tc>
        <w:tc>
          <w:tcPr>
            <w:tcW w:type="dxa" w:w="6463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6"/>
              </w:rPr>
              <w:t>Результат / основание оплаты</w:t>
            </w:r>
          </w:p>
        </w:tc>
      </w:tr>
      <w:tr>
        <w:trPr>
          <w:cantSplit/>
        </w:trPr>
        <w:tc>
          <w:tcPr>
            <w:tcW w:type="dxa" w:w="165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Старт</w:t>
            </w:r>
          </w:p>
        </w:tc>
        <w:tc>
          <w:tcPr>
            <w:tcW w:type="dxa" w:w="1604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После договора</w:t>
            </w:r>
          </w:p>
        </w:tc>
        <w:tc>
          <w:tcPr>
            <w:tcW w:type="dxa" w:w="60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Предоплата 10%; интервью и проектирование</w:t>
            </w:r>
          </w:p>
        </w:tc>
      </w:tr>
      <w:tr>
        <w:trPr>
          <w:cantSplit/>
        </w:trPr>
        <w:tc>
          <w:tcPr>
            <w:tcW w:type="dxa" w:w="165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Ядро</w:t>
            </w:r>
          </w:p>
        </w:tc>
        <w:tc>
          <w:tcPr>
            <w:tcW w:type="dxa" w:w="1604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7–10 дней</w:t>
            </w:r>
          </w:p>
        </w:tc>
        <w:tc>
          <w:tcPr>
            <w:tcW w:type="dxa" w:w="609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Согласованные роли, доноры, каталог, остатки, адресный склад и печать/сканирование штрихкодов; оплата 45%</w:t>
            </w:r>
          </w:p>
        </w:tc>
      </w:tr>
      <w:tr>
        <w:trPr>
          <w:cantSplit/>
        </w:trPr>
        <w:tc>
          <w:tcPr>
            <w:tcW w:type="dxa" w:w="165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MVP</w:t>
            </w:r>
          </w:p>
        </w:tc>
        <w:tc>
          <w:tcPr>
            <w:tcW w:type="dxa" w:w="1604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До 6 недель</w:t>
            </w:r>
          </w:p>
        </w:tc>
        <w:tc>
          <w:tcPr>
            <w:tcW w:type="dxa" w:w="60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Все модули, сайт‑каталог, универсальный лендинг, предварительное SEO, миграция данных и штрихкодов, обучение; оплата 45%</w:t>
            </w:r>
          </w:p>
        </w:tc>
      </w:tr>
      <w:tr>
        <w:trPr>
          <w:cantSplit/>
        </w:trPr>
        <w:tc>
          <w:tcPr>
            <w:tcW w:type="dxa" w:w="165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Гарантия</w:t>
            </w:r>
          </w:p>
        </w:tc>
        <w:tc>
          <w:tcPr>
            <w:tcW w:type="dxa" w:w="1604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30 дней</w:t>
            </w:r>
          </w:p>
        </w:tc>
        <w:tc>
          <w:tcPr>
            <w:tcW w:type="dxa" w:w="609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Исправление воспроизводимых дефектов утверждённого функционала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12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Не входит в первую версию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ручная наклейка этикеток на десятки тысяч деталей силами Pllato; система штрихкодирования, шаблоны, массовая печать, перенос кодов и контроль маркировки входят, физическую наклейку выполняет команда NUK;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гарантия публикации на Kolesa или другой площадке без официально доступного механизма;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полноценная бухгалтерия, налоговый учёт, онлайн‑касса и ЭСФ, если они отдельно не согласованы;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мобильные приложения App Store/Google Play — используется адаптивная веб‑версия;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регулярное SEO‑продвижение и ведение рекламы сверх включённых предварительного SEO и универсального лендинга; создание фото/видео и call‑центр;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новые интеграции и бизнес‑процессы, отсутствующие в настоящем ТЗ.</w:t>
      </w:r>
    </w:p>
    <w:p>
      <w:pPr>
        <w:keepNext/>
        <w:spacing w:before="10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Допущения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NUK предоставляет достоверные справочники, доступы и решения по процессам в согласованные сроки.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Все штрихкоды из доступной выгрузки Bazon переносятся; отсутствующие, дублирующиеся или повреждённые коды фиксируются в отдельном отчёте и не скрываются.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Серверная конфигурация, платные внешние сервисы, принтеры/сканеры штрихкодов, этикетки и расходные материалы оплачиваются заказчиком отдельно.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Согласование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После утверждения этого ТЗ стороны фиксируют договор, календарный план и реквизиты. При расхождении с коммерческим предложением приоритет имеют подписанный договор и утверждённая редакция ТЗ.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1906" w:h="16838"/>
      <w:pgMar w:top="879" w:right="935" w:bottom="822" w:left="93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4" w:val="right"/>
      </w:tabs>
      <w:jc w:val="left"/>
    </w:pPr>
    <w:r>
      <w:rPr>
        <w:rFonts w:ascii="Arial" w:hAnsi="Arial" w:eastAsia="Arial"/>
        <w:color w:val="667085"/>
        <w:sz w:val="14"/>
      </w:rPr>
      <w:t>Pllato · автоматизация бизнеса  |  Конфиденциально</w:t>
    </w:r>
    <w:r>
      <w:rPr>
        <w:rFonts w:ascii="Arial" w:hAnsi="Arial" w:eastAsia="Arial"/>
        <w:color w:val="667085"/>
        <w:sz w:val="14"/>
      </w:rPr>
      <w:tab/>
    </w:r>
    <w:r>
      <w:rPr>
        <w:rFonts w:ascii="Arial" w:hAnsi="Arial" w:eastAsia="Arial"/>
        <w:color w:val="667085"/>
        <w:sz w:val="14"/>
      </w:rPr>
      <w:t xml:space="preserve">стр. </w:t>
    </w:r>
    <w:r>
      <w:rPr>
        <w:rFonts w:ascii="Arial" w:hAnsi="Arial" w:eastAsia="Arial"/>
        <w:color w:val="667085"/>
        <w:sz w:val="14"/>
      </w:rPr>
      <w:fldChar w:fldCharType="begin"/>
    </w:r>
    <w:r>
      <w:rPr>
        <w:rFonts w:ascii="Arial" w:hAnsi="Arial" w:eastAsia="Arial"/>
        <w:color w:val="667085"/>
        <w:sz w:val="14"/>
      </w:rPr>
      <w:instrText xml:space="preserve">PAGE</w:instrText>
    </w:r>
    <w:r>
      <w:rPr>
        <w:rFonts w:ascii="Arial" w:hAnsi="Arial" w:eastAsia="Arial"/>
        <w:color w:val="667085"/>
        <w:sz w:val="14"/>
      </w:rPr>
      <w:fldChar w:fldCharType="separate"/>
    </w:r>
    <w:r>
      <w:rPr>
        <w:rFonts w:ascii="Arial" w:hAnsi="Arial" w:eastAsia="Arial"/>
        <w:color w:val="667085"/>
        <w:sz w:val="14"/>
      </w:rPr>
      <w:t>1</w:t>
    </w:r>
    <w:r>
      <w:rPr>
        <w:rFonts w:ascii="Arial" w:hAnsi="Arial" w:eastAsia="Arial"/>
        <w:color w:val="667085"/>
        <w:sz w:val="14"/>
      </w:rPr>
      <w:fldChar w:fldCharType="end"/>
    </w:r>
    <w:r>
      <w:rPr>
        <w:rFonts w:ascii="Arial" w:hAnsi="Arial" w:eastAsia="Arial"/>
        <w:color w:val="667085"/>
        <w:sz w:val="14"/>
      </w:rPr>
      <w:t xml:space="preserve"> / </w:t>
    </w:r>
    <w:r>
      <w:rPr>
        <w:rFonts w:ascii="Arial" w:hAnsi="Arial" w:eastAsia="Arial"/>
        <w:color w:val="667085"/>
        <w:sz w:val="14"/>
      </w:rPr>
      <w:fldChar w:fldCharType="begin"/>
    </w:r>
    <w:r>
      <w:rPr>
        <w:rFonts w:ascii="Arial" w:hAnsi="Arial" w:eastAsia="Arial"/>
        <w:color w:val="667085"/>
        <w:sz w:val="14"/>
      </w:rPr>
      <w:instrText xml:space="preserve">NUMPAGES</w:instrText>
    </w:r>
    <w:r>
      <w:rPr>
        <w:rFonts w:ascii="Arial" w:hAnsi="Arial" w:eastAsia="Arial"/>
        <w:color w:val="667085"/>
        <w:sz w:val="14"/>
      </w:rPr>
      <w:fldChar w:fldCharType="separate"/>
    </w:r>
    <w:r>
      <w:rPr>
        <w:rFonts w:ascii="Arial" w:hAnsi="Arial" w:eastAsia="Arial"/>
        <w:color w:val="667085"/>
        <w:sz w:val="14"/>
      </w:rPr>
      <w:t>13</w:t>
    </w:r>
    <w:r>
      <w:rPr>
        <w:rFonts w:ascii="Arial" w:hAnsi="Arial" w:eastAsia="Arial"/>
        <w:color w:val="667085"/>
        <w:sz w:val="14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4" w:val="right"/>
      </w:tabs>
      <w:jc w:val="left"/>
    </w:pPr>
    <w:r>
      <w:rPr>
        <w:rFonts w:ascii="Arial" w:hAnsi="Arial" w:eastAsia="Arial"/>
        <w:color w:val="667085"/>
        <w:sz w:val="14"/>
      </w:rPr>
      <w:t>Pllato · автоматизация бизнеса  |  Конфиденциально</w:t>
    </w:r>
    <w:r>
      <w:rPr>
        <w:rFonts w:ascii="Arial" w:hAnsi="Arial" w:eastAsia="Arial"/>
        <w:color w:val="667085"/>
        <w:sz w:val="14"/>
      </w:rPr>
      <w:tab/>
    </w:r>
    <w:r>
      <w:rPr>
        <w:rFonts w:ascii="Arial" w:hAnsi="Arial" w:eastAsia="Arial"/>
        <w:color w:val="667085"/>
        <w:sz w:val="14"/>
      </w:rPr>
      <w:t xml:space="preserve">стр. </w:t>
    </w:r>
    <w:r>
      <w:rPr>
        <w:rFonts w:ascii="Arial" w:hAnsi="Arial" w:eastAsia="Arial"/>
        <w:color w:val="667085"/>
        <w:sz w:val="14"/>
      </w:rPr>
      <w:fldChar w:fldCharType="begin"/>
    </w:r>
    <w:r>
      <w:rPr>
        <w:rFonts w:ascii="Arial" w:hAnsi="Arial" w:eastAsia="Arial"/>
        <w:color w:val="667085"/>
        <w:sz w:val="14"/>
      </w:rPr>
      <w:instrText xml:space="preserve">PAGE</w:instrText>
    </w:r>
    <w:r>
      <w:rPr>
        <w:rFonts w:ascii="Arial" w:hAnsi="Arial" w:eastAsia="Arial"/>
        <w:color w:val="667085"/>
        <w:sz w:val="14"/>
      </w:rPr>
      <w:fldChar w:fldCharType="separate"/>
    </w:r>
    <w:r>
      <w:rPr>
        <w:rFonts w:ascii="Arial" w:hAnsi="Arial" w:eastAsia="Arial"/>
        <w:color w:val="667085"/>
        <w:sz w:val="14"/>
      </w:rPr>
      <w:t>1</w:t>
    </w:r>
    <w:r>
      <w:rPr>
        <w:rFonts w:ascii="Arial" w:hAnsi="Arial" w:eastAsia="Arial"/>
        <w:color w:val="667085"/>
        <w:sz w:val="14"/>
      </w:rPr>
      <w:fldChar w:fldCharType="end"/>
    </w:r>
    <w:r>
      <w:rPr>
        <w:rFonts w:ascii="Arial" w:hAnsi="Arial" w:eastAsia="Arial"/>
        <w:color w:val="667085"/>
        <w:sz w:val="14"/>
      </w:rPr>
      <w:t xml:space="preserve"> / </w:t>
    </w:r>
    <w:r>
      <w:rPr>
        <w:rFonts w:ascii="Arial" w:hAnsi="Arial" w:eastAsia="Arial"/>
        <w:color w:val="667085"/>
        <w:sz w:val="14"/>
      </w:rPr>
      <w:fldChar w:fldCharType="begin"/>
    </w:r>
    <w:r>
      <w:rPr>
        <w:rFonts w:ascii="Arial" w:hAnsi="Arial" w:eastAsia="Arial"/>
        <w:color w:val="667085"/>
        <w:sz w:val="14"/>
      </w:rPr>
      <w:instrText xml:space="preserve">NUMPAGES</w:instrText>
    </w:r>
    <w:r>
      <w:rPr>
        <w:rFonts w:ascii="Arial" w:hAnsi="Arial" w:eastAsia="Arial"/>
        <w:color w:val="667085"/>
        <w:sz w:val="14"/>
      </w:rPr>
      <w:fldChar w:fldCharType="separate"/>
    </w:r>
    <w:r>
      <w:rPr>
        <w:rFonts w:ascii="Arial" w:hAnsi="Arial" w:eastAsia="Arial"/>
        <w:color w:val="667085"/>
        <w:sz w:val="14"/>
      </w:rPr>
      <w:t>13</w:t>
    </w:r>
    <w:r>
      <w:rPr>
        <w:rFonts w:ascii="Arial" w:hAnsi="Arial" w:eastAsia="Arial"/>
        <w:color w:val="667085"/>
        <w:sz w:val="14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5017"/>
          <w:tcMar>
            <w:top w:w="40" w:type="dxa"/>
            <w:start w:w="0" w:type="dxa"/>
            <w:bottom w:w="40" w:type="dxa"/>
            <w:end w:w="80" w:type="dxa"/>
          </w:tcMar>
          <w:tcBorders>
            <w:bottom w:val="single" w:sz="10" w:color="2A6FF0"/>
          </w:tcBorders>
        </w:tcPr>
        <w:p>
          <w:pPr>
            <w:jc w:val="left"/>
          </w:pPr>
          <w:r>
            <w:rPr>
              <w:rFonts w:ascii="Arial" w:hAnsi="Arial" w:eastAsia="Arial"/>
              <w:b/>
              <w:caps w:val="0"/>
              <w:color w:val="2A6FF0"/>
              <w:sz w:val="30"/>
            </w:rPr>
            <w:t>NUK</w:t>
          </w:r>
          <w:r>
            <w:rPr>
              <w:rFonts w:ascii="Arial" w:hAnsi="Arial" w:eastAsia="Arial"/>
              <w:b/>
              <w:caps w:val="0"/>
              <w:color w:val="0B1930"/>
              <w:sz w:val="16"/>
            </w:rPr>
            <w:t xml:space="preserve">  ×  PLLATO</w:t>
          </w:r>
        </w:p>
      </w:tc>
      <w:tc>
        <w:tcPr>
          <w:tcW w:type="dxa" w:w="5017"/>
          <w:tcMar>
            <w:top w:w="40" w:type="dxa"/>
            <w:start w:w="80" w:type="dxa"/>
            <w:bottom w:w="40" w:type="dxa"/>
            <w:end w:w="0" w:type="dxa"/>
          </w:tcMar>
          <w:tcBorders>
            <w:bottom w:val="single" w:sz="10" w:color="2A6FF0"/>
          </w:tcBorders>
        </w:tcPr>
        <w:p>
          <w:pPr>
            <w:jc w:val="right"/>
          </w:pPr>
          <w:r>
            <w:rPr>
              <w:rFonts w:ascii="Arial" w:hAnsi="Arial" w:eastAsia="Arial"/>
              <w:b/>
              <w:caps/>
              <w:color w:val="667085"/>
              <w:sz w:val="14"/>
            </w:rPr>
            <w:t>ТЕХНИЧЕСКОЕ ЗАДАНИЕ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5017"/>
          <w:tcMar>
            <w:top w:w="40" w:type="dxa"/>
            <w:start w:w="0" w:type="dxa"/>
            <w:bottom w:w="40" w:type="dxa"/>
            <w:end w:w="80" w:type="dxa"/>
          </w:tcMar>
          <w:tcBorders>
            <w:bottom w:val="single" w:sz="10" w:color="2A6FF0"/>
          </w:tcBorders>
        </w:tcPr>
        <w:p>
          <w:pPr>
            <w:jc w:val="left"/>
          </w:pPr>
          <w:r>
            <w:rPr>
              <w:rFonts w:ascii="Arial" w:hAnsi="Arial" w:eastAsia="Arial"/>
              <w:b/>
              <w:caps w:val="0"/>
              <w:color w:val="2A6FF0"/>
              <w:sz w:val="30"/>
            </w:rPr>
            <w:t>NUK</w:t>
          </w:r>
          <w:r>
            <w:rPr>
              <w:rFonts w:ascii="Arial" w:hAnsi="Arial" w:eastAsia="Arial"/>
              <w:b/>
              <w:caps w:val="0"/>
              <w:color w:val="0B1930"/>
              <w:sz w:val="16"/>
            </w:rPr>
            <w:t xml:space="preserve">  ×  PLLATO</w:t>
          </w:r>
        </w:p>
      </w:tc>
      <w:tc>
        <w:tcPr>
          <w:tcW w:type="dxa" w:w="5017"/>
          <w:tcMar>
            <w:top w:w="40" w:type="dxa"/>
            <w:start w:w="80" w:type="dxa"/>
            <w:bottom w:w="40" w:type="dxa"/>
            <w:end w:w="0" w:type="dxa"/>
          </w:tcMar>
          <w:tcBorders>
            <w:bottom w:val="single" w:sz="10" w:color="2A6FF0"/>
          </w:tcBorders>
        </w:tcPr>
        <w:p>
          <w:pPr>
            <w:jc w:val="right"/>
          </w:pPr>
          <w:r>
            <w:rPr>
              <w:rFonts w:ascii="Arial" w:hAnsi="Arial" w:eastAsia="Arial"/>
              <w:b/>
              <w:caps/>
              <w:color w:val="667085"/>
              <w:sz w:val="14"/>
            </w:rPr>
            <w:t>ТЕХНИЧЕСКОЕ ЗАДАНИЕ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 w:eastAsia="Arial"/>
      <w:color w:val="1720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B19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B19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A6FF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B193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12" w:hanging="142"/>
      <w:contextualSpacing/>
    </w:pPr>
    <w:rPr>
      <w:rFonts w:ascii="Arial" w:hAnsi="Arial" w:eastAsia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12" w:hanging="142"/>
      <w:contextualSpacing/>
    </w:pPr>
    <w:rPr>
      <w:rFonts w:ascii="Arial" w:hAnsi="Arial" w:eastAsia="Arial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