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ДОГОВОР № GR-2026-01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 разработку программного обеспечения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color w:val="4A5560"/>
          <w:sz w:val="20"/>
          <w:szCs w:val="20"/>
        </w:rPr>
        <w:t xml:space="preserve">CRM-система мебельного производства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г. Алматы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октября 2026 г.</w:t>
            </w:r>
          </w:p>
        </w:tc>
      </w:tr>
    </w:tbl>
    <w:p>
      <w:pPr>
        <w:spacing w:after="120" w:before="0" w:line="264"/>
        <w:jc w:val="both"/>
      </w:pPr>
    </w:p>
    <w:p>
      <w:pPr>
        <w:spacing w:after="8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ИП «STUDYSTORIES.APP», БИН 880607300110, в лице индивидуального предпринимателя Цай Платона Львовича, действующего на основании уведомления о начале деятельности в качестве индивидуального предпринимателя (далее — «Исполнитель»), с одной стороны, и ИП «Grandis», ИИН 871220300702, в лице индивидуального предпринимателя Измерова В. А., действующего на основании уведомления о начале деятельности в качестве индивидуального предпринимателя (далее — «Заказчик»), с другой стороны, совместно именуемые «Стороны», заключили настоящий Договор о нижеследующем.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Предмет договора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обязуется разработать и передать Заказчику программное обеспечение — CRM-систему мебельного производства (далее — «Система»), а Заказчик обязуется принять и оплатить работы на условиях Договора.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Состав, функции и критерии приёмки Системы определены в Приложении № 1 «Техническое задание», которое является неотъемлемой частью Договора. Приложение № 1 составлено на основе функционального технического задания Заказчика «CRM для мебельного производства» v1.0 (21 раздел), встречи Сторон 3 октября 2026 года и демонстрационной версии https://pllato.kz/app/mebel-vasiliy.html.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Система разрабатывается как веб-приложение: работает в браузере на компьютере, планшете и телефоне. Каждый сотрудник входит под своим логином и видит разделы своей роли.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Система размещается на виртуальном сервере, оформленном на Заказчика. Исполнитель подбирает тариф, разворачивает Систему и настраивает резервное копирование.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Интеграции со сторонними сервисами (WhatsApp, электронная цифровая подпись, банковские и учётные сервисы) выполняются при наличии у сервиса программного интерфейса (API). Если API нет, обмен организуется через файлы или ручной ввод — без изменения цены Договора.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1.6.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Калькулятор расчёта заказа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(раздел Р9 Приложения № 1, ориентировочная стоимость 300 000 тенге) передаётся Заказчику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в подарок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и входит в стоимость Договора без доплаты.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1.7.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 предмет Договора не входят: ведение бухгалтерского и налогового учёта по стандартам, приложения в магазинах App Store и Google Play, разработка сайта, оплата тарифов сторонних сервисов.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Стоимость работ и порядок расчётов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Стоимость работ по Договору составляет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1 980 000 (один миллион девятьсот восемьдесят тысяч) тенге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с учётом скидки 10% (220 000 тенге), предоставленной Заказчику за оперативное принятие решения и заключение Договора. Стоимость без скидки — 2 200 000 тенге. Цена фиксированная и не изменяется в течение действия Договора, кроме случаев раздела 9.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НДС не облагается: Исполнитель не является плательщиком НДС. Стоимость включает все налоги и обязательные платежи Исполнителя.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Абонентская плата за использование Системы не предусмотрена. Стоимость не зависит от количества пользователей, заказов и подрядчиков.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Оплата производится в безналичном порядке тремя платежами: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5012"/>
        <w:gridCol w:w="964"/>
        <w:gridCol w:w="1542"/>
        <w:gridCol w:w="2120"/>
      </w:tblGrid>
      <w:tr>
        <w:trPr>
          <w:tblHeader/>
        </w:trPr>
        <w:tc>
          <w:tcPr>
            <w:tcW w:type="dxa" w:w="501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Платёж</w:t>
            </w:r>
          </w:p>
        </w:tc>
        <w:tc>
          <w:tcPr>
            <w:tcW w:type="dxa" w:w="964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Доля</w:t>
            </w:r>
          </w:p>
        </w:tc>
        <w:tc>
          <w:tcPr>
            <w:tcW w:type="dxa" w:w="154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Сумма, ₸</w:t>
            </w:r>
          </w:p>
        </w:tc>
        <w:tc>
          <w:tcPr>
            <w:tcW w:type="dxa" w:w="2120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Срок оплаты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Предоплата — до начала работ, по счёту № GR-С-2026-01 от 08.10.2026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198 000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подписания Договора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Приёмка ядра Системы (пункт 3.2)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891 000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0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Сдача всех разделов Приложения № 1 и обучение (пункт 3.4)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891 000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01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type="dxa" w:w="964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54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1 980 000</w:t>
            </w:r>
          </w:p>
        </w:tc>
        <w:tc>
          <w:tcPr>
            <w:tcW w:type="dxa" w:w="2120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</w:tr>
    </w:tbl>
    <w:p>
      <w:pPr>
        <w:spacing w:after="60" w:before="0" w:line="264"/>
        <w:jc w:val="both"/>
      </w:pP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Датой начала работ считается рабочий день, следующий за днём поступления предоплаты на счёт Исполнителя.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2.6.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Расходы на виртуальный сервер (ориентировочно до 10 000 тенге в месяц), WhatsApp-провайдера (ориентировочно 5 000 тенге в месяц за номер) и иные сторонние сервисы Заказчик оплачивает напрямую по тарифам их владельцев. Эти расходы не входят в стоимость Договора.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Сроки и этапы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Общий срок разработки — от 4 (четырёх) до 8 (восьми) недель с даты начала работ.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Ядро Системы предъявляется Заказчику не позднее 3 (трёх) недель с даты начала работ. В ядро входят разделы Р1–Р5 и роли раздела Р8 Приложения № 1: карточка проекта, воронка продаж с чек-листом менеджера, конструкторская воронка с модерацией и пакетом запуска, производство и подрядчики, снабжение и склад.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После приёмки ядра выполняются разделы Р6–Р10: сборка, доставка и монтаж, оплата и закрытие, автоматизации, уведомления и отчёты, калькулятор, перенос данных и обучение. Замечания Заказчика к ядру учитываются в этот период.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Сдача — предъявление всех разделов Приложения № 1, перенос данных, обучение сотрудников и передача Системы на сервер Заказчика.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Сроки продлеваются на время ожидания Исполнителем материалов, доступов, ответов и согласований Заказчика, если ожидание превышает 2 рабочих дня.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Сдача и приёмка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 завершении этапа Исполнитель уведомляет Заказчика о готовности, предоставляет доступ к Системе и акт выполненных работ по форме Приложения № 2.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Приёмка проводится по разделам Приложения № 1: открыли — проверили — работает.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Заказчик в течение 5 (пяти) рабочих дней подписывает акт или направляет мотивированный отказ с перечнем несоответствий Приложению № 1. Если в этот срок отказ не направлен, этап считается принятым.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Несоответствия Приложению № 1 устраняются Исполнителем бесплатно в разумный срок. Пожелания сверх Приложения № 1 рассматриваются по разделу 9.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4.5.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Стороны признают юридическую силу документов и сообщений, переданных по WhatsApp и электронной почте по реквизитам раздела 12, а также документов, подписанных ЭЦП.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Права на результат и данные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Исключительные имущественные права на Систему переходят к Заказчику с момента подписания акта сдачи и поступления оплаты в полном объёме.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передаёт Заказчику исходный код, базу данных, документацию, доступы к серверу и административные учётные записи.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Все данные в Системе — клиенты, заказы, проекты, подрядчики, склад, деньги, документы и файлы — принадлежат Заказчику.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вправе использовать общие технические решения в других проектах без раскрытия данных Заказчика.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Обязанности Сторон</w:t>
      </w:r>
    </w:p>
    <w:p>
      <w:pPr>
        <w:keepNext/>
        <w:spacing w:after="80" w:before="6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 Исполнитель обязуется: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Выполнить работы в объёме Приложения № 1 в сроки раздела 3 и передать Систему Заказчику.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Показывать ядро и промежуточные версии, учитывать замечания Заказчика в пределах Приложения № 1 и раздела 9.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Перенести данные Заказчика, развернуть Систему, настроить резервное копирование, обучить сотрудников.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Оказывать поддержку по разделу 7.</w:t>
      </w:r>
    </w:p>
    <w:p>
      <w:pPr>
        <w:keepNext/>
        <w:spacing w:after="80" w:before="6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 Заказчик обязуется: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Назначить ответственное лицо, уполномоченное принимать решения по составу Системы и приёмке.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 течение 5 рабочих дней с даты начала работ передать выгрузки из текущих систем (Битрикс, МойСклад) и Google-таблиц, шаблоны КП и договора, списки сотрудников, подрядчиков и номенклатуры, таблицу калькулятора; ответить на вопросы раздела 21 своего ТЗ.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Предоставить доступы для интеграций (номер и аккаунт WhatsApp, ЭЦП) — при их подключении.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Отвечать на вопросы Исполнителя и согласовывать этапы в срок не более 2 рабочих дней; оплачивать работы и расходы по разделу 2.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Поддержка после сдачи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Поддержка и исправление ошибок — 3 (три) месяца с даты акта сдачи, без дополнительной оплаты. Срок реакции — 1 рабочий день.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Поддержка не распространяется на последствия изменения кода Заказчиком или третьими лицами, неоплаты сервера и сторонних сервисов.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Доработки после окончания поддержки выполняются по часовой ставке 20 долларов США в час (в тенге по курсу на дату счёта) или отдельным предложением.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Конфиденциальность и персональные данные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Стороны не разглашают сведения, ставшие известными при исполнении Договора: о клиентах, заказах, ценах, себестоимости, подрядчиках и финансах.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Персональные данные сотрудников и клиентов обрабатываются в соответствии с Законом Республики Казахстан «О персональных данных и их защите». Заказчик является собственником и оператором базы, Исполнитель — обработчиком на время работ и поддержки.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Обязательства по разделу 8 действуют бессрочно.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Изменение объёма работ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Изменения, не влияющие на общий объём (тексты, поля, формы, названия этапов, пункты чек-листов, порядок экранов), вносятся в рамках цены Договора.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Новые разделы, новые интеграции и работы, существенно увеличивающие объём Приложения № 1, оформляются дополнительным соглашением с указанием стоимости и срока.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Ответственность Сторон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 нарушение сроков оплаты Заказчик уплачивает пеню 0,1% от просроченной суммы за каждый день, но не более 10% от суммы платежа.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 нарушение срока сдачи по вине Исполнителя он уплачивает пеню 0,1% от стоимости этапа за каждый день, но не более 10% от стоимости этапа.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Исполнитель не отвечает за работу сторонних сервисов, их тарифы и условия, а также за корректность данных, внесённых Заказчиком.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Совокупная ответственность Исполнителя ограничена суммой фактически полученной оплаты. Стороны освобождаются от ответственности при обстоятельствах непреодолимой силы.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Срок действия и прочие условия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11.1.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Договор вступает в силу с даты подписания и действует до полного исполнения обязательств.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11.2.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Каждая Сторона вправе расторгнуть Договор, письменно уведомив другую за 10 календарных дней. Заказчик оплачивает фактически выполненные работы на дату уведомления; оплаченные и выполненные этапы возврату не подлежат.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11.3.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Изменения оформляются письменно и подписываются Сторонами, в том числе ЭЦП. Споры решаются переговорами, при недостижении согласия — в суде по месту нахождения Исполнителя в соответствии с законодательством Республики Казахстан.</w:t>
      </w:r>
    </w:p>
    <w:p>
      <w:pPr>
        <w:tabs>
          <w:tab w:val="left" w:pos="680"/>
        </w:tabs>
        <w:spacing w:after="80" w:line="264"/>
        <w:ind w:left="680" w:hanging="6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11.4.	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Договор составлен в двух экземплярах равной юридической силы. Приложения: № 1 «Техническое задание», № 2 «График платежей и форма акта».</w:t>
      </w:r>
    </w:p>
    <w:p>
      <w:pPr>
        <w:keepNext/>
        <w:spacing w:after="100" w:before="18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Реквизиты и подписи Сторон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ИП «STUDYSTORIES.APP»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БИН 880607300110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Адрес: г. Алматы, мкр. Орбита-4, д. 3, оф. 2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ИИК KZ31722S000010366450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АО «Kaspi Bank» · БИК CASPKZKA · КБе 19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является плательщиком НДС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ИП: Цай Платон Львович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Тел.: +7 701 123 99 99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pllato.kz</w:t>
            </w:r>
          </w:p>
          <w:p>
            <w:pPr>
              <w:spacing w:after="260" w:before="0" w:line="264"/>
              <w:jc w:val="both"/>
            </w:pP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Цай П. Л.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ИП «Grandis»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ИИН 871220300702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Адрес: Республика Казахстан, г. Алматы, пр. Райымбека, д. 496/7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ИИК KZ41722S000001619877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АО «Kaspi Bank» · БИК CASPKZKA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ИИК KZ166017131000068469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АО «Народный Банк Казахстана» · БИК HSBKKZKX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КБе 19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ИП: Измеров В. А.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Тел.: +7 707 347 60 68</w:t>
            </w:r>
          </w:p>
          <w:p>
            <w:pPr>
              <w:spacing w:after="260" w:before="0" w:line="264"/>
              <w:jc w:val="both"/>
            </w:pP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Измеров В. А.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</w:tr>
    </w:tbl>
    <w:p>
      <w:r>
        <w:br w:type="page"/>
      </w:r>
    </w:p>
    <w:p>
      <w:pPr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color w:val="4A5560"/>
          <w:sz w:val="18"/>
          <w:szCs w:val="18"/>
        </w:rPr>
        <w:t xml:space="preserve">Приложение № 1 к Договору № GR-2026-01 от 08.10.2026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Техническое задание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color w:val="4A5560"/>
          <w:sz w:val="20"/>
          <w:szCs w:val="20"/>
        </w:rPr>
        <w:t xml:space="preserve">CRM-система мебельного производства</w:t>
      </w:r>
    </w:p>
    <w:p>
      <w:pPr>
        <w:spacing w:after="8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Каждый раздел — экран или группа экранов Системы. Формулировки описывают результат, который Заказчик увидит и проверит на приёмке. В скобках — разделы ТЗ Заказчика v1.0. Демонстрационная версия: https://pllato.kz/app/mebel-vasiliy.html.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Р1. Карточка проекта и история (ТЗ 1–3, 16–17)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Р1.1. Одна карточка проекта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Клиент, объект, менеджер, конструктор, сумма договора, оплачено, остаток, документы; шкала готовности по 16 этапам: заявка, сбор информации, первичная отрисовка, корректировка, согласование, договор, замер и техпроект, модерация менеджером, запуск, производство и подрядчики, сборка, готово к вывозу, доставка и монтаж, качество и АВР, оплата, закрыт.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Р1.2. Изделия и задачи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Один проект — несколько изделий; у изделия свои материалы и производственные и подрядные задачи.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Р1.3. Блок перехода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Проект не переходит на следующий этап, пока не выполнены обязательные условия этапа; возврат на этап — с обязательной причиной.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Р1.4. История изменений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Кто, когда, что изменил: было → стало; смена этапа, ответственного, суммы, сроков, замечания модерации.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Р2. Воронка продаж (ТЗ 4, 4.1, 5)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Р2.1. Воронка и клиенты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Этапы продаж, клиенты и источники обращений, повторные клиенты, поиск.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Р2.2. Чек-лист менеджера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15 пунктов перед передачей конструктору; пункты добавляются без программиста.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Р2.3. ТЗ по коммуникациям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Электрика, вода, канализация, вентиляция, газ, техника; формирование ТЗ строителям в PDF.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Р2.4. Причины отказа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Обязательная причина из списка (цена, конкурент, срок, изменились планы, нет бюджета, не можем изготовить, не выходит на связь, другое с комментарием); аналитика причин.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Р2.5. КП, договор, WhatsApp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КП и договор из карточки, подписание ЭЦП или скан бумаги; переписка WhatsApp в карточке и авто-сообщения клиенту при смене этапа.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Р3. Конструкторская воронка (ТЗ 6)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Р3.1. Воронка и чек-листы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Этапы конструктора: замер, техпроект, изменения клиента, спецификация и раскрой, модерация, запущено; чек-листы под тип изделия (кухня, шкаф, прочее).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Р3.2. Модерация менеджером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Замечания возвращают проект конструктору и сохраняются в истории; без финальной модерации запуск производства невозможен.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Р3.3. Пакет запуска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Восемь документов: общий вид, вид для монтажа, сборочные чертежи, подрядные таблицы, подрядные чертежи, закупочная заявка, спецификация, все необходимые файлы.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Р3.4. Загрузка и отпуска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Календарь загрузки конструкторов и бригад по дням, отпуска и свободные окна.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Р4. Производство и подрядчики (ТЗ 7)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Р4.1. Дробление заказа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Конструктор отмечает подрядчиков — карточка появляется на досках подрядчиков с документами, ценой и сроком; цех — как участок.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Р4.2. Кабинет подрядчика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Подрядчик по своему логину видит свои заказы, скачивает документы, отмечает готовность; сверка оплат и сальдо.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Р4.3. Календарь начальника производства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Все производственные, подрядные и снабженческие дедлайны в одном календаре; просроченные выделяются автоматически.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Р5. Снабжение и склад (ТЗ 8) · ядро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Р5.1. Склад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Остатки по ячейкам, резерв под заказы, минимальные остатки, прайсы поставщиков.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Р5.2. Заявки и снабжение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Заявка на склад из карточки: отгрузить или дозаказать; позиции «в наличии» и «на заказ»; для заказных — обязательная плановая дата поставки, фактическая дата, влияние на дату монтажа.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Р6. Сборка, доставка и монтаж (ТЗ 9–10)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Р6.1. Карточка сборщика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 телефона: свои заказы, чертежи, детали, готовность, дата монтажа, материалы на заказ и их даты поставки.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Р6.2. Доставка и монтаж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Рейсы водителя (в том числе стороннего), доставка, монтаж корпуса и фасадов, контроль качества и АВР.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Р7. Оплата, закрытие и деньги (ТЗ 11)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Р7.1. Оплата и закрытие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Сумма договора, оплачено, остаток — автоматически; дата каждой операции; статус «Ожидается / Частично / Оплачено»; закрывающие документы.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Р7.2. Деньги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Приходы и расходы, включая административные; долги клиентов и подрядчикам; зарплаты.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Р8. Роли, автоматизации, уведомления, отчёты (ТЗ 12–15, 19–20)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Р8.1. Роли и матрица видимости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Девять ролей: собственник, менеджер, конструктор, начальник производства, склад и закупка, финансы, сборщик, водитель, подрядчик; права «смотреть / менять».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Р8.2. Автоматизации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14 автоматических действий по событиям из раздела 14 ТЗ Заказчика.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Р8.3. Уведомления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Дедлайн через 2 рабочих дня, завтра и при просрочке — исполнителю и руководителю процесса; просроченная поставка — снабжению, начальнику производства и менеджеру.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Р8.4. Отчёты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Пульт собственника и 8 отчётов: продажи, проекты, просрочки, производство, подрядчики, снабжение, монтаж, финансы; «почему заказ стоит» — что блокирует и кто отвечает.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Р9. Калькулятор расчёта заказа — в подарок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Р9.1. Калькулятор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Расчёт по образцу таблицы Заказчика: около 50 пунктов и 200 вариантов, цены из прайсов поставщиков по артикулу; сумма расчёта переходит в КП и карточку.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Р10. Перенос данных, обучение, сдача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Р10.1. Переезд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Перенос клиентов и истории из Битрикса, остатков и номенклатуры из МоегоСклада, справочников из Google-таблиц; параллельная работа до одной недели.</w:t>
      </w:r>
    </w:p>
    <w:p>
      <w:pPr>
        <w:keepNext/>
        <w:spacing w:after="30" w:before="0" w:line="264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Р10.2. Обучение и передача</w:t>
      </w:r>
    </w:p>
    <w:p>
      <w:pPr>
        <w:spacing w:after="9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Обучение сотрудников по ролям, видеоинструкции; установка на сервер, ежедневные резервные копии; передача кода и доступов.</w:t>
      </w: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Стоимость по разделам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5976"/>
        <w:gridCol w:w="1349"/>
        <w:gridCol w:w="2313"/>
      </w:tblGrid>
      <w:tr>
        <w:trPr>
          <w:tblHeader/>
        </w:trPr>
        <w:tc>
          <w:tcPr>
            <w:tcW w:type="dxa" w:w="5976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Блок</w:t>
            </w:r>
          </w:p>
        </w:tc>
        <w:tc>
          <w:tcPr>
            <w:tcW w:type="dxa" w:w="1349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Разделы</w:t>
            </w:r>
          </w:p>
        </w:tc>
        <w:tc>
          <w:tcPr>
            <w:tcW w:type="dxa" w:w="2313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Стоимость, ₸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Карточка проекта и история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Р1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Воронка продаж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Конструкторская воронка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Р3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Производство и подрядчики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Р4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Снабжение и склад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Р5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Сборка, доставка и монтаж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Р6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Оплата, закрытие и деньги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Р7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Роли, автоматизации, уведомления, отчёты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Р8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Калькулятор расчёта заказа — подарок (ориентировочно 300 000)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Р9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Перенос данных, обучение, сдача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Р10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Итого без скидки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2 200 000</w:t>
            </w:r>
          </w:p>
        </w:tc>
      </w:tr>
      <w:t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Скидка 10% за оперативное заключение Договора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−220 000</w:t>
            </w:r>
          </w:p>
        </w:tc>
      </w:tr>
      <w:tr>
        <w:tc>
          <w:tcPr>
            <w:tcW w:type="dxa" w:w="5976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 по Договору</w:t>
            </w:r>
          </w:p>
        </w:tc>
        <w:tc>
          <w:tcPr>
            <w:tcW w:type="dxa" w:w="1349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2313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1 980 000</w:t>
            </w:r>
          </w:p>
        </w:tc>
      </w:tr>
    </w:tbl>
    <w:p>
      <w:pPr>
        <w:spacing w:after="60" w:before="0" w:line="264"/>
        <w:jc w:val="both"/>
      </w:pPr>
    </w:p>
    <w:p>
      <w:pPr>
        <w:spacing w:after="8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Ответы на вопросы раздела 21 ТЗ Заказчика (роли и права, статусы, документы, дедлайны, уведомления и т. п.) согласуются Сторонами в первую неделю работ и уточняют настоящее Приложение без изменения цены.</w:t>
      </w:r>
    </w:p>
    <w:p>
      <w:pPr>
        <w:spacing w:after="120" w:before="0" w:line="264"/>
        <w:jc w:val="both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«STUDYSTORIES.APP»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Цай П. Л.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«Grandis»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Измеров В. А.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</w:tr>
    </w:tbl>
    <w:p>
      <w:r>
        <w:br w:type="page"/>
      </w:r>
    </w:p>
    <w:p>
      <w:pPr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color w:val="4A5560"/>
          <w:sz w:val="18"/>
          <w:szCs w:val="18"/>
        </w:rPr>
        <w:t xml:space="preserve">Приложение № 2 к Договору № GR-2026-01 от 08.10.2026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График платежей и форма акта</w:t>
      </w:r>
    </w:p>
    <w:p>
      <w:pPr>
        <w:spacing w:after="200" w:before="0" w:line="264"/>
        <w:jc w:val="center"/>
      </w:pPr>
      <w:r>
        <w:rPr>
          <w:rFonts w:ascii="Arial" w:cs="Arial" w:eastAsia="Arial" w:hAnsi="Arial"/>
          <w:b w:val="false"/>
          <w:bCs w:val="false"/>
          <w:color w:val="4A5560"/>
          <w:sz w:val="20"/>
          <w:szCs w:val="20"/>
        </w:rPr>
        <w:t xml:space="preserve">Стоимость — 1 980 000 тенге с учётом скидки 10%, без НДС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578"/>
        <w:gridCol w:w="4241"/>
        <w:gridCol w:w="964"/>
        <w:gridCol w:w="1542"/>
        <w:gridCol w:w="2313"/>
      </w:tblGrid>
      <w:tr>
        <w:trPr>
          <w:tblHeader/>
        </w:trPr>
        <w:tc>
          <w:tcPr>
            <w:tcW w:type="dxa" w:w="578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4241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Основание платежа</w:t>
            </w:r>
          </w:p>
        </w:tc>
        <w:tc>
          <w:tcPr>
            <w:tcW w:type="dxa" w:w="964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Доля</w:t>
            </w:r>
          </w:p>
        </w:tc>
        <w:tc>
          <w:tcPr>
            <w:tcW w:type="dxa" w:w="1542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Сумма, ₸</w:t>
            </w:r>
          </w:p>
        </w:tc>
        <w:tc>
          <w:tcPr>
            <w:tcW w:type="dxa" w:w="2313"/>
            <w:shd w:fill="E8EE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Предоплата до начала работ · счёт № GR-С-2026-01 от 08.10.2026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198 000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подписания Договора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 приёмки ядра (Р1–Р5, роли Р8.1)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891 000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Акт сдачи всех разделов Приложения № 1, обучение, передача кода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45%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891 000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рабочих дней с даты акта</w:t>
            </w:r>
          </w:p>
        </w:tc>
      </w:tr>
      <w:tr>
        <w:tc>
          <w:tcPr>
            <w:tcW w:type="dxa" w:w="578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  <w:tc>
          <w:tcPr>
            <w:tcW w:type="dxa" w:w="4241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Итого</w:t>
            </w:r>
          </w:p>
        </w:tc>
        <w:tc>
          <w:tcPr>
            <w:tcW w:type="dxa" w:w="964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542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1 980 000</w:t>
            </w:r>
          </w:p>
        </w:tc>
        <w:tc>
          <w:tcPr>
            <w:tcW w:type="dxa" w:w="2313"/>
            <w:shd w:fill="F3F5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</w:p>
        </w:tc>
      </w:tr>
    </w:tbl>
    <w:p>
      <w:pPr>
        <w:spacing w:after="60" w:before="0" w:line="264"/>
        <w:jc w:val="both"/>
      </w:pP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Реквизиты для оплаты</w:t>
      </w:r>
    </w:p>
    <w:tbl>
      <w:tblPr>
        <w:tblW w:type="dxa" w:w="9638"/>
        <w:tblBorders>
          <w:top w:val="single" w:color="BFC7CF" w:sz="4"/>
          <w:left w:val="single" w:color="BFC7CF" w:sz="4"/>
          <w:bottom w:val="single" w:color="BFC7CF" w:sz="4"/>
          <w:right w:val="single" w:color="BFC7CF" w:sz="4"/>
          <w:insideH w:val="single" w:color="BFC7CF" w:sz="4"/>
          <w:insideV w:val="single" w:color="BFC7CF" w:sz="4"/>
        </w:tblBorders>
      </w:tblPr>
      <w:tblGrid>
        <w:gridCol w:w="2506"/>
        <w:gridCol w:w="7132"/>
      </w:tblGrid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Получатель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ИП «STUDYSTORIES.APP», БИН 880607300110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ИИК / Банк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KZ31722S000010366450 · АО «Kaspi Bank» · БИК CASPKZKA · КБе 19 · КНП 851</w:t>
            </w:r>
          </w:p>
        </w:tc>
      </w:tr>
      <w:t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Оплата по договору № GR-2026-01 от 08.10.2026 за разработку программного обеспечения, этап ___. Без НДС</w:t>
            </w:r>
          </w:p>
        </w:tc>
      </w:tr>
    </w:tbl>
    <w:p>
      <w:pPr>
        <w:spacing w:after="60" w:before="0" w:line="264"/>
        <w:jc w:val="both"/>
      </w:pPr>
    </w:p>
    <w:p>
      <w:pPr>
        <w:keepNext/>
        <w:spacing w:after="80" w:before="160" w:line="264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Форма акта выполненных работ</w:t>
      </w:r>
    </w:p>
    <w:p>
      <w:pPr>
        <w:spacing w:after="100" w:before="0" w:line="264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АКТ ВЫПОЛНЕННЫХ РАБОТ № ___ от «___» __________ 2026 г. к Договору № GR-2026-01 от 8 октября 2026 г.</w:t>
      </w:r>
    </w:p>
    <w:p>
      <w:pPr>
        <w:spacing w:after="160" w:before="0" w:line="264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ИП «STUDYSTORIES.APP» (Исполнитель) и ИП «Grandis» (Заказчик) составили настоящий акт о том, что Исполнитель выполнил, а Заказчик принял работы по этапу: ____________________________________ (разделы Приложения № 1: __________). Стоимость этапа — __________ тенге, без НДС. Работы выполнены в полном объёме и в срок, претензий по объёму и качеству Заказчик не имеет.</w:t>
      </w:r>
    </w:p>
    <w:p>
      <w:pPr>
        <w:spacing w:after="120" w:before="0" w:line="264"/>
        <w:jc w:val="both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«STUDYSTORIES.APP»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Цай П. Л.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Заказчик</w:t>
            </w:r>
          </w:p>
          <w:p>
            <w:pPr>
              <w:spacing w:after="26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ИП «Grandis»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 / Измеров В. А. /</w:t>
            </w:r>
          </w:p>
          <w:p>
            <w:pPr>
              <w:spacing w:after="8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B88"/>
                <w:sz w:val="16"/>
                <w:szCs w:val="16"/>
              </w:rPr>
              <w:t xml:space="preserve">М.П.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B88"/>
        <w:sz w:val="16"/>
        <w:szCs w:val="16"/>
      </w:rPr>
      <w:t xml:space="preserve">Договор № GR-2026-01 · стр. </w:t>
    </w:r>
    <w:r>
      <w:rPr>
        <w:rFonts w:ascii="Arial" w:cs="Arial" w:eastAsia="Arial" w:hAnsi="Arial"/>
        <w:color w:val="6B7B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B88"/>
        <w:sz w:val="16"/>
        <w:szCs w:val="16"/>
      </w:rPr>
      <w:t xml:space="preserve"> из </w:t>
    </w:r>
    <w:r>
      <w:rPr>
        <w:rFonts w:ascii="Arial" w:cs="Arial" w:eastAsia="Arial" w:hAnsi="Arial"/>
        <w:color w:val="6B7B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GR-2026-01</dc:title>
  <dc:creator>Pllato</dc:creator>
  <cp:lastModifiedBy>Un-named</cp:lastModifiedBy>
  <cp:revision>1</cp:revision>
  <dcterms:created xsi:type="dcterms:W3CDTF">2026-10-08T09:53:41.112Z</dcterms:created>
  <dcterms:modified xsi:type="dcterms:W3CDTF">2026-10-08T09:53:41.119Z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