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7"/>
          <w:szCs w:val="27"/>
        </w:rPr>
        <w:t xml:space="preserve">Договор № PL-260910-1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19"/>
          <w:szCs w:val="19"/>
        </w:rPr>
        <w:t xml:space="preserve">на разработку программного обеспечения</w:t>
      </w:r>
      <w:r>
        <w:br/>
      </w:r>
      <w:r>
        <w:rPr>
          <w:rFonts w:ascii="Times New Roman" w:cs="Times New Roman" w:eastAsia="Times New Roman" w:hAnsi="Times New Roman"/>
          <w:b w:val="false"/>
          <w:bCs w:val="false"/>
          <w:sz w:val="19"/>
          <w:szCs w:val="19"/>
        </w:rPr>
        <w:t xml:space="preserve">(с условиями о неразглашении конфиденциальной информации — NDA)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г. Алматы</w:t>
            </w:r>
          </w:p>
        </w:tc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10 сентября 2026 года</w:t>
            </w:r>
          </w:p>
        </w:tc>
      </w:tr>
    </w:tbl>
    <w:p>
      <w:pPr>
        <w:spacing w:after="120"/>
      </w:pPr>
    </w:p>
    <w:p>
      <w:pPr>
        <w:spacing w:after="90" w:line="264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Индивидуальный предприниматель «STUDYSTORIES.APP»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БИН 880607300110, в лице руководителя Цая Платона Леонидовича, действующего на основании свидетельства о государственной регистрации, именуемый в дальнейшем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«Исполнитель»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 одной стороны, и</w:t>
      </w:r>
    </w:p>
    <w:p>
      <w:pPr>
        <w:spacing w:after="90" w:line="264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Мушекбаев Адиль Серикханович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ИИН ______________________________, действующий на основании ______________________________, именуемый в дальнейшем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«Заказчик»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 другой стороны, вместе именуемые «Стороны», заключили настоящий Договор о нижеследующем.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1. Предмет договора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обязуется разработать и передать Заказчику программное обеспечение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систему управления сетью складов индивидуального хранения (self storage) и новый сайт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связанные в единую базу данных (далее — «ПО», «Система»), а Заказчик обязуется принять и оплатить выполненные работы на условиях настоящего Договора.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Состав и функциональные требования к ПО определены в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Техническом задании от 24.08.2026 (Приложение № 1)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являющемся неотъемлемой частью настоящего Договора. Ключевые блоки: пульт сети, склады и боксы с планами, договоры и арендаторы, массовое выставление счетов, интеграция Kaspi Платежи, автоматическое управление доступом (включая вход по звонку с определением номера), личный кабинет клиента, CRM с карточкой клиента и воронкой обращений, канбан заявок, эквайринг банковских карт как дополнительный канал оплаты, формирование счетов на оплату для юридических лиц, поле скидки по клиенту и по складу, IP-телефония и WhatsApp, аналитика, роли и права доступа, админка, сайт сети складов, передача данных о заявках и сделках в рекламные системы через Conversions API (CAPI), оформление логотипа и технической части фирменного стиля.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ПО разворачивается на сервере Заказчика. Исходный код, доступы и техническая документация (вики) передаются Заказчику в порядке, установленном разделом 5.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1.4.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Согласование состава CRM и прав доступа.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Состав полей карточки клиента, стадии воронки обращений и критерии приёмки блока CRM, а также конкретное распределение прав по ролям (владелец, менеджер, оператор охраны, администратор, клиент)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согласовываются Сторонами на этапе «Ядро»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и фиксируются письменно — перепиской, протоколом созвона или отдельным приложением. Реализуется стандартная сетка прав: по каждому разделу для каждой роли задаётся уровень доступа (нет доступа, просмотр, изменение). После передачи Системы права меняются Заказчиком в админке самостоятельно.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1.5.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Приём оплат.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Помимо сервиса Kaspi Платежи подключается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эквайринг банковских карт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как дополнительный канал. В платёжной форме и назначении платежа указываются основание (склад, номер бокса, договор) и период, за который вносится оплата. Поступление по эквайрингу привязывается к боксу и периоду и снимает автоматическую блокировку доступа наравне с оплатой через Kaspi. Провайдер эквайринга, тарифы и комиссии выбираются и оплачиваются Заказчиком; Исполнитель выполняет программную интеграцию по документации выбранного провайдера.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1.6.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Счета для юридических лиц и скидки.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 Системе формируются счета на оплату для арендаторов — юридических лиц, с реквизитами сторон, перечнем боксов, периодом и суммой, с выгрузкой в PDF. Предусматривается поле скидки, задаваемое как по отдельному клиенту, так и по складу целиком; скидка учитывается при массовом начислении, в счетах и в аналитике.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1.7.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Масштабируемость.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Система и сайт проектируются с расчётом на обслуживание не менее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50 (пятидесяти) складов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сети без переработки архитектуры: добавление нового склада выполняется Заказчиком самостоятельно в админке. Соответствие этому требованию проверяется при приёмке итогового этапа.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1.8.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Оформление логотипа и технической части фирменного стиля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(логотип в рабочих форматах, цвета, шрифты и правила применения в интерфейсе Системы и на сайте) входит в стоимость работ и передаётся Заказчику вместе с исходными файлами.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1.9.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Детализация требований в пределах Технического задания уточняется Сторонами в рабочем порядке и не является изменением предмета Договора. Работы, выходящие за рамки Технического задания, оформляются дополнительным соглашением.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2. Сроки и порядок выполнения работ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Работы выполняются в два этапа:</w:t>
      </w:r>
    </w:p>
    <w:p>
      <w:pPr>
        <w:spacing w:after="60" w:line="264"/>
        <w:ind w:left="840" w:hanging="28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—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Этап 1 «Ядро»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рабочий каркас Системы и сайта со всеми основными разделами на данных Заказчика (включая перенос данных из текущих таблиц). Заказчик принимает этап фактической работой в Системе;</w:t>
      </w:r>
    </w:p>
    <w:p>
      <w:pPr>
        <w:spacing w:after="60" w:line="264"/>
        <w:ind w:left="840" w:hanging="28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—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Этап 2 «Полировка и передача»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доработки по обратной связи боевого использования, развёртывание на сервере Заказчика, передача исходного кода, доступов и документации.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Общий срок выполнения работ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4–6 недель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 даты поступления предоплаты, при условии своевременного предоставления Заказчиком данных, доступов и согласований. Срок ответа Заказчика на запросы согласования — до 2 (двух) рабочих дней; задержки согласований соразмерно сдвигают срок сдачи.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Заказчик обеспечивает со своей стороны: данные текущих таблиц по складам, доступ к кабинетам Kaspi юридических лиц, номера для подключения WhatsApp и телефонии, документацию Kaspi Платежи, данные по оборудованию доступа (Hikvision, GSM-замки), контент для сайта и одно уполномоченное лицо для согласований.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Закупка и монтаж оборудования (GSM-модули замков, усилители связи, камеры и т.п.) — зона ответственности Заказчика. Исполнитель выполняет программную интеграцию оборудования в пределах возможностей, предоставляемых производителем оборудования и API сторонних сервисов.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2.5.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Работа доступа при отсутствии электропитания или связи.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Стороны понимают и фиксируют: при отключении электричества или интернета канал открытия замков не работает — оборудование перестаёт управляться Системой. Это ограничение оборудования и внешних сетей, а не недостаток программной части, и не является основанием для претензий к Исполнителю. Организация доступа в такой ситуации (дежурный оператор, механическое открытие), резервное электропитание и автономные каналы связи обеспечиваются Заказчиком и в состав работ не входят.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3. Стоимость работ и порядок расчётов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Общая стоимость работ по Договору составляет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3 000 000 (три миллиона)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в том числе: система управления сетью складов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2 500 000 (два миллиона пятьсот тысяч)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сайт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500 000 (пятьсот тысяч)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Стоимость является фиксированной и пересмотру не подлежит.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не является плательщиком НДС Республики Казахстан. Стоимость работ НДС не облагается.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Оплата производится тремя частями:</w:t>
      </w:r>
    </w:p>
    <w:tbl>
      <w:tblPr>
        <w:tblW w:type="dxa" w:w="10206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4695"/>
        <w:gridCol w:w="3266"/>
        <w:gridCol w:w="2245"/>
      </w:tblGrid>
      <w:tr>
        <w:trPr>
          <w:tblHeader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Платёж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Сумма, тенге</w:t>
            </w:r>
          </w:p>
        </w:tc>
      </w:tr>
      <w:tr>
        <w:trPr>
          <w:tblHeader w:val="false"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Предоплата 10% — старт работ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 подписании Договора (счёт № ZS-С-2026-02)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300 000</w:t>
            </w:r>
          </w:p>
        </w:tc>
      </w:tr>
      <w:tr>
        <w:trPr>
          <w:tblHeader w:val="false"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Этап 1 · Ядро — 45%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после утверждения Заказчиком ядра: основной сайт и система управления со всем функционалом Технического задания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1 350 000</w:t>
            </w:r>
          </w:p>
        </w:tc>
      </w:tr>
      <w:tr>
        <w:trPr>
          <w:tblHeader w:val="false"/>
        </w:trPr>
        <w:tc>
          <w:tcPr>
            <w:tcW w:type="dxa" w:w="469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Итоговый этап — 45%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после передачи Заказчику финальной версии (полировка, развёртывание, исходный код, доступы, документация)</w:t>
            </w:r>
          </w:p>
        </w:tc>
        <w:tc>
          <w:tcPr>
            <w:tcW w:type="dxa" w:w="2245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1 350 000</w:t>
            </w:r>
          </w:p>
        </w:tc>
      </w:tr>
      <w:tr>
        <w:trPr>
          <w:tblHeader w:val="false"/>
        </w:trPr>
        <w:tc>
          <w:tcPr>
            <w:tcW w:type="dxa" w:w="7961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26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3 000 000</w:t>
            </w:r>
          </w:p>
        </w:tc>
      </w:tr>
    </w:tbl>
    <w:p>
      <w:pPr>
        <w:spacing w:after="120"/>
      </w:pP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Оплата производится в безналичной форме на счёт Исполнителя, указанный в разделе 11. Обязательство по оплате считается исполненным с момента зачисления средств на счёт Исполнителя.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Стоимость сторонних сервисов (каналы WhatsApp, IP-телефония и АТС, хостинг, SMS, комиссии Kaspi) не входит в стоимость работ и оплачивается Заказчиком напрямую поставщикам таких сервисов.</w:t>
      </w:r>
    </w:p>
    <w:p>
      <w:r>
        <w:br w:type="page"/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4. Порядок сдачи и приёмки работ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По завершении каждого этапа Исполнитель предоставляет Заказчику результат для проверки и акт выполненных работ. Заказчик в течение 5 (пяти) рабочих дней подписывает акт либо направляет мотивированные замечания в пределах Технического задания.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Если в указанный срок подписанный акт или мотивированные замечания не получены, работы по этапу считаются принятыми Заказчиком в полном объёме.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Замечания в пределах Технического задания устраняются Исполнителем без дополнительной оплаты. Пожелания, выходящие за рамки Технического задания, оформляются отдельно по ставке, указанной в п. 6.3.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Стороны признают юридическую силу документов и согласований, переданных по электронной почте и через мессенджеры, с последующим оформлением оригиналов при необходимости.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5. Права на результаты работ. Передача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5.1.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После полной оплаты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стоимости работ исключительные имущественные права на созданные в рамках Договора результаты (Систему, сайт, исходный код, дизайн, документацию) переходят Заказчику в полном объёме.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Одновременно с переходом прав Исполнитель передаёт Заказчику: исходный код, логины, пароли и ключи доступа к серверу, административным панелям и подключённым сервисам, а также техническую документацию (вики), позволяющую стороннему разработчику среднего уровня сопровождать Систему.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Дальнейшее пользование Системой не требует каких-либо платежей в пользу Исполнителя (лицензионных, абонентских или иных).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вправе использовать при разработке собственные наработки, библиотеки и модули; права на них в составе переданной Системы предоставляются Заказчику без ограничений по использованию Системы.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5.5.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Ограничение на использование результата работ.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Исполнитель обязуется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передавать, не продавать, не сдавать в аренду и иным образом не предоставлять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Систему, сайт, их исходный код, дизайн-макеты, структуру базы данных, бизнес-логику и любые их производные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третьим лицам, осуществляющим деятельность в сфере self storage (аренды складских боксов и индивидуального хранения) на территории Республики Казахстан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Ограничение действует бессрочно с даты подписания Договора.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5.6.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 нарушение обязательства, предусмотренного п. 5.5, Исполнитель выплачивает Заказчику штраф в размере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100% (ста процентов) стоимости работ по Договору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а также возмещает причинённые убытки в части, не покрытой штрафом.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5.7.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вправе указывать факт сотрудничества и общее описание проекта в своём портфолио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без раскрытия конфиденциальной информации, данных клиентов, финансовых показателей и исходного кода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если Заказчик письменно не возразил.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6. Резервное копирование и сохранность данных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Резервное копирование данных Системы выполняется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штатными средствами Cloudflare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Глубина хранения резервных копий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30 (тридцать) календарных дней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Восстановление данных на любую дату в пределах этого срока выполняется Исполнителем по обращению Заказчика в рамках поддержки.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Дополнительно настраивается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ежемесячное копирование на резервный сервер, отличный от основного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: раз в месяц полная копия базы данных и файлов переносится на отдельный сервер, чтобы сохранность данных не зависела от одной площадки. Настройка такого копирования входит в стоимость работ; аренда и оплата резервного сервера — за Заказчиком.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Проверка восстановления из резервной копии проводится однократно на этапе полировки и фиксируется при приёмке.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Отдельное соглашение об уровне доступности сервера (SLA) Сторонами не заключается: сервер принадлежит Заказчику, его оплата, доступность и техническое состояние — зона ответственности Заказчика. Исполнитель не отвечает за простои, вызванные недоступностью сервера или хостинг-провайдера Заказчика.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7. Гарантии и поддержка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Гарантия распространяется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на весь функционал, предусмотренный Техническим заданием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Исправление ошибок (несоответствий Техническому заданию) производится Исполнителем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без дополнительной оплаты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 течение всего гарантийного периода.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7.2.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Техническая поддержка Системы и сайта в течение 12 (двенадцати) месяцев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 даты подписания акта о полной передаче включена в стоимость работ и оказывается в формате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отладки (дебага)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: приём обращений Заказчика, диагностика, устранение ошибок и сбоев в работе переданного функционала, восстановление работоспособности после сбоев. Обращения принимаются в рабочие дни; срок реакции — до 1 (одного) рабочего дня, срок устранения зависит от характера неисправности и согласовывается с Заказчиком. В течение первого месяца после запуска Исполнитель осуществляет усиленное сопровождение.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Поддержка по п. 6.2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включает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разработку нового функционала, изменение согласованной логики и подключение новых сервисов — такие работы выполняются по ставке п. 7.5.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Гарантия и поддержка не распространяются на сбои, вызванные изменениями API и условий сторонних сервисов (Kaspi, WhatsApp, операторы связи), отказами оборудования Заказчика, действиями третьих лиц или вмешательством в код после передачи. Устранение таких сбоев и адаптация к изменившимся условиям сторонних сервисов оплачиваются по ставке п. 7.5.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Доработки и новые функции после сдачи выполняются по ставке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20 (двадцать) долларов США за час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работы в тенге по курсу НБ РК на дату счёта, по предварительно согласованной оценке объёма.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7.6.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Профилактический рефакторинг при масштабировании сети сверх 50 складов выполняется по ставке п. 7.5 по согласованной оценке.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8. Конфиденциальность (NDA)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8.1.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Конфиденциальной информацией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 настоящему Договору признаётся любая информация, полученная Сторонами друг от друга в связи с его исполнением, независимо от формы и носителя, в том числе: данные арендаторов, договоров и платежей Заказчика; финансовые и операционные показатели сети (загрузка, ставки, выручка, дебиторская задолженность); тарифы, коммерческие условия и планы развития; персональные данные клиентов и сотрудников; доступы, ключи и пароли; исходный код, архитектура, структура базы данных и техническая документация; содержание переговоров и переписки Сторон.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Каждая Сторона обязуется: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разглашать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конфиденциальную информацию третьим лицам без предварительного письменного согласия другой Стороны;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использовать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её исключительно для целей исполнения настоящего Договора;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копировать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и не воспроизводить её сверх необходимого; предоставлять доступ к ней только тем работникам и привлечённым специалистам, которым она необходима для исполнения Договора, приняв с них аналогичные письменные обязательства о неразглашении; принимать разумные организационные и технические меры защиты (разграничение прав доступа, защищённое хранение, шифрование каналов передачи).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Не является нарушением раскрытие информации, которая: была общедоступна на момент передачи либо стала общедоступной не по вине принимающей Стороны; была правомерно известна принимающей Стороне до передачи; подлежит раскрытию по требованию уполномоченного государственного органа или суда — в этом случае раскрывающая Сторона незамедлительно уведомляет об этом другую Сторону и раскрывает информацию в минимально необходимом объёме.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Персональные данные арендаторов и сотрудников Заказчика обрабатываются Исполнителем исключительно в объёме, необходимом для разработки и настройки Системы, и не используются ни для каких иных целей. По завершении работ и передаче Системы Исполнитель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удаляет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со своих носителей копии рабочих баз данных Заказчика, за исключением резервных копий, необходимых для исполнения гарантийных обязательств, которые уничтожаются по истечении срока поддержки либо по письменному требованию Заказчика.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Обязательства о конфиденциальности действуют в течение срока действия Договора и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5 (пяти) лет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после его прекращения независимо от причин прекращения. В отношении персональных данных и исходного кода обязательства действуют бессрочно.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8.6.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 разглашение конфиденциальной информации виновная Сторона выплачивает другой Стороне штраф в размере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1 000 000 (одного миллиона) тенге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за каждый случай нарушения и возмещает документально подтверждённые убытки в части, не покрытой штрафом.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8.7.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Настоящий раздел имеет силу соглашения о неразглашении (NDA) и не требует подписания отдельного документа. По требованию любой из Сторон может быть оформлено отдельное соглашение о неразглашении на условиях, не противоречащих настоящему разделу.</w:t>
      </w:r>
    </w:p>
    <w:p>
      <w:r>
        <w:br w:type="page"/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9. Гарантия выполнения объёма работ и возврат оплаты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гарантирует выполнение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всех без исключения пунктов Технического задания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(Приложение № 1). Техническое задание является исчерпывающим перечнем обязательств Исполнителя по объёму работ.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Если при приёмке итогового этапа выявлено, что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хотя бы один пункт Технического задания не выполнен по вине Исполнителя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Заказчик направляет Исполнителю письменное уведомление с указанием невыполненных пунктов. Исполнитель обязан устранить несоответствие в срок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10 (десять) рабочих дней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 даты получения уведомления.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Если в указанный срок несоответствие не устранено, Заказчик вправе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 одностороннем порядке отказаться от исполнения Договора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а Исполнитель обязан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возвратить Заказчику все фактически оплаченные по Договору денежные средства в полном объёме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 течение 10 (десяти) банковских дней с даты получения соответствующего требования. Ранее подписанные акты по этапам не лишают Заказчика этого права.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Правило п. 9.3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не применяется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если невыполнение пункта Технического задания вызвано обстоятельствами, не зависящими от Исполнителя, а именно: непредоставлением или несвоевременным предоставлением Заказчиком данных, доступов, оборудования или согласований (п. 2.3, п. 2.4); отказом или ограничениями со стороны сторонних сервисов и их API (Kaspi, WhatsApp, операторы связи, производители оборудования доступа) при документально подтверждённом обращении Исполнителя к таким сервисам; изменением требований Заказчика после утверждения Технического задания; обстоятельствами непреодолимой силы. В этих случаях Стороны письменно фиксируют причину и согласовывают замену либо исключение соответствующего пункта.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При возврате оплаты по п. 9.3 исключительные права на результаты работ к Заказчику не переходят, а переданные Заказчику материалы, исходный код и доступы подлежат возврату или уничтожению. Обязательства Сторон по разделу 8 (Конфиденциальность) сохраняют силу.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10. Ответственность Сторон и прочие условия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За неисполнение или ненадлежащее исполнение обязательств Стороны несут ответственность в соответствии с законодательством Республики Казахстан. Совокупная ответственность Исполнителя ограничена суммой фактически полученной оплаты по Договору, за исключением случаев, предусмотренных п. 5.6 и п. 8.6.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Исполнитель не несёт ответственности за работоспособность и условия сторонних сервисов и оборудования (Kaspi, WhatsApp, операторы связи, GSM-модули, Hikvision), а также за перерывы в их работе, произошедшие не по вине Исполнителя.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10.3.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Стороны освобождаются от ответственности при обстоятельствах непреодолимой силы. Споры разрешаются переговорами, при недостижении согласия — в суде по месту нахождения ответчика.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Договор вступает в силу с момента подписания и действует до полного исполнения Сторонами обязательств. Изменения оформляются письменными дополнительными соглашениями. Договор составлен в двух экземплярах равной юридической силы.</w:t>
      </w:r>
    </w:p>
    <w:p>
      <w:pPr>
        <w:spacing w:after="70" w:line="264"/>
        <w:ind w:left="560" w:hanging="56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10.5.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Приложение № 1 — Техническое задание — является неотъемлемой частью Договора и подписывается Сторонами отдельно.</w:t>
      </w:r>
    </w:p>
    <w:p>
      <w:r>
        <w:br w:type="page"/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11. Реквизиты и подписи Сторон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Отметка о приложениях</w:t>
      </w:r>
    </w:p>
    <w:tbl>
      <w:tblPr>
        <w:tblW w:type="dxa" w:w="10206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3470"/>
        <w:gridCol w:w="6736"/>
      </w:tblGrid>
      <w:tr>
        <w:trPr>
          <w:tblHeader/>
        </w:trPr>
        <w:tc>
          <w:tcPr>
            <w:tcW w:type="dxa" w:w="3470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673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EFEC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470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Приложение № 1</w:t>
            </w:r>
            <w:r>
              <w:br/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Техническое задание</w:t>
            </w:r>
          </w:p>
        </w:tc>
        <w:tc>
          <w:tcPr>
            <w:tcW w:type="dxa" w:w="673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Состав работ по блокам: пульт сети; склады и боксы с планами; договоры и арендаторы; счета и Kaspi Платежи с автоблокировкой; доступ на склады (вход по звонку, доверенные лица, Face ID/Hikvision, журнал); личный кабинет клиента; сайт сети складов и приём заявок с подбором бокса; передача событий в рекламные системы через Conversions API; IP-телефония и WhatsApp; аналитика и админка; логотип и техническая часть фирменного стиля; этапы, приёмка и границы объёма.</w:t>
            </w:r>
          </w:p>
        </w:tc>
      </w:tr>
      <w:tr>
        <w:trPr>
          <w:tblHeader w:val="false"/>
        </w:trPr>
        <w:tc>
          <w:tcPr>
            <w:tcW w:type="dxa" w:w="3470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Счёт № ZS-С-2026-02</w:t>
            </w:r>
            <w:r>
              <w:br/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 10.09.2026</w:t>
            </w:r>
          </w:p>
        </w:tc>
        <w:tc>
          <w:tcPr>
            <w:tcW w:type="dxa" w:w="6736"/>
            <w:gridSpan w:val="1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Предоплата 10% — 300 000 тенге, старт работ.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ИП «STUDYSTORIES.APP»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БИН: 880607300110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Руководитель: Цай Платон Леонидович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г. Алматы, мкр. Орбита-4, д. 3, оф. 2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Банк: АО «Kaspi Bank»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IBAN: KZ31722S000010366450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БИК: CASPKZKA · Кбе 19 · КНП 851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Тел.: +7 701 123 99 99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Email: uurraa@gmail.com</w:t>
            </w:r>
          </w:p>
        </w:tc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Мушекбаев Адиль Серикханович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ИИН: ______________________________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Адрес: ______________________________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Банк: АО «Kaspi Bank»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IBAN: KZ73722C000025956819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БИК: CASPKZKA · Кбе ____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Тел.: +7 701 734 46 99</w:t>
            </w:r>
          </w:p>
        </w:tc>
      </w:tr>
    </w:tbl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 Исполнителя</w:t>
            </w:r>
          </w:p>
          <w:p>
            <w:pPr>
              <w:pBdr>
                <w:bottom w:val="single" w:color="111111" w:sz="6"/>
              </w:pBdr>
              <w:spacing w:after="40" w:before="280"/>
            </w:pP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Цай П. Л. / ____________________</w:t>
            </w:r>
          </w:p>
          <w:p>
            <w:r>
              <w:rPr>
                <w:rFonts w:ascii="Times New Roman" w:cs="Times New Roman" w:eastAsia="Times New Roman" w:hAnsi="Times New Roman"/>
                <w:color w:val="444444"/>
                <w:sz w:val="18"/>
                <w:szCs w:val="18"/>
              </w:rPr>
              <w:t xml:space="preserve">М. П.</w:t>
            </w:r>
          </w:p>
        </w:tc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От Заказчика</w:t>
            </w:r>
          </w:p>
          <w:p>
            <w:pPr>
              <w:pBdr>
                <w:bottom w:val="single" w:color="111111" w:sz="6"/>
              </w:pBdr>
              <w:spacing w:after="40" w:before="280"/>
            </w:pP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Мушекбаев А. С. / ____________________</w:t>
            </w:r>
          </w:p>
          <w:p>
            <w:r>
              <w:rPr>
                <w:rFonts w:ascii="Times New Roman" w:cs="Times New Roman" w:eastAsia="Times New Roman" w:hAnsi="Times New Roman"/>
                <w:color w:val="444444"/>
                <w:sz w:val="18"/>
                <w:szCs w:val="18"/>
              </w:rPr>
              <w:t xml:space="preserve">М. П.</w:t>
            </w:r>
          </w:p>
        </w:tc>
      </w:tr>
    </w:tbl>
    <w:sectPr>
      <w:footerReference w:type="default" r:id="rId7"/>
      <w:pgSz w:w="11906" w:h="16838" w:orient="portrait"/>
      <w:pgMar w:top="794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Договор № PL-260910-1 от 10.09.2026 · стр. </w:t>
    </w:r>
    <w:r>
      <w:rPr>
        <w:rFonts w:ascii="Times New Roman" w:cs="Times New Roman" w:eastAsia="Times New Roman" w:hAnsi="Times New Roman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 из </w:t>
    </w:r>
    <w:r>
      <w:rPr>
        <w:rFonts w:ascii="Times New Roman" w:cs="Times New Roman" w:eastAsia="Times New Roman" w:hAnsi="Times New Roman"/>
        <w:color w:val="44444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PL-260910-1</dc:title>
  <dc:creator>Pllato</dc:creator>
  <dc:description>Договор № PL-260910-1</dc:description>
  <cp:lastModifiedBy>Un-named</cp:lastModifiedBy>
  <cp:revision>1</cp:revision>
  <dcterms:created xsi:type="dcterms:W3CDTF">2026-09-11T11:05:18.495Z</dcterms:created>
  <dcterms:modified xsi:type="dcterms:W3CDTF">2026-09-11T11:05:18.506Z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