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Система управления</w:t>
      </w:r>
      <w:r>
        <w:br/>
      </w: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сетью складов</w:t>
      </w:r>
      <w:r>
        <w:br/>
      </w:r>
      <w:r>
        <w:rPr>
          <w:rFonts w:ascii="Times New Roman" w:cs="Times New Roman" w:eastAsia="Times New Roman" w:hAnsi="Times New Roman"/>
          <w:b/>
          <w:bCs/>
          <w:caps/>
          <w:sz w:val="27"/>
          <w:szCs w:val="27"/>
        </w:rPr>
        <w:t xml:space="preserve">индивидуального хранения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Документ фиксирует состав работ крупными блоками. Детальные требования по каждому блоку согласовываются в рабочем порядке на этапе ядра и полировки; итоговая реализация уточняется по фактическим возможностям оборудования и API сторонних сервисов.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0"/>
      </w:tblGrid>
      <w:tr>
        <w:tc>
          <w:tcPr>
            <w:tcW w:type="dxa" w:w="255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ЗАКАЗЧИК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Мушекбаев А. С.</w:t>
            </w:r>
          </w:p>
        </w:tc>
        <w:tc>
          <w:tcPr>
            <w:tcW w:type="dxa" w:w="255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ИСПОЛНИТЕЛЬ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Pllato</w:t>
            </w:r>
          </w:p>
        </w:tc>
        <w:tc>
          <w:tcPr>
            <w:tcW w:type="dxa" w:w="255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СРОК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4–6 недель</w:t>
            </w:r>
          </w:p>
        </w:tc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color w:val="6B7280"/>
                <w:sz w:val="15"/>
                <w:szCs w:val="15"/>
              </w:rPr>
              <w:t xml:space="preserve">ЭТАПЫ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ядро → полировка</w:t>
            </w:r>
          </w:p>
        </w:tc>
      </w:tr>
    </w:tbl>
    <w:p>
      <w:pPr>
        <w:spacing w:after="200"/>
      </w:pP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Общие положения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Разрабатывается система управления сетью складов self storage («система управления», портал) и новый сайт, связанные в единую базу данных. Сайт — витрина и точка входа клиента; портал — договоры, боксы, счета, доступы, клиенты и аналитика.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Сеть на момент старта: 7 складов в Алматы (включая достроенный), на части складов два уровня хранения — второй уровень учитывается отдельным ярусом со своим тарифом. Склады распределены между тремя ИП: счета и приём оплат идут от юрлица, которому принадлежит склад.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Архитектура закладывается с расчётом роста сети до 20–30 складов. Новый склад добавляется Заказчиком самостоятельно через админку (сетка боксов, площади, тарифы, юрлицо, реквизиты Kaspi). При росте сети на каждые ~5 складов может потребоваться профилактический рефакторинг — оплачивается по часам отдельно.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Система развёртывается на сервере Заказчика, исходный код и документация (вики) передаются Заказчику. Ежемесячных платежей Исполнителю за пользование нет; сторонние сервисы (WhatsApp-канал ≈5 000 ₸/номер/мес, IP-телефония, хостинг, SMS) Заказчик оплачивает напрямую поставщикам.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2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Склады, боксы и договоры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Карта-план каждого склада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(не список): боксы с цветовыми статусами — занят, свободен, долг, бронь; уровни отображаются отдельными ярусами. Клик по боксу — карточка: арендатор, площадь, тариф, период, доступы, история.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Карточка арендатора: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все боксы клиента, периоды, платежи, доверенные лица, источник обращения, переписка. Договор аренды формируется автоматически по шаблону Заказчика.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Пульт сети: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загрузка, выручка, свободные боксы, должники и события по всем складам на одном экране; сводные показатели текущей таблицы Заказчика воспроизводятся.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3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CRM: карточка клиента и работа менеджера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CRM выделяется отдельным блоком системы: карточка клиента, воронка обращений, задачи и история взаимодействия.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Состав полей карточки, стадии воронки и критерии приёмки CRM согласовываются с Заказчиком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на этапе ядра и фиксируются письменно (перепиской или протоколом созвона). До согласования состав считается предварительным.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Карточка клиента объединяет данные аренды (боксы, договоры, периоды, платежи, доступы) и данные CRM (источник обращения, переписка, звонки, задачи, ответственный менеджер).</w:t>
      </w:r>
    </w:p>
    <w:p>
      <w:r>
        <w:br w:type="page"/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4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Счета, оплаты и приём платежей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Массовое начисление: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счета за период по всем занятым боксам формируются одним запуском — площадь, тариф и период каждого договора; отправка клиентам в Kaspi и WhatsApp.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Kaspi Платежи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основной канал оплаты (сервис «Платежи», без эквайринга): клиент видит начисление как квитанцию и оплачивает; поступление автоматически привязывается к боксу и периоду, в том числе при оплате третьим лицом и при оплате за несколько периодов сразу. Интеграция выполняется по документации Kaspi, которую предоставляет Заказчик; резервный путь — постоянная ссылка на оплату и автоматический разбор подтверждений.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Эквайринг банковских карт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дополнительный канал оплаты помимо Kaspi. В платёжной форме и в назначении платежа обязательно указываются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за что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(склад, номер бокса, договор) 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за какой период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оплата. Поступление по эквайрингу привязывается к боксу и периоду так же, как оплата через Kaspi, и так же снимает автоблокировку. Конкретный провайдер эквайринга и условия подключения согласовываются с Заказчиком.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Счета на оплату для юридических лиц: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 CRM формируется счёт по шаблону Заказчика с реквизитами юрлица-арендатора и юрлица-получателя (того ИП, которому принадлежит склад), с указанием боксов, периода и суммы. Счёт выгружается в PDF и отправляется клиенту; оплата по такому счёту привязывается к боксу и периоду.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Скидки: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стандартное поле скидки задаётся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как по отдельному клиенту, так и на весь склад целиком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. Скидка учитывается при массовом начислении и отражается в счёте и в аналитике по выручке.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Автоблокировка: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просрочка оплаты автоматически закрывает доступ на склад и отправляет клиенту напоминание со ссылкой на оплату; поступление оплаты открывает доступ без участия персонала. Дебиторка ведётся системой.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5 · ключевой блок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Доступ на склады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Вход по звонку (основной способ):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каждой входной двери присваивается номер (GSM-модуль замка). Клиент звонит на номер двери — система определяет его номер телефона, находит арендатора или доверенное лицо, проверяет оплату и открывает замок; вызов сбрасывается, звонок для клиента бесплатный. При долге замок не открывается, клиенту уходит сообщение со ссылкой на оплату. Аналогия — GSM-шлагбаум.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Доверенные лица: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арендатор добавляет людей в личном кабинете сам (ФИО, номер удостоверения, телефон). Два типа доступа: постоянный (родственники, сотрудники) и разовый на день (грузчики, курьер — сгорает автоматически). Бумажные доверенности не требуются.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Face ID / Hikvision: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действующее оборудование (Hikvision Doors) подключается в общую систему с тем же правилом «не оплатил — не вошёл»; единый журнал. Вопрос удалённого управления решается по модели оборудования (статический IP или облачный сервис Hik).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Оператор — резервный канал: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видеозвонок и ручное открытие после верификации (телефон разряжен, нестандартная ситуация). Для охраны — картотека: поиск по номеру телефона или имени, доступы и долги видны без системы доступа.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Журнал проходов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 всем складам и всем способам входа: кто, когда, куда, каким способом, результат.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Отключение электричества или интернета: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при пропадании питания или связи канал открытия не работает — замок не управляется системой. Это ограничение оборудования, а не программной части. Доступ в такой ситуации обеспечивается организационно, силами Заказчика (дежурный оператор, механический ключ). Резервное питание, автономные каналы связи и аварийное открытие — зона ответственности Заказчика и в состав работ не входят.</w:t>
      </w:r>
    </w:p>
    <w:p>
      <w:pPr>
        <w:pBdr>
          <w:left w:val="single" w:color="8A8578" w:sz="12" w:space="10"/>
        </w:pBdr>
        <w:shd w:fill="F4F2EC" w:color="auto" w:val="clear"/>
        <w:spacing w:after="140" w:before="80" w:line="264"/>
        <w:ind w:left="280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Зависимость от оборудования: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 состав GSM-модулей и способ их подключения подбираются на этапе ядра; связь на вторых уровнях обеспечивается усилителями сигнала (зона ответственности Заказчика по монтажу).</w:t>
      </w:r>
    </w:p>
    <w:p>
      <w:r>
        <w:br w:type="page"/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6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Личный кабинет клиента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Мобильная веб-версия без приложения: бокс, договор, период, счёт, оплата Kaspi, продление, история платежей.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Управление доступом: свой номер-ключ, добавление доверенных лиц, разовые доступы; статус «доступ закрыт — оплатите» с причиной.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Онбординг новых клиентов: после оплаты — PDF-инструкция в WhatsApp (как пройти, как открыть дверь звонком).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7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Сайт и приём заявок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Новый сайт с нуля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(лендинг-витрина + интеграционный модуль): склады на карте, свободные боксы в реальном времени, цены, онлайн-бронирование и полный самостоятельный чек-ин — выбрал бокс, оплатил, получил доступ и инструкцию без участия менеджера. Контент и данные мигрируются с текущего сайта.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Подбор бокса: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размерные категории (S / M / L / XL / XXL) с понятной визуализацией «что помещается» (по образцу лучших практик); формат подбора уточняется по опросу действующих клиентов Заказчика.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Канбан заявок: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обращения с сайта, WhatsApp, Instagram и звонков в одной воронке с источником (Google ≈45%, рекомендации ≈20%, 2ГИС ≈13%, Instagram ≈11% и др.) и маркетинг-кодами — для оценки каналов и рекламы.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8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Телефония и WhatsApp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IP-телефония: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действующие номера переводятся в SIP-формат у одного оператора на юрлицо; подключение АТС (Sipuni/Binotel или аналог). Входящие и исходящие звонки: запись разговоров, автоматическое создание карточек, привязка к существующим клиентам. Личные номера сотрудников выводятся из рабочего контура.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WhatsApp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по QR-протоколу (green-API, ≈5 000 ₸/канал/мес): вся переписка и файлы архивируются в системе и привязываются к клиенту; отправка счетов, напоминаний и инструкций. WhatsApp-звонки — вне текущего объёма (появятся после стабилизации официального канала Meta).</w:t>
      </w:r>
    </w:p>
    <w:p>
      <w:r>
        <w:br w:type="page"/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9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Аналитика, роли и админка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Дашборд с показателями сводного файла Заказчика: загрузка, выручка, ставка за м², должники, источники, отток и прогноз; выгрузки в Excel.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Роли и права доступа: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владелец, менеджер, оператор охраны, администратор, клиент. Реализуется стандартная сетка прав: по каждому разделу системы для каждой роли задаётся уровень доступа — нет доступа, просмотр, изменение.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Конкретное распределение прав по ролям согласовывается с Заказчиком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на этапе ядра и фиксируется письменно; дальше права меняются в админке без обращения к Исполнителю.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Админка: склады, тарифы, юрлица, интеграции, пользователи, скидки.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10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Резервное копирование и отказоустойчивость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Резервное копирование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выполняется штатными средствами Cloudflare.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Глубина хранения копий — 30 дней.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Восстановление на любую дату в пределах этого срока выполняется Исполнителем по обращению Заказчика.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Ежемесячная копия на резервный сервер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отличный от основного: раз в месяц полная копия базы и файлов переносится на отдельный сервер, чтобы данные не зависели от одной площадки. Настройка переноса входит в состав работ; оплата самого резервного сервера — за Заказчиком.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✓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Проверка восстановления из копии проводится один раз на этапе полировки и фиксируется в акте приёмки. Отдельное соглашение об уровне доступности сервера (SLA) в состав работ не входит: сервер принадлежит Заказчику, его доступность и оплата — зона ответственности Заказчика.</w:t>
      </w:r>
    </w:p>
    <w:p>
      <w:pPr>
        <w:keepNext/>
        <w:spacing w:after="0" w:before="220"/>
      </w:pPr>
      <w:r>
        <w:rPr>
          <w:rFonts w:ascii="Times New Roman" w:cs="Times New Roman" w:eastAsia="Times New Roman" w:hAnsi="Times New Roman"/>
          <w:b/>
          <w:bCs/>
          <w:caps/>
          <w:color w:val="6B7280"/>
          <w:sz w:val="16"/>
          <w:szCs w:val="16"/>
        </w:rPr>
        <w:t xml:space="preserve">Раздел 11</w:t>
      </w:r>
    </w:p>
    <w:p>
      <w:pPr>
        <w:keepNext/>
        <w:spacing w:after="90" w:before="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Этапы, приёмка и границы объёма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«Ядро»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рабочий каркас всех разделов на данных Заказчика (перенос из текущих таблиц включён). Приёмка — работой в системе.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Этап «Полировка»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— правки по обратной связи боевого использования, перенос на сервер Заказчика, передача кода и вики.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	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Оплата: 10% при старте, 45% после утверждения ядра, 45% после полной сдачи. Ошибки исправляются бесплатно; доработки после сдачи — 20 $/час.</w:t>
      </w:r>
    </w:p>
    <w:p>
      <w:pPr>
        <w:spacing w:after="80" w:line="264"/>
        <w:ind w:left="480" w:hanging="480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	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Вне текущего объёма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(следующий круг развития, по отдельному согласованию): AI-агент подбора бокса в нерабочее время, аукционы невыкупленных боксов, WhatsApp-звонки, кубометры как единица тарификации, промокоды и программа лояльности, страхование хранимого имущества.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Исполнитель · Pllato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Подпись, дата</w:t>
            </w:r>
          </w:p>
        </w:tc>
        <w:tc>
          <w:tcPr>
            <w:tcW w:type="dxa" w:w="510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Заказчик</w:t>
            </w:r>
          </w:p>
          <w:p>
            <w:pPr>
              <w:pBdr>
                <w:bottom w:val="single" w:color="111111" w:sz="6"/>
              </w:pBdr>
              <w:spacing w:after="40" w:before="280"/>
            </w:pP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Подпись, дата</w:t>
            </w:r>
          </w:p>
        </w:tc>
      </w:tr>
    </w:tbl>
    <w:sectPr>
      <w:footerReference w:type="default" r:id="rId7"/>
      <w:pgSz w:w="11906" w:h="16838" w:orient="portrait"/>
      <w:pgMar w:top="794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Техническое задание · приложение к договору № PL-260910-1 · стр.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 из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Pllato</dc:creator>
  <dc:description>Техническое задание</dc:description>
  <cp:lastModifiedBy>Un-named</cp:lastModifiedBy>
  <cp:revision>1</cp:revision>
  <dcterms:created xsi:type="dcterms:W3CDTF">2026-09-11T11:05:18.687Z</dcterms:created>
  <dcterms:modified xsi:type="dcterms:W3CDTF">2026-09-11T11:05:18.687Z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