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</w:pPr>
      <w:r>
        <w:rPr>
          <w:rFonts w:ascii="Calibri" w:cs="Calibri" w:eastAsia="Calibri" w:hAnsi="Calibri"/>
          <w:b/>
          <w:bCs/>
          <w:color w:val="17324D"/>
          <w:sz w:val="32"/>
          <w:szCs w:val="32"/>
        </w:rPr>
        <w:t xml:space="preserve">Paczka dokumentów Inwestora — kolejność akceptacji przed złożeniem Zlecenia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Pakiet FY-LEGAL-2026-09-04.v5 (umowa ramowa i NDA) + v4 (dane osobowe). Wszystkie kroki 1–5 wykonywane w systemie w formie dokumentowej z pełnym śladem audytowym (wersja i skrót dokumentu, konto, czas, metoda uwierzytelnienia). Bez kompletu kroków 1–5 formularz Zlecenia jest nieaktywny.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7324D"/>
          <w:sz w:val="22"/>
          <w:szCs w:val="22"/>
        </w:rPr>
        <w:t xml:space="preserve">Sekwencja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000"/>
        <w:gridCol w:w="3400"/>
      </w:tblGrid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Krok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Dokument / czynność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Warunek przejścia dalej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Konto i identyfikacja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Rejestracja w systemie; dane identyfikacyjne (imię i nazwisko / firma, adres, PESEL / NIP-KRS, e-mail, telefon); wariant strony: osoba fizyczna / JDG / osoba prawna; reprezentacja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Dane kompletne; oznaczenie, czy Inwestor jest Konsumentem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Informacje przedumowne (Konsument)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Załącznik nr 3 do Umowy ramowej + wzór odstąpienia (Załącznik nr 4) na trwałym nośniku (PDF)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Doręczenie potwierdzone przed krokiem 3; jeżeli doręczono później niż 1 dzień przed związaniem — przypomnienie z § 15 ust. 8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Ramowa umowa pośrednictwa finansowego świadczonego na odległość (02, v5)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Akceptacja pełnej treści; potwierdzenie nieodpłatności usługi, Mechanizmu Zabezpieczenia Prowizji, Kary Obejściowej 5% Sumy Hipotecznej, Okresu Ochronnego 5 lat; Konsument: brak domyślnie zaznaczonych pól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Akceptacja zalogowana z wersją i skrótem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Umowa o zachowaniu poufności i zakazie obchodzenia (01, v5)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Akceptacja pełnej treści; dla podmiotu innego niż Inwestor — Załącznik nr 1 (przystąpienie)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Akceptacja zalogowana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Umowa udostępniania i ochrony danych osobowych (03, v4)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Akceptacja Modułu A (odrębni administratorzy); Moduł B nieaktywny bez Karty Polecenia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Akceptacja zalogowana; Karta Transferu Danych zatwierdzana później, per Projekt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Subskrypcja narzędzi systemu (jeżeli wymagana)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Odrębny cennik / regulamin SaaS; opłata niezależna od pośrednictwa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Aktywna subskrypcja daje możliwość składania Zleceń, nie dostęp do Projektów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Formularz Zlecenia (Załącznik nr 7 do Umowy ramowej)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Kwota ± 15%, maks. okres, min. zysk roczny, termin ważności 30/60/90 dni; oświadczenia; Konsument: żądanie rozpoczęcia przed upływem 14 dni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Finance You przyjmuje lub odmawia w 2 Dni Robocze; przyjęcie zalogowane z datą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Per Projekt (po Dopasowaniu)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Teaser anonimowy → Karta Leada (Załącznik nr 1, z nr Zlecenia) → Karta Transferu Danych → Ujawnienie Identyfikujące → rezerwacja 24 h (+12 h)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Karta Leada zaakceptowana przed Ujawnieniem Identyfikującym; Konsument: odrębne uzgodnienie Kary Obejściowej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Przed wypłatą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Załącznik nr 6 (dyspozycja Klienta i klauzula prowizyjna) w umowie Finansowania; weryfikacja statusu przedsiębiorcy i Celu Gospodarczego przez Inwestora (§ 6 ust. 1 pkt 9)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Prowizja Klientowska przelana na rachunek Finance You nie później niż z pierwszą wypłatą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7324D"/>
          <w:sz w:val="22"/>
          <w:szCs w:val="22"/>
        </w:rPr>
        <w:t xml:space="preserve">Zmiany w v5 względem v4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Umowa ramowa (02): preambuła B i nowy pkt F; definicje Zlecenia i Dopasowania (§ 1 pkt 19–20); § 2 ust. 1 pkt 3 i nowy ust. 6 (przedstawianie wyłącznie w wykonaniu Zlecenia, brak katalogu); § 5 nowy ust. 1 (cykl Zlecenia), teaser tylko dla Inwestora z przyjętym Zleceniem, rezerwacja jako wyłączność wobec innych zleceniodawców, subskrypcja jako możliwość składania Zleceń zamiast dostępu do Projektów; § 6 ust. 1 nowy pkt 9 (samodzielna weryfikacja statusu przedsiębiorcy i Celu Gospodarczego przez Inwestora); § 15 ust. 3 (wybór Konsumenta per Zlecenie); Karta Leada — pola Nr Zlecenia, Parametry, Przyjęcie / Dopasowanie; nowy Załącznik nr 7 — Formularz Zlecenia.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NDA (01): preambuła A — „na ich indywidualne zlecenie”. Umowa RODO (03): bez zmian.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7324D"/>
          <w:sz w:val="22"/>
          <w:szCs w:val="22"/>
        </w:rPr>
        <w:t xml:space="preserve">Uwagi wdrożeniowe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1. W systemie i marketingu wymienić każde „dostęp do Projektów / spraw / okazji” na „możliwość składania Zleceń” — spójnie z § 5 ust. 7 Umowy ramowej.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2. Teaser i Karta Leada muszą być generowane dla pary Projekt–Zlecenie; system nie powinien mieć ścieżki generowania teasera bez numeru Zlecenia.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3. Dziennik: przyjęcie Zlecenia, Dopasowanie, przypisanie Projektu, rezerwacja, decyzja, przekazanie do kolejnego Zlecenia — każde z datą i wersją dokumentów.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4. Pakiet do przeglądu kancelarii przed wdrożeniem, w szczególności: sekwencyjne przedstawianie tego samego Projektu kolejnym zleceniodawcom oraz Kara Obejściowa wobec Konsumenta.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2026-09-04T17:33:11.361Z</dcterms:created>
  <dcterms:modified xsi:type="dcterms:W3CDTF">2026-09-04T17:33:11.361Z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