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"/>
        <w:jc w:val="center"/>
      </w:pPr>
      <w:r>
        <w:rPr>
          <w:b/>
          <w:bCs/>
          <w:sz w:val="28"/>
          <w:szCs w:val="28"/>
        </w:rPr>
        <w:t xml:space="preserve">PAKIET DOKUMENTÓW POŻYCZKOWO-WINDYKACYJNYCH</w:t>
      </w:r>
    </w:p>
    <w:p>
      <w:pPr>
        <w:spacing w:after="220"/>
        <w:jc w:val="center"/>
      </w:pPr>
      <w:r>
        <w:rPr>
          <w:i/>
          <w:iCs/>
          <w:sz w:val="20"/>
          <w:szCs w:val="20"/>
        </w:rPr>
        <w:t xml:space="preserve">spis treści i instrukcja użycia</w:t>
      </w:r>
    </w:p>
    <w:p>
      <w:pPr>
        <w:spacing w:after="160" w:before="0" w:line="276"/>
        <w:jc w:val="both"/>
      </w:pPr>
      <w:r>
        <w:rPr>
          <w:b w:val="false"/>
          <w:bCs w:val="false"/>
          <w:i w:val="false"/>
          <w:iCs w:val="false"/>
        </w:rPr>
        <w:t xml:space="preserve">Pakiet obejmuje pełen cykl pożyczki B2B: CZĘŚĆ I — udzielenie pożyczki, oraz CZĘŚĆ II — windykacja i egzekucja. Każdy dokument zawiera placeholdery w </w:t>
      </w:r>
      <w:r>
        <w:rPr>
          <w:b/>
          <w:bCs/>
          <w:i w:val="false"/>
          <w:iCs w:val="false"/>
        </w:rPr>
        <w:t xml:space="preserve">[NAWIASACH]</w:t>
      </w:r>
      <w:r>
        <w:rPr>
          <w:b w:val="false"/>
          <w:bCs w:val="false"/>
          <w:i w:val="false"/>
          <w:iCs w:val="false"/>
        </w:rPr>
        <w:t xml:space="preserve"> i blok „Uwagi praktyczne”.</w:t>
      </w:r>
    </w:p>
    <w:p>
      <w:pPr>
        <w:spacing w:after="80" w:before="120"/>
      </w:pPr>
      <w:r>
        <w:rPr>
          <w:b/>
          <w:bCs/>
          <w:sz w:val="24"/>
          <w:szCs w:val="24"/>
        </w:rPr>
        <w:t xml:space="preserve">CZĘŚĆ I — UDZIELENIE POŻYCZKI</w:t>
      </w:r>
    </w:p>
    <w:p>
      <w:pPr>
        <w:spacing w:after="60" w:line="264"/>
        <w:ind w:left="620" w:hanging="620"/>
      </w:pPr>
      <w:r>
        <w:rPr>
          <w:b/>
          <w:bCs/>
        </w:rPr>
        <w:t xml:space="preserve">U01  </w:t>
      </w:r>
      <w:r>
        <w:rPr>
          <w:b/>
          <w:bCs/>
        </w:rPr>
        <w:t xml:space="preserve">Wniosek o udzielenie pożyczki</w:t>
      </w:r>
      <w:r>
        <w:rPr>
          <w:sz w:val="20"/>
          <w:szCs w:val="20"/>
        </w:rPr>
        <w:t xml:space="preserve"> — w pliku Umowy — dane, oświadczenia AML/PEP.</w:t>
      </w:r>
    </w:p>
    <w:p>
      <w:pPr>
        <w:spacing w:after="60" w:line="264"/>
        <w:ind w:left="620" w:hanging="620"/>
      </w:pPr>
      <w:r>
        <w:rPr>
          <w:b/>
          <w:bCs/>
        </w:rPr>
        <w:t xml:space="preserve">U02  </w:t>
      </w:r>
      <w:r>
        <w:rPr>
          <w:b/>
          <w:bCs/>
        </w:rPr>
        <w:t xml:space="preserve">Umowa pożyczki</w:t>
      </w:r>
      <w:r>
        <w:rPr>
          <w:sz w:val="20"/>
          <w:szCs w:val="20"/>
        </w:rPr>
        <w:t xml:space="preserve"> — w pliku Umowy — dokument centralny.</w:t>
      </w:r>
    </w:p>
    <w:p>
      <w:pPr>
        <w:spacing w:after="60" w:line="264"/>
        <w:ind w:left="620" w:hanging="620"/>
      </w:pPr>
      <w:r>
        <w:rPr>
          <w:b/>
          <w:bCs/>
        </w:rPr>
        <w:t xml:space="preserve">U03  </w:t>
      </w:r>
      <w:r>
        <w:rPr>
          <w:b/>
          <w:bCs/>
        </w:rPr>
        <w:t xml:space="preserve">Harmonogram spłat (Zał. 1)</w:t>
      </w:r>
      <w:r>
        <w:rPr>
          <w:sz w:val="20"/>
          <w:szCs w:val="20"/>
        </w:rPr>
        <w:t xml:space="preserve"> — w pliku Umowy.</w:t>
      </w:r>
    </w:p>
    <w:p>
      <w:pPr>
        <w:spacing w:after="60" w:line="264"/>
        <w:ind w:left="620" w:hanging="620"/>
      </w:pPr>
      <w:r>
        <w:rPr>
          <w:b/>
          <w:bCs/>
        </w:rPr>
        <w:t xml:space="preserve">U04  </w:t>
      </w:r>
      <w:r>
        <w:rPr>
          <w:b/>
          <w:bCs/>
        </w:rPr>
        <w:t xml:space="preserve">Protokół z negocjacji indywidualnych (Zał. 2)</w:t>
      </w:r>
      <w:r>
        <w:rPr>
          <w:sz w:val="20"/>
          <w:szCs w:val="20"/>
        </w:rPr>
        <w:t xml:space="preserve"> — w pliku Umowy — tarcza „indywidualnych negocjacji”.</w:t>
      </w:r>
    </w:p>
    <w:p>
      <w:pPr>
        <w:spacing w:after="60" w:line="264"/>
        <w:ind w:left="620" w:hanging="620"/>
      </w:pPr>
      <w:r>
        <w:rPr>
          <w:b/>
          <w:bCs/>
        </w:rPr>
        <w:t xml:space="preserve">U05  </w:t>
      </w:r>
      <w:r>
        <w:rPr>
          <w:b/>
          <w:bCs/>
        </w:rPr>
        <w:t xml:space="preserve">Oświadczenie o poddaniu się egzekucji 777 — instrukcja</w:t>
      </w:r>
      <w:r>
        <w:rPr>
          <w:sz w:val="20"/>
          <w:szCs w:val="20"/>
        </w:rPr>
        <w:t xml:space="preserve"> — projekt treści dla notariusza; fundament ścieżki 777.</w:t>
      </w:r>
    </w:p>
    <w:p>
      <w:pPr>
        <w:spacing w:after="60" w:line="264"/>
        <w:ind w:left="620" w:hanging="620"/>
      </w:pPr>
      <w:r>
        <w:rPr>
          <w:b/>
          <w:bCs/>
        </w:rPr>
        <w:t xml:space="preserve">U06  </w:t>
      </w:r>
      <w:r>
        <w:rPr>
          <w:b/>
          <w:bCs/>
        </w:rPr>
        <w:t xml:space="preserve">Ustanowienie hipoteki + wniosek o wpis</w:t>
      </w:r>
      <w:r>
        <w:rPr>
          <w:sz w:val="20"/>
          <w:szCs w:val="20"/>
        </w:rPr>
        <w:t xml:space="preserve"> — oświadczenie (akt notarialny) i wpis do KW.</w:t>
      </w:r>
    </w:p>
    <w:p>
      <w:pPr>
        <w:spacing w:after="60" w:line="264"/>
        <w:ind w:left="620" w:hanging="620"/>
      </w:pPr>
      <w:r>
        <w:rPr>
          <w:b/>
          <w:bCs/>
        </w:rPr>
        <w:t xml:space="preserve">U07  </w:t>
      </w:r>
      <w:r>
        <w:rPr>
          <w:b/>
          <w:bCs/>
        </w:rPr>
        <w:t xml:space="preserve">Pokwitowanie wypłaty pożyczki</w:t>
      </w:r>
      <w:r>
        <w:rPr>
          <w:sz w:val="20"/>
          <w:szCs w:val="20"/>
        </w:rPr>
        <w:t xml:space="preserve"> — dowód faktycznego przekazania środków.</w:t>
      </w:r>
    </w:p>
    <w:p>
      <w:pPr>
        <w:spacing w:after="60" w:line="264"/>
        <w:ind w:left="620" w:hanging="620"/>
      </w:pPr>
      <w:r>
        <w:rPr>
          <w:b/>
          <w:bCs/>
        </w:rPr>
        <w:t xml:space="preserve">U08  </w:t>
      </w:r>
      <w:r>
        <w:rPr>
          <w:b/>
          <w:bCs/>
        </w:rPr>
        <w:t xml:space="preserve">Klauzula informacyjna RODO</w:t>
      </w:r>
      <w:r>
        <w:rPr>
          <w:sz w:val="20"/>
          <w:szCs w:val="20"/>
        </w:rPr>
        <w:t xml:space="preserve"> — pełny obowiązek informacyjny.</w:t>
      </w:r>
    </w:p>
    <w:p>
      <w:pPr>
        <w:spacing w:after="60" w:line="264"/>
        <w:ind w:left="620" w:hanging="620"/>
      </w:pPr>
      <w:r>
        <w:rPr>
          <w:b/>
          <w:bCs/>
        </w:rPr>
        <w:t xml:space="preserve">U09  </w:t>
      </w:r>
      <w:r>
        <w:rPr>
          <w:b/>
          <w:bCs/>
        </w:rPr>
        <w:t xml:space="preserve">Karta AML/KYC i oceny ryzyka</w:t>
      </w:r>
      <w:r>
        <w:rPr>
          <w:sz w:val="20"/>
          <w:szCs w:val="20"/>
        </w:rPr>
        <w:t xml:space="preserve"> — środki bezpieczeństwa finansowego.</w:t>
      </w:r>
    </w:p>
    <w:p>
      <w:pPr>
        <w:spacing w:after="80" w:before="200"/>
      </w:pPr>
      <w:r>
        <w:rPr>
          <w:b/>
          <w:bCs/>
          <w:sz w:val="24"/>
          <w:szCs w:val="24"/>
        </w:rPr>
        <w:t xml:space="preserve">CZĘŚĆ II — WINDYKACJA I EGZEKUCJA</w:t>
      </w:r>
    </w:p>
    <w:p>
      <w:pPr>
        <w:spacing w:after="100" w:before="180"/>
      </w:pPr>
      <w:r>
        <w:rPr>
          <w:b/>
          <w:bCs/>
          <w:sz w:val="22"/>
          <w:szCs w:val="22"/>
        </w:rPr>
        <w:t xml:space="preserve">A. Obsługa umowy</w:t>
      </w:r>
    </w:p>
    <w:p>
      <w:pPr>
        <w:spacing w:after="60" w:line="264"/>
        <w:ind w:left="620" w:hanging="620"/>
      </w:pPr>
      <w:r>
        <w:rPr>
          <w:b/>
          <w:bCs/>
        </w:rPr>
        <w:t xml:space="preserve">01  </w:t>
      </w:r>
      <w:r>
        <w:rPr>
          <w:b/>
          <w:bCs/>
        </w:rPr>
        <w:t xml:space="preserve">Aneks (przedłużenie terminu + prowizja)</w:t>
      </w:r>
      <w:r>
        <w:rPr>
          <w:sz w:val="20"/>
          <w:szCs w:val="20"/>
        </w:rPr>
        <w:t xml:space="preserve"> — wydłużenie spłaty dla klienta obsługującego pożyczkę.</w:t>
      </w:r>
    </w:p>
    <w:p>
      <w:pPr>
        <w:spacing w:after="100" w:before="180"/>
      </w:pPr>
      <w:r>
        <w:rPr>
          <w:b/>
          <w:bCs/>
          <w:sz w:val="22"/>
          <w:szCs w:val="22"/>
        </w:rPr>
        <w:t xml:space="preserve">B. Windykacja polubowna</w:t>
      </w:r>
    </w:p>
    <w:p>
      <w:pPr>
        <w:spacing w:after="60" w:line="264"/>
        <w:ind w:left="620" w:hanging="620"/>
      </w:pPr>
      <w:r>
        <w:rPr>
          <w:b/>
          <w:bCs/>
        </w:rPr>
        <w:t xml:space="preserve">02  </w:t>
      </w:r>
      <w:r>
        <w:rPr>
          <w:b/>
          <w:bCs/>
        </w:rPr>
        <w:t xml:space="preserve">Monit / przypomnienie o płatności</w:t>
      </w:r>
      <w:r>
        <w:rPr>
          <w:sz w:val="20"/>
          <w:szCs w:val="20"/>
        </w:rPr>
        <w:t xml:space="preserve"> — pierwszy, miękki kontakt.</w:t>
      </w:r>
    </w:p>
    <w:p>
      <w:pPr>
        <w:spacing w:after="60" w:line="264"/>
        <w:ind w:left="620" w:hanging="620"/>
      </w:pPr>
      <w:r>
        <w:rPr>
          <w:b/>
          <w:bCs/>
        </w:rPr>
        <w:t xml:space="preserve">03  </w:t>
      </w:r>
      <w:r>
        <w:rPr>
          <w:b/>
          <w:bCs/>
        </w:rPr>
        <w:t xml:space="preserve">Wezwanie do zapłaty (standardowe)</w:t>
      </w:r>
      <w:r>
        <w:rPr>
          <w:sz w:val="20"/>
          <w:szCs w:val="20"/>
        </w:rPr>
        <w:t xml:space="preserve"> — wezwanie z rozliczeniem zaległości.</w:t>
      </w:r>
    </w:p>
    <w:p>
      <w:pPr>
        <w:spacing w:after="60" w:line="264"/>
        <w:ind w:left="620" w:hanging="620"/>
      </w:pPr>
      <w:r>
        <w:rPr>
          <w:b/>
          <w:bCs/>
        </w:rPr>
        <w:t xml:space="preserve">04  </w:t>
      </w:r>
      <w:r>
        <w:rPr>
          <w:b/>
          <w:bCs/>
        </w:rPr>
        <w:t xml:space="preserve">Ostateczne przedsądowe wezwanie</w:t>
      </w:r>
      <w:r>
        <w:rPr>
          <w:sz w:val="20"/>
          <w:szCs w:val="20"/>
        </w:rPr>
        <w:t xml:space="preserve"> — ostatni krok przed sądem; może uruchamiać 777.</w:t>
      </w:r>
    </w:p>
    <w:p>
      <w:pPr>
        <w:spacing w:after="60" w:line="264"/>
        <w:ind w:left="620" w:hanging="620"/>
      </w:pPr>
      <w:r>
        <w:rPr>
          <w:b/>
          <w:bCs/>
        </w:rPr>
        <w:t xml:space="preserve">05  </w:t>
      </w:r>
      <w:r>
        <w:rPr>
          <w:b/>
          <w:bCs/>
        </w:rPr>
        <w:t xml:space="preserve">Wezwanie do poręczyciela</w:t>
      </w:r>
      <w:r>
        <w:rPr>
          <w:sz w:val="20"/>
          <w:szCs w:val="20"/>
        </w:rPr>
        <w:t xml:space="preserve"> — dochodzenie solidarne.</w:t>
      </w:r>
    </w:p>
    <w:p>
      <w:pPr>
        <w:spacing w:after="60" w:line="264"/>
        <w:ind w:left="620" w:hanging="620"/>
      </w:pPr>
      <w:r>
        <w:rPr>
          <w:b/>
          <w:bCs/>
        </w:rPr>
        <w:t xml:space="preserve">06  </w:t>
      </w:r>
      <w:r>
        <w:rPr>
          <w:b/>
          <w:bCs/>
        </w:rPr>
        <w:t xml:space="preserve">Wezwanie z ostrzeżeniem BIG/KRD</w:t>
      </w:r>
      <w:r>
        <w:rPr>
          <w:sz w:val="20"/>
          <w:szCs w:val="20"/>
        </w:rPr>
        <w:t xml:space="preserve"> — presja przez zagrożenie wpisem (30 dni).</w:t>
      </w:r>
    </w:p>
    <w:p>
      <w:pPr>
        <w:spacing w:after="100" w:before="180"/>
      </w:pPr>
      <w:r>
        <w:rPr>
          <w:b/>
          <w:bCs/>
          <w:sz w:val="22"/>
          <w:szCs w:val="22"/>
        </w:rPr>
        <w:t xml:space="preserve">C. Porozumienia</w:t>
      </w:r>
    </w:p>
    <w:p>
      <w:pPr>
        <w:spacing w:after="60" w:line="264"/>
        <w:ind w:left="620" w:hanging="620"/>
      </w:pPr>
      <w:r>
        <w:rPr>
          <w:b/>
          <w:bCs/>
        </w:rPr>
        <w:t xml:space="preserve">07  </w:t>
      </w:r>
      <w:r>
        <w:rPr>
          <w:b/>
          <w:bCs/>
        </w:rPr>
        <w:t xml:space="preserve">Uznanie długu</w:t>
      </w:r>
      <w:r>
        <w:rPr>
          <w:sz w:val="20"/>
          <w:szCs w:val="20"/>
        </w:rPr>
        <w:t xml:space="preserve"> — przerywa przedawnienie; podstawa nakazowego.</w:t>
      </w:r>
    </w:p>
    <w:p>
      <w:pPr>
        <w:spacing w:after="60" w:line="264"/>
        <w:ind w:left="620" w:hanging="620"/>
      </w:pPr>
      <w:r>
        <w:rPr>
          <w:b/>
          <w:bCs/>
        </w:rPr>
        <w:t xml:space="preserve">08  </w:t>
      </w:r>
      <w:r>
        <w:rPr>
          <w:b/>
          <w:bCs/>
        </w:rPr>
        <w:t xml:space="preserve">Ugoda (raty)</w:t>
      </w:r>
      <w:r>
        <w:rPr>
          <w:sz w:val="20"/>
          <w:szCs w:val="20"/>
        </w:rPr>
        <w:t xml:space="preserve"> — restrukturyzacja z rygorem natychmiastowej wymagalności.</w:t>
      </w:r>
    </w:p>
    <w:p>
      <w:pPr>
        <w:spacing w:after="60" w:line="264"/>
        <w:ind w:left="620" w:hanging="620"/>
      </w:pPr>
      <w:r>
        <w:rPr>
          <w:b/>
          <w:bCs/>
        </w:rPr>
        <w:t xml:space="preserve">09  </w:t>
      </w:r>
      <w:r>
        <w:rPr>
          <w:b/>
          <w:bCs/>
        </w:rPr>
        <w:t xml:space="preserve">Protokół z negocjacji windykacyjnych</w:t>
      </w:r>
      <w:r>
        <w:rPr>
          <w:sz w:val="20"/>
          <w:szCs w:val="20"/>
        </w:rPr>
        <w:t xml:space="preserve"> — utrwala próbę polubowną.</w:t>
      </w:r>
    </w:p>
    <w:p>
      <w:pPr>
        <w:spacing w:after="100" w:before="180"/>
      </w:pPr>
      <w:r>
        <w:rPr>
          <w:b/>
          <w:bCs/>
          <w:sz w:val="22"/>
          <w:szCs w:val="22"/>
        </w:rPr>
        <w:t xml:space="preserve">D. Instrumenty materialnoprawne</w:t>
      </w:r>
    </w:p>
    <w:p>
      <w:pPr>
        <w:spacing w:after="60" w:line="264"/>
        <w:ind w:left="620" w:hanging="620"/>
      </w:pPr>
      <w:r>
        <w:rPr>
          <w:b/>
          <w:bCs/>
        </w:rPr>
        <w:t xml:space="preserve">10  </w:t>
      </w:r>
      <w:r>
        <w:rPr>
          <w:b/>
          <w:bCs/>
        </w:rPr>
        <w:t xml:space="preserve">Oświadczenie o potrąceniu</w:t>
      </w:r>
      <w:r>
        <w:rPr>
          <w:sz w:val="20"/>
          <w:szCs w:val="20"/>
        </w:rPr>
        <w:t xml:space="preserve"> — umorzenie wzajemnych wierzytelności.</w:t>
      </w:r>
    </w:p>
    <w:p>
      <w:pPr>
        <w:spacing w:after="60" w:line="264"/>
        <w:ind w:left="620" w:hanging="620"/>
      </w:pPr>
      <w:r>
        <w:rPr>
          <w:b/>
          <w:bCs/>
        </w:rPr>
        <w:t xml:space="preserve">11  </w:t>
      </w:r>
      <w:r>
        <w:rPr>
          <w:b/>
          <w:bCs/>
        </w:rPr>
        <w:t xml:space="preserve">Umowa przelewu wierzytelności (cesja)</w:t>
      </w:r>
      <w:r>
        <w:rPr>
          <w:sz w:val="20"/>
          <w:szCs w:val="20"/>
        </w:rPr>
        <w:t xml:space="preserve"> — sprzedaż/przeniesienie długu.</w:t>
      </w:r>
    </w:p>
    <w:p>
      <w:pPr>
        <w:spacing w:after="60" w:line="264"/>
        <w:ind w:left="620" w:hanging="620"/>
      </w:pPr>
      <w:r>
        <w:rPr>
          <w:b/>
          <w:bCs/>
        </w:rPr>
        <w:t xml:space="preserve">12  </w:t>
      </w:r>
      <w:r>
        <w:rPr>
          <w:b/>
          <w:bCs/>
        </w:rPr>
        <w:t xml:space="preserve">Zawiadomienie o cesji</w:t>
      </w:r>
      <w:r>
        <w:rPr>
          <w:sz w:val="20"/>
          <w:szCs w:val="20"/>
        </w:rPr>
        <w:t xml:space="preserve"> — powiadomienie dłużnika.</w:t>
      </w:r>
    </w:p>
    <w:p>
      <w:pPr>
        <w:spacing w:after="100" w:before="180"/>
      </w:pPr>
      <w:r>
        <w:rPr>
          <w:b/>
          <w:bCs/>
          <w:sz w:val="22"/>
          <w:szCs w:val="22"/>
        </w:rPr>
        <w:t xml:space="preserve">E. Tytuł 777 i przeciwdziałanie zwłoce</w:t>
      </w:r>
    </w:p>
    <w:p>
      <w:pPr>
        <w:spacing w:after="60" w:line="264"/>
        <w:ind w:left="620" w:hanging="620"/>
      </w:pPr>
      <w:r>
        <w:rPr>
          <w:b/>
          <w:bCs/>
        </w:rPr>
        <w:t xml:space="preserve">13  </w:t>
      </w:r>
      <w:r>
        <w:rPr>
          <w:b/>
          <w:bCs/>
        </w:rPr>
        <w:t xml:space="preserve">Oświadczenie wierzyciela (art. 786 k.p.c.)</w:t>
      </w:r>
      <w:r>
        <w:rPr>
          <w:sz w:val="20"/>
          <w:szCs w:val="20"/>
        </w:rPr>
        <w:t xml:space="preserve"> — wykazuje zdarzenie; podpis notarialny.</w:t>
      </w:r>
    </w:p>
    <w:p>
      <w:pPr>
        <w:spacing w:after="60" w:line="264"/>
        <w:ind w:left="620" w:hanging="620"/>
      </w:pPr>
      <w:r>
        <w:rPr>
          <w:b/>
          <w:bCs/>
        </w:rPr>
        <w:t xml:space="preserve">14  </w:t>
      </w:r>
      <w:r>
        <w:rPr>
          <w:b/>
          <w:bCs/>
        </w:rPr>
        <w:t xml:space="preserve">Wniosek o klauzulę wykonalności (777)</w:t>
      </w:r>
      <w:r>
        <w:rPr>
          <w:sz w:val="20"/>
          <w:szCs w:val="20"/>
        </w:rPr>
        <w:t xml:space="preserve"> — nadanie klauzuli aktowi.</w:t>
      </w:r>
    </w:p>
    <w:p>
      <w:pPr>
        <w:spacing w:after="60" w:line="264"/>
        <w:ind w:left="620" w:hanging="620"/>
      </w:pPr>
      <w:r>
        <w:rPr>
          <w:b/>
          <w:bCs/>
        </w:rPr>
        <w:t xml:space="preserve">15  </w:t>
      </w:r>
      <w:r>
        <w:rPr>
          <w:b/>
          <w:bCs/>
        </w:rPr>
        <w:t xml:space="preserve">Wniosek o przyspieszenie</w:t>
      </w:r>
      <w:r>
        <w:rPr>
          <w:sz w:val="20"/>
          <w:szCs w:val="20"/>
        </w:rPr>
        <w:t xml:space="preserve"> — ponaglenie (3-dniowy termin).</w:t>
      </w:r>
    </w:p>
    <w:p>
      <w:pPr>
        <w:spacing w:after="60" w:line="264"/>
        <w:ind w:left="620" w:hanging="620"/>
      </w:pPr>
      <w:r>
        <w:rPr>
          <w:b/>
          <w:bCs/>
        </w:rPr>
        <w:t xml:space="preserve">16  </w:t>
      </w:r>
      <w:r>
        <w:rPr>
          <w:b/>
          <w:bCs/>
        </w:rPr>
        <w:t xml:space="preserve">Skarga na przewlekłość</w:t>
      </w:r>
      <w:r>
        <w:rPr>
          <w:sz w:val="20"/>
          <w:szCs w:val="20"/>
        </w:rPr>
        <w:t xml:space="preserve"> — środek z sankcją.</w:t>
      </w:r>
    </w:p>
    <w:p>
      <w:pPr>
        <w:spacing w:after="100" w:before="180"/>
      </w:pPr>
      <w:r>
        <w:rPr>
          <w:b/>
          <w:bCs/>
          <w:sz w:val="22"/>
          <w:szCs w:val="22"/>
        </w:rPr>
        <w:t xml:space="preserve">F. Etap sądowy</w:t>
      </w:r>
    </w:p>
    <w:p>
      <w:pPr>
        <w:spacing w:after="60" w:line="264"/>
        <w:ind w:left="620" w:hanging="620"/>
      </w:pPr>
      <w:r>
        <w:rPr>
          <w:b/>
          <w:bCs/>
        </w:rPr>
        <w:t xml:space="preserve">17  </w:t>
      </w:r>
      <w:r>
        <w:rPr>
          <w:b/>
          <w:bCs/>
        </w:rPr>
        <w:t xml:space="preserve">Pozew o zapłatę</w:t>
      </w:r>
      <w:r>
        <w:rPr>
          <w:sz w:val="20"/>
          <w:szCs w:val="20"/>
        </w:rPr>
        <w:t xml:space="preserve"> — spór lub kwota ponad sumę 777.</w:t>
      </w:r>
    </w:p>
    <w:p>
      <w:pPr>
        <w:spacing w:after="60" w:line="264"/>
        <w:ind w:left="620" w:hanging="620"/>
      </w:pPr>
      <w:r>
        <w:rPr>
          <w:b/>
          <w:bCs/>
        </w:rPr>
        <w:t xml:space="preserve">18  </w:t>
      </w:r>
      <w:r>
        <w:rPr>
          <w:b/>
          <w:bCs/>
        </w:rPr>
        <w:t xml:space="preserve">Wniosek o zabezpieczenie</w:t>
      </w:r>
      <w:r>
        <w:rPr>
          <w:sz w:val="20"/>
          <w:szCs w:val="20"/>
        </w:rPr>
        <w:t xml:space="preserve"> — blokada majątku na czas procesu.</w:t>
      </w:r>
    </w:p>
    <w:p>
      <w:pPr>
        <w:spacing w:after="100" w:before="180"/>
      </w:pPr>
      <w:r>
        <w:rPr>
          <w:b/>
          <w:bCs/>
          <w:sz w:val="22"/>
          <w:szCs w:val="22"/>
        </w:rPr>
        <w:t xml:space="preserve">G. Egzekucja</w:t>
      </w:r>
    </w:p>
    <w:p>
      <w:pPr>
        <w:spacing w:after="60" w:line="264"/>
        <w:ind w:left="620" w:hanging="620"/>
      </w:pPr>
      <w:r>
        <w:rPr>
          <w:b/>
          <w:bCs/>
        </w:rPr>
        <w:t xml:space="preserve">19  </w:t>
      </w:r>
      <w:r>
        <w:rPr>
          <w:b/>
          <w:bCs/>
        </w:rPr>
        <w:t xml:space="preserve">Wniosek egzekucyjny do komornika</w:t>
      </w:r>
      <w:r>
        <w:rPr>
          <w:sz w:val="20"/>
          <w:szCs w:val="20"/>
        </w:rPr>
        <w:t xml:space="preserve"> — wszczęcie + poszukiwanie majątku.</w:t>
      </w:r>
    </w:p>
    <w:p>
      <w:pPr>
        <w:spacing w:after="60" w:line="264"/>
        <w:ind w:left="620" w:hanging="620"/>
      </w:pPr>
      <w:r>
        <w:rPr>
          <w:b/>
          <w:bCs/>
        </w:rPr>
        <w:t xml:space="preserve">20  </w:t>
      </w:r>
      <w:r>
        <w:rPr>
          <w:b/>
          <w:bCs/>
        </w:rPr>
        <w:t xml:space="preserve">Wniosek o wyjawienie majątku</w:t>
      </w:r>
      <w:r>
        <w:rPr>
          <w:sz w:val="20"/>
          <w:szCs w:val="20"/>
        </w:rPr>
        <w:t xml:space="preserve"> — gdy egzekucja bezskuteczna.</w:t>
      </w:r>
    </w:p>
    <w:p>
      <w:pPr>
        <w:spacing w:after="100" w:before="180"/>
      </w:pPr>
      <w:r>
        <w:rPr>
          <w:b/>
          <w:bCs/>
          <w:sz w:val="22"/>
          <w:szCs w:val="22"/>
        </w:rPr>
        <w:t xml:space="preserve">H. Zwolnienie zabezpieczeń</w:t>
      </w:r>
    </w:p>
    <w:p>
      <w:pPr>
        <w:spacing w:after="60" w:line="264"/>
        <w:ind w:left="620" w:hanging="620"/>
      </w:pPr>
      <w:r>
        <w:rPr>
          <w:b/>
          <w:bCs/>
        </w:rPr>
        <w:t xml:space="preserve">21  </w:t>
      </w:r>
      <w:r>
        <w:rPr>
          <w:b/>
          <w:bCs/>
        </w:rPr>
        <w:t xml:space="preserve">Promesa wykreślenia hipoteki</w:t>
      </w:r>
      <w:r>
        <w:rPr>
          <w:sz w:val="20"/>
          <w:szCs w:val="20"/>
        </w:rPr>
        <w:t xml:space="preserve"> — zobowiązanie po spłacie.</w:t>
      </w:r>
    </w:p>
    <w:p>
      <w:pPr>
        <w:spacing w:after="60" w:line="264"/>
        <w:ind w:left="620" w:hanging="620"/>
      </w:pPr>
      <w:r>
        <w:rPr>
          <w:b/>
          <w:bCs/>
        </w:rPr>
        <w:t xml:space="preserve">22  </w:t>
      </w:r>
      <w:r>
        <w:rPr>
          <w:b/>
          <w:bCs/>
        </w:rPr>
        <w:t xml:space="preserve">Zgoda na wykreślenie hipoteki</w:t>
      </w:r>
      <w:r>
        <w:rPr>
          <w:sz w:val="20"/>
          <w:szCs w:val="20"/>
        </w:rPr>
        <w:t xml:space="preserve"> — do KW; podpis notarialny.</w:t>
      </w:r>
    </w:p>
    <w:p>
      <w:pPr>
        <w:spacing w:after="100" w:before="180"/>
      </w:pPr>
      <w:r>
        <w:rPr>
          <w:b/>
          <w:bCs/>
          <w:sz w:val="22"/>
          <w:szCs w:val="22"/>
        </w:rPr>
        <w:t xml:space="preserve">I. Ewidencja i środki szczególne</w:t>
      </w:r>
    </w:p>
    <w:p>
      <w:pPr>
        <w:spacing w:after="60" w:line="264"/>
        <w:ind w:left="620" w:hanging="620"/>
      </w:pPr>
      <w:r>
        <w:rPr>
          <w:b/>
          <w:bCs/>
        </w:rPr>
        <w:t xml:space="preserve">23  </w:t>
      </w:r>
      <w:r>
        <w:rPr>
          <w:b/>
          <w:bCs/>
        </w:rPr>
        <w:t xml:space="preserve">Tabela opłat windykacyjnych (Zał. 3)</w:t>
      </w:r>
      <w:r>
        <w:rPr>
          <w:sz w:val="20"/>
          <w:szCs w:val="20"/>
        </w:rPr>
        <w:t xml:space="preserve"> — podstawa kosztów; limit 30%.</w:t>
      </w:r>
    </w:p>
    <w:p>
      <w:pPr>
        <w:spacing w:after="60" w:line="264"/>
        <w:ind w:left="620" w:hanging="620"/>
      </w:pPr>
      <w:r>
        <w:rPr>
          <w:b/>
          <w:bCs/>
        </w:rPr>
        <w:t xml:space="preserve">24  </w:t>
      </w:r>
      <w:r>
        <w:rPr>
          <w:b/>
          <w:bCs/>
        </w:rPr>
        <w:t xml:space="preserve">Rejestr kosztów windykacyjnych</w:t>
      </w:r>
      <w:r>
        <w:rPr>
          <w:sz w:val="20"/>
          <w:szCs w:val="20"/>
        </w:rPr>
        <w:t xml:space="preserve"> — ewidencja kosztów faktycznych.</w:t>
      </w:r>
    </w:p>
    <w:p>
      <w:pPr>
        <w:spacing w:after="60" w:line="264"/>
        <w:ind w:left="620" w:hanging="620"/>
      </w:pPr>
      <w:r>
        <w:rPr>
          <w:b/>
          <w:bCs/>
        </w:rPr>
        <w:t xml:space="preserve">25  </w:t>
      </w:r>
      <w:r>
        <w:rPr>
          <w:b/>
          <w:bCs/>
        </w:rPr>
        <w:t xml:space="preserve">Zawiadomienie o przestępstwie (286 k.k.)</w:t>
      </w:r>
      <w:r>
        <w:rPr>
          <w:sz w:val="20"/>
          <w:szCs w:val="20"/>
        </w:rPr>
        <w:t xml:space="preserve"> — tylko przy realnych znamionach wyłudzenia.</w:t>
      </w:r>
    </w:p>
    <w:p>
      <w:pPr>
        <w:pBdr>
          <w:top w:val="single" w:color="999999" w:sz="4" w:space="6"/>
        </w:pBdr>
        <w:spacing w:after="60" w:before="240"/>
      </w:pPr>
      <w:r>
        <w:rPr>
          <w:b/>
          <w:bCs/>
          <w:color w:val="555555"/>
          <w:sz w:val="18"/>
          <w:szCs w:val="18"/>
        </w:rPr>
        <w:t xml:space="preserve">UWAGI PRAKTYCZNE</w:t>
      </w:r>
    </w:p>
    <w:p>
      <w:pPr>
        <w:spacing w:after="60" w:line="264"/>
        <w:ind w:left="200" w:hanging="200"/>
      </w:pPr>
      <w:r>
        <w:rPr>
          <w:b w:val="false"/>
          <w:bCs w:val="false"/>
          <w:i/>
          <w:iCs/>
          <w:color w:val="555555"/>
          <w:sz w:val="18"/>
          <w:szCs w:val="18"/>
        </w:rPr>
        <w:t xml:space="preserve">– Cykl udzielenia: U09 (AML) → U01–U02 (wniosek + umowa) → U05–U06 u notariusza (777 + hipoteka) → U07 (wypłata po ustanowieniu zabezpieczeń).</w:t>
      </w:r>
    </w:p>
    <w:p>
      <w:pPr>
        <w:spacing w:after="60" w:line="264"/>
        <w:ind w:left="200" w:hanging="200"/>
      </w:pPr>
      <w:r>
        <w:rPr>
          <w:b w:val="false"/>
          <w:bCs w:val="false"/>
          <w:i/>
          <w:iCs/>
          <w:color w:val="555555"/>
          <w:sz w:val="18"/>
          <w:szCs w:val="18"/>
        </w:rPr>
        <w:t xml:space="preserve">– Cykl windykacji: 02 → 03 → 04 (rejestrowaną!) → 13–15 → 19–20; ścieżka polubowna 07–09; spór/nadwyżka 17–18.</w:t>
      </w:r>
    </w:p>
    <w:p>
      <w:pPr>
        <w:spacing w:after="60" w:line="264"/>
        <w:ind w:left="200" w:hanging="200"/>
      </w:pPr>
      <w:r>
        <w:rPr>
          <w:b w:val="false"/>
          <w:bCs w:val="false"/>
          <w:i/>
          <w:iCs/>
          <w:color w:val="555555"/>
          <w:sz w:val="18"/>
          <w:szCs w:val="18"/>
        </w:rPr>
        <w:t xml:space="preserve">– Forma aktu notarialnego: U05 (777) i U06 (hipoteka). Podpis notarialnie poświadczony: 13 i 22.</w:t>
      </w:r>
    </w:p>
    <w:p>
      <w:pPr>
        <w:spacing w:after="60" w:line="264"/>
        <w:ind w:left="200" w:hanging="200"/>
      </w:pPr>
      <w:r>
        <w:rPr>
          <w:b w:val="false"/>
          <w:bCs w:val="false"/>
          <w:i/>
          <w:iCs/>
          <w:color w:val="555555"/>
          <w:sz w:val="18"/>
          <w:szCs w:val="18"/>
        </w:rPr>
        <w:t xml:space="preserve">– U01–U04 znajdują się obecnie w jednym pliku Umowy — można je rozdzielić na osobne dokumenty w stylu pakietu.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2026-06-10T19:05:03.806Z</dcterms:created>
  <dcterms:modified xsi:type="dcterms:W3CDTF">2026-06-10T19:05:03.806Z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