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ANEKS NR [.../ROK]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do Umowy Pożyczki dla firm z dnia [DATA UMOWY]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zawarty dnia </w:t>
      </w:r>
      <w:r>
        <w:rPr>
          <w:b/>
          <w:bCs/>
          <w:i w:val="false"/>
          <w:iCs w:val="false"/>
        </w:rPr>
        <w:t xml:space="preserve">[DD.MM.RRRR]</w:t>
      </w:r>
      <w:r>
        <w:rPr>
          <w:b w:val="false"/>
          <w:bCs w:val="false"/>
          <w:i w:val="false"/>
          <w:iCs w:val="false"/>
        </w:rPr>
        <w:t xml:space="preserve"> w </w:t>
      </w: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 pomiędzy:</w:t>
      </w:r>
    </w:p>
    <w:p>
      <w:pPr>
        <w:spacing w:after="120" w:before="0" w:line="276"/>
        <w:jc w:val="both"/>
      </w:pP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[CEIDG / NIP / REGON]</w:t>
      </w:r>
      <w:r>
        <w:rPr>
          <w:b w:val="false"/>
          <w:bCs w:val="false"/>
          <w:i w:val="false"/>
          <w:iCs w:val="false"/>
        </w:rPr>
        <w:t xml:space="preserve">, zwanym dalej „Pożyczkobiorcą”,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 / REGON]</w:t>
      </w:r>
      <w:r>
        <w:rPr>
          <w:b w:val="false"/>
          <w:bCs w:val="false"/>
          <w:i w:val="false"/>
          <w:iCs w:val="false"/>
        </w:rPr>
        <w:t xml:space="preserve">, zwanym dalej „Pożyczkodawcą”,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wspólnie zwanymi „Stronami”.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1 – Zmiana terminu spłaty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Strony zmieniają termin spłaty pożyczki udzielonej na podstawie Umowy Pożyczki nr </w:t>
      </w:r>
      <w:r>
        <w:rPr>
          <w:b/>
          <w:bCs/>
          <w:i w:val="false"/>
          <w:iCs w:val="false"/>
        </w:rPr>
        <w:t xml:space="preserve">[.../ROK]</w:t>
      </w:r>
      <w:r>
        <w:rPr>
          <w:b w:val="false"/>
          <w:bCs w:val="false"/>
          <w:i w:val="false"/>
          <w:iCs w:val="false"/>
        </w:rPr>
        <w:t xml:space="preserve">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Strony zgodnie potwierdzają, że całość zadłużenia z Umowy (kapitał, odsetki, prowizje, opłaty windykacyjne oraz wszelkie inne roszczenia Pożyczkodawcy) na dzień zawarcia Aneksu wynosi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Nowy termin spłaty całości należności ustala się na dzień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. Pozostałe warunki spłaty pozostają bez zmian.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2 – Prowizja za przedłużenie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 związku z przedłużeniem terminu Pożyczkobiorca zapłaci Pożyczkodawcy prowizję w wysokości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), jednorazowo, w terminie </w:t>
      </w:r>
      <w:r>
        <w:rPr>
          <w:b/>
          <w:bCs/>
          <w:i w:val="false"/>
          <w:iCs w:val="false"/>
        </w:rPr>
        <w:t xml:space="preserve">[LICZBA]</w:t>
      </w:r>
      <w:r>
        <w:rPr>
          <w:b w:val="false"/>
          <w:bCs w:val="false"/>
          <w:i w:val="false"/>
          <w:iCs w:val="false"/>
        </w:rPr>
        <w:t xml:space="preserve"> dni od podpisania Aneksu. Brak zapłaty prowizji w terminie skutkuje bezskutecznością Aneksu i utrzymaniem pierwotnego terminu spłaty.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3 – Postanowienia końcowe</w:t>
      </w:r>
    </w:p>
    <w:p>
      <w:pPr>
        <w:spacing w:after="1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Aneks stanowi integralną część Umowy Pożyczki i wchodzi w życie z dniem podpisania przez obie Strony. Pozostałe postanowienia Umowy, w tym zabezpieczenia, pozostają w mocy. Zmiany wymagają formy pisemnej pod rygorem nieważności. W sprawach nieuregulowanych stosuje się Umowę oraz k.c. Aneks sporządzono w </w:t>
      </w:r>
      <w:r>
        <w:rPr>
          <w:b/>
          <w:bCs/>
          <w:i w:val="false"/>
          <w:iCs w:val="false"/>
        </w:rPr>
        <w:t xml:space="preserve">[LICZBA]</w:t>
      </w:r>
      <w:r>
        <w:rPr>
          <w:b w:val="false"/>
          <w:bCs w:val="false"/>
          <w:i w:val="false"/>
          <w:iCs w:val="false"/>
        </w:rPr>
        <w:t xml:space="preserve"> jednobrzmiących egzemplarzach.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Pożyczkodawca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Pożyczkobiorca</w:t>
            </w:r>
          </w:p>
        </w:tc>
      </w:tr>
    </w:tbl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Potwierdzenie kwoty zadłużenia w § 1 działa jak uznanie długu — przerywa bieg przedawnienia (art. 123 § 1 pkt 2 k.c.).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Aneks dotyczy pożyczki nadal obsługiwanej (wydłużenie terminu). Gdy dług jest już w opóźnieniu i chcesz raty — użyj Ugody (dok. 08).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Zabezpieczenia (hipoteka, 777, poręczenie) pozostają w mocy — Aneks nie jest odnowieniem.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2026-06-10T18:56:39.364Z</dcterms:created>
  <dcterms:modified xsi:type="dcterms:W3CDTF">2026-06-10T18:56:39.364Z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