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UGODA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w sprawie spłaty zadłużenia (rozłożenie na raty)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zawarta dnia </w:t>
      </w:r>
      <w:r>
        <w:rPr>
          <w:b/>
          <w:bCs/>
          <w:i w:val="false"/>
          <w:iCs w:val="false"/>
        </w:rPr>
        <w:t xml:space="preserve">[DD.MM.RRRR]</w:t>
      </w:r>
      <w:r>
        <w:rPr>
          <w:b w:val="false"/>
          <w:bCs w:val="false"/>
          <w:i w:val="false"/>
          <w:iCs w:val="false"/>
        </w:rPr>
        <w:t xml:space="preserve"> w </w:t>
      </w: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 pomiędzy:</w:t>
      </w:r>
    </w:p>
    <w:p>
      <w:pPr>
        <w:spacing w:after="120" w:before="0" w:line="276"/>
        <w:jc w:val="both"/>
      </w:pPr>
      <w:r>
        <w:rPr>
          <w:b/>
          <w:bCs/>
          <w:i w:val="false"/>
          <w:iCs w:val="false"/>
        </w:rPr>
        <w:t xml:space="preserve">[NAZWA / FIRMA POŻYCZKODAWCY]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NIP]</w:t>
      </w:r>
      <w:r>
        <w:rPr>
          <w:b w:val="false"/>
          <w:bCs w:val="false"/>
          <w:i w:val="false"/>
          <w:iCs w:val="false"/>
        </w:rPr>
        <w:t xml:space="preserve">, zwanym dalej „Wierzycielem”,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[PESEL / NIP]</w:t>
      </w:r>
      <w:r>
        <w:rPr>
          <w:b w:val="false"/>
          <w:bCs w:val="false"/>
          <w:i w:val="false"/>
          <w:iCs w:val="false"/>
        </w:rPr>
        <w:t xml:space="preserve">, zwanym dalej „Dłużnikiem”,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1 – Uznanie zadłużenia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Dłużnik uznaje, że na dzień zawarcia Ugody jego wymagalne zadłużenie wobec Wierzyciela z tytułu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 wynosi </w:t>
      </w:r>
      <w:r>
        <w:rPr>
          <w:b/>
          <w:bCs/>
          <w:i w:val="false"/>
          <w:iCs w:val="false"/>
        </w:rPr>
        <w:t xml:space="preserve">[KWOTA ŁĄCZNA]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), obejmujące kapitał, odsetki i koszty.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2 – Warunki spłaty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Strony rozkładają zadłużenie na </w:t>
      </w:r>
      <w:r>
        <w:rPr>
          <w:b/>
          <w:bCs/>
          <w:i w:val="false"/>
          <w:iCs w:val="false"/>
        </w:rPr>
        <w:t xml:space="preserve">[LICZBA]</w:t>
      </w:r>
      <w:r>
        <w:rPr>
          <w:b w:val="false"/>
          <w:bCs w:val="false"/>
          <w:i w:val="false"/>
          <w:iCs w:val="false"/>
        </w:rPr>
        <w:t xml:space="preserve"> rat, płatnych zgodnie z harmonogramem stanowiącym Załącznik nr 1 do Ugody, na rachunek </w:t>
      </w:r>
      <w:r>
        <w:rPr>
          <w:b/>
          <w:bCs/>
          <w:i w:val="false"/>
          <w:iCs w:val="false"/>
        </w:rPr>
        <w:t xml:space="preserve">[NUMER RACHUNKU]</w:t>
      </w:r>
      <w:r>
        <w:rPr>
          <w:b w:val="false"/>
          <w:bCs w:val="false"/>
          <w:i w:val="false"/>
          <w:iCs w:val="false"/>
        </w:rPr>
        <w:t xml:space="preserve">. Pierwsza rata płatna do dnia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3 – Rygor (klauzula natychmiastowej wymagalności)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Opóźnienie w zapłacie którejkolwiek raty przekraczające </w:t>
      </w:r>
      <w:r>
        <w:rPr>
          <w:b/>
          <w:bCs/>
          <w:i w:val="false"/>
          <w:iCs w:val="false"/>
        </w:rPr>
        <w:t xml:space="preserve">[LICZBA]</w:t>
      </w:r>
      <w:r>
        <w:rPr>
          <w:b w:val="false"/>
          <w:bCs w:val="false"/>
          <w:i w:val="false"/>
          <w:iCs w:val="false"/>
        </w:rPr>
        <w:t xml:space="preserve"> dni powoduje natychmiastową wymagalność całości pozostałego zadłużenia bez potrzeby dodatkowego wezwania, a Wierzyciel jest uprawniony do dochodzenia całości należności na drodze sądowej i egzekucyjnej, w tym z wykorzystaniem zabezpieczeń ustanowionych w Umowie Pożyczki.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4 – Postanowienia końcowe</w:t>
      </w:r>
    </w:p>
    <w:p>
      <w:pPr>
        <w:spacing w:after="1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Ugoda nie stanowi odnowienia (art. 506 k.c.) i nie narusza zabezpieczeń ustanowionych na podstawie Umowy Pożyczki, które pozostają w mocy. Zmiany wymagają formy pisemnej pod rygorem nieważności. W sprawach nieuregulowanych stosuje się k.c.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Wierzyciel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Dłużnik</w:t>
            </w:r>
          </w:p>
        </w:tc>
      </w:tr>
    </w:tbl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Klauzula z § 3 to serce ugody — pozwala wrócić do egzekucji bez ponownego procesu przy pierwszym poślizgu.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Zastrzeżenie „nie stanowi odnowienia” chroni zabezpieczenia (hipotekę, 777, poręczenie) przed wygaśnięciem.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Opcjonalnie Dłużnik może w treści ugody ponownie poddać się egzekucji co do rat (akt notarialny 777), co daje tytuł bez procesu.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2026-06-10T18:34:30.154Z</dcterms:created>
  <dcterms:modified xsi:type="dcterms:W3CDTF">2026-06-10T18:34:30.154Z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