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OŚWIADCZENIE O POTRĄCENIU WIERZYTELNOŚCI</w:t>
      </w:r>
    </w:p>
    <w:p>
      <w:pPr>
        <w:spacing w:after="40" w:line="264"/>
      </w:pPr>
      <w:r>
        <w:rPr>
          <w:b/>
          <w:bCs/>
        </w:rPr>
        <w:t xml:space="preserve">Składający (Wierzyciel): </w:t>
      </w:r>
      <w:r>
        <w:rPr>
          <w:b/>
          <w:bCs/>
          <w:i w:val="false"/>
          <w:iCs w:val="false"/>
        </w:rPr>
        <w:t xml:space="preserve">[NAZWA / FIRMA / IMIĘ I NAZWISKO]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</w:p>
    <w:p>
      <w:pPr>
        <w:spacing w:after="40" w:line="264"/>
      </w:pPr>
      <w:r>
        <w:rPr>
          <w:b/>
          <w:bCs/>
        </w:rPr>
        <w:t xml:space="preserve">Adresat (Dłużnik): </w:t>
      </w:r>
      <w:r>
        <w:rPr>
          <w:b/>
          <w:bCs/>
          <w:i w:val="false"/>
          <w:iCs w:val="false"/>
        </w:rPr>
        <w:t xml:space="preserve">[IMIĘ I NAZWISKO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</w:p>
    <w:p>
      <w:pPr>
        <w:spacing w:after="120" w:before="120" w:line="276"/>
        <w:jc w:val="both"/>
      </w:pPr>
      <w:r>
        <w:rPr>
          <w:b w:val="false"/>
          <w:bCs w:val="false"/>
          <w:i w:val="false"/>
          <w:iCs w:val="false"/>
        </w:rPr>
        <w:t xml:space="preserve">Działając na podstawie art. 498 i nast. Kodeksu cywilnego, oświadczam, że dokonuję potrącenia następujących wierzytelności wzajemnych:</w:t>
      </w:r>
    </w:p>
    <w:p>
      <w:pPr>
        <w:spacing w:after="6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a)  wierzytelności Składającego wobec Adresata z tytułu </w:t>
      </w:r>
      <w:r>
        <w:rPr>
          <w:b/>
          <w:bCs/>
          <w:i w:val="false"/>
          <w:iCs w:val="false"/>
        </w:rPr>
        <w:t xml:space="preserve">[TYTUŁ — np. Umowy Pożyczki z dnia [DATA]</w:t>
      </w:r>
      <w:r>
        <w:rPr>
          <w:b w:val="false"/>
          <w:bCs w:val="false"/>
          <w:i w:val="false"/>
          <w:iCs w:val="false"/>
        </w:rPr>
        <w:t xml:space="preserve">] w wysokości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zł, wymagalnej od dnia </w:t>
      </w:r>
      <w:r>
        <w:rPr>
          <w:b/>
          <w:bCs/>
          <w:i w:val="false"/>
          <w:iCs w:val="false"/>
        </w:rPr>
        <w:t xml:space="preserve">[DATA]</w:t>
      </w:r>
      <w:r>
        <w:rPr>
          <w:b w:val="false"/>
          <w:bCs w:val="false"/>
          <w:i w:val="false"/>
          <w:iCs w:val="false"/>
        </w:rPr>
        <w:t xml:space="preserve">;</w:t>
      </w:r>
    </w:p>
    <w:p>
      <w:pPr>
        <w:spacing w:after="10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b)  wierzytelności Adresata wobec Składającego z tytułu </w:t>
      </w:r>
      <w:r>
        <w:rPr>
          <w:b/>
          <w:bCs/>
          <w:i w:val="false"/>
          <w:iCs w:val="false"/>
        </w:rPr>
        <w:t xml:space="preserve">[TYTUŁ]</w:t>
      </w:r>
      <w:r>
        <w:rPr>
          <w:b w:val="false"/>
          <w:bCs w:val="false"/>
          <w:i w:val="false"/>
          <w:iCs w:val="false"/>
        </w:rPr>
        <w:t xml:space="preserve"> w wysokości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zł, wymagalnej od dnia </w:t>
      </w:r>
      <w:r>
        <w:rPr>
          <w:b/>
          <w:bCs/>
          <w:i w:val="false"/>
          <w:iCs w:val="false"/>
        </w:rPr>
        <w:t xml:space="preserve">[DATA]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 wyniku potrącenia obie wierzytelności umarzają się nawzajem do wysokości wierzytelności niższej, tj. do kwoty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zł, z mocą wsteczną od chwili, kiedy potrącenie stało się możliwe (art. 499 k.c.).</w:t>
      </w:r>
    </w:p>
    <w:p>
      <w:pPr>
        <w:spacing w:after="0" w:before="460"/>
        <w:jc w:val="center"/>
      </w:pPr>
      <w:r>
        <w:t xml:space="preserve">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[IMIĘ I NAZWISKO]</w:t>
      </w:r>
      <w:r>
        <w:rPr>
          <w:b w:val="false"/>
          <w:bCs w:val="false"/>
          <w:i/>
          <w:iCs/>
          <w:sz w:val="18"/>
          <w:szCs w:val="18"/>
        </w:rPr>
        <w:t xml:space="preserve"> — w imieniu Składającego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Potrącenie jest skuteczne z chwilą, gdy oświadczenie dojdzie do Adresata w sposób umożliwiający zapoznanie się z nim (art. 61 k.c.) — wysyłaj przesyłką rejestrowaną.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Warunek skuteczności: obie wierzytelności wymagalne, jednorodne (pieniężne) i zaskarżalne (art. 498 k.c.).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Po potrąceniu zaktualizuj saldo zadłużenia w pozostałych pismach.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2026-06-10T18:56:39.458Z</dcterms:created>
  <dcterms:modified xsi:type="dcterms:W3CDTF">2026-06-10T18:56:39.458Z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