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dnia </w:t>
      </w:r>
      <w:r>
        <w:rPr>
          <w:b/>
          <w:bCs/>
          <w:i w:val="false"/>
          <w:iCs w:val="false"/>
        </w:rPr>
        <w:t xml:space="preserve">[DD.MM.RRRR]</w:t>
      </w:r>
    </w:p>
    <w:p>
      <w:pPr>
        <w:spacing w:after="240" w:before="120"/>
        <w:jc w:val="center"/>
      </w:pPr>
      <w:r>
        <w:rPr>
          <w:b/>
          <w:bCs/>
          <w:sz w:val="28"/>
          <w:szCs w:val="28"/>
        </w:rPr>
        <w:t xml:space="preserve">UMOWA PRZELEWU WIERZYTELNOŚCI (CESJA)</w:t>
      </w:r>
    </w:p>
    <w:p>
      <w:pPr>
        <w:spacing w:after="8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zawarta dnia </w:t>
      </w:r>
      <w:r>
        <w:rPr>
          <w:b/>
          <w:bCs/>
          <w:i w:val="false"/>
          <w:iCs w:val="false"/>
        </w:rPr>
        <w:t xml:space="preserve">[DD.MM.RRRR]</w:t>
      </w:r>
      <w:r>
        <w:rPr>
          <w:b w:val="false"/>
          <w:bCs w:val="false"/>
          <w:i w:val="false"/>
          <w:iCs w:val="false"/>
        </w:rPr>
        <w:t xml:space="preserve"> w </w:t>
      </w: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 pomiędzy:</w:t>
      </w:r>
    </w:p>
    <w:p>
      <w:pPr>
        <w:spacing w:after="120" w:before="0" w:line="276"/>
        <w:jc w:val="both"/>
      </w:pPr>
      <w:r>
        <w:rPr>
          <w:b/>
          <w:bCs/>
          <w:i w:val="false"/>
          <w:iCs w:val="false"/>
        </w:rPr>
        <w:t xml:space="preserve">[NAZWA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[KRS / NIP / REGON]</w:t>
      </w:r>
      <w:r>
        <w:rPr>
          <w:b w:val="false"/>
          <w:bCs w:val="false"/>
          <w:i w:val="false"/>
          <w:iCs w:val="false"/>
        </w:rPr>
        <w:t xml:space="preserve">, zwanym dalej „Cedentem”,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a </w:t>
      </w:r>
      <w:r>
        <w:rPr>
          <w:b/>
          <w:bCs/>
          <w:i w:val="false"/>
          <w:iCs w:val="false"/>
        </w:rPr>
        <w:t xml:space="preserve">[NAZWA / FIRMA / IMIĘ I NAZWISKO]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[NIP / PESEL]</w:t>
      </w:r>
      <w:r>
        <w:rPr>
          <w:b w:val="false"/>
          <w:bCs w:val="false"/>
          <w:i w:val="false"/>
          <w:iCs w:val="false"/>
        </w:rPr>
        <w:t xml:space="preserve">, zwanym dalej „Cesjonariuszem”.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§ 1 – Przedmiot umowy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Cedent przenosi na Cesjonariusza, a Cesjonariusz nabywa, wierzytelność przysługującą Cedentowi wobec </w:t>
      </w:r>
      <w:r>
        <w:rPr>
          <w:b/>
          <w:bCs/>
          <w:i w:val="false"/>
          <w:iCs w:val="false"/>
        </w:rPr>
        <w:t xml:space="preserve">[IMIĘ I NAZWISKO DŁUŻNIKA]</w:t>
      </w:r>
      <w:r>
        <w:rPr>
          <w:b w:val="false"/>
          <w:bCs w:val="false"/>
          <w:i w:val="false"/>
          <w:iCs w:val="false"/>
        </w:rPr>
        <w:t xml:space="preserve"> z tytułu Umowy Pożyczki z dnia </w:t>
      </w:r>
      <w:r>
        <w:rPr>
          <w:b/>
          <w:bCs/>
          <w:i w:val="false"/>
          <w:iCs w:val="false"/>
        </w:rPr>
        <w:t xml:space="preserve">[DATA UMOWY]</w:t>
      </w:r>
      <w:r>
        <w:rPr>
          <w:b w:val="false"/>
          <w:bCs w:val="false"/>
          <w:i w:val="false"/>
          <w:iCs w:val="false"/>
        </w:rPr>
        <w:t xml:space="preserve">, obejmującą kapitał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 wraz z odsetkami, kosztami oraz wszelkimi prawami z nią związanymi (art. 509 k.c.).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§ 2 – Przejście zabezpieczeń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Wraz z wierzytelnością na Cesjonariusza przechodzą jej zabezpieczenia, w szczególności: hipoteka umowna ustanowiona w księdze wieczystej nr </w:t>
      </w:r>
      <w:r>
        <w:rPr>
          <w:b/>
          <w:bCs/>
          <w:i w:val="false"/>
          <w:iCs w:val="false"/>
        </w:rPr>
        <w:t xml:space="preserve">[NR KW]</w:t>
      </w:r>
      <w:r>
        <w:rPr>
          <w:b w:val="false"/>
          <w:bCs w:val="false"/>
          <w:i w:val="false"/>
          <w:iCs w:val="false"/>
        </w:rPr>
        <w:t xml:space="preserve">, poręczenie oraz uprawnienia z aktu notarialnego o poddaniu się egzekucji (art. 777 § 1 pkt 5 k.p.c.). Strony zgodnie wnoszą o ujawnienie zmiany wierzyciela hipotecznego w księdze wieczystej.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§ 3 – Cena i oświadczenia Cedenta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Cena nabycia wierzytelności wynosi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zł, płatna </w:t>
      </w:r>
      <w:r>
        <w:rPr>
          <w:b/>
          <w:bCs/>
          <w:i w:val="false"/>
          <w:iCs w:val="false"/>
        </w:rPr>
        <w:t xml:space="preserve">[WARUNKI PŁATNOŚCI]</w:t>
      </w:r>
      <w:r>
        <w:rPr>
          <w:b w:val="false"/>
          <w:bCs w:val="false"/>
          <w:i w:val="false"/>
          <w:iCs w:val="false"/>
        </w:rPr>
        <w:t xml:space="preserve">. Cedent oświadcza, że wierzytelność istnieje, jest wymagalna, bezsporna, nie jest obciążona prawami osób trzecich ani nie została wcześniej zbyta, a Cedent jest uprawniony do rozporządzania nią.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§ 4 – Zawiadomienie dłużnika i postanowienia końcowe</w:t>
      </w:r>
    </w:p>
    <w:p>
      <w:pPr>
        <w:spacing w:after="16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Cedent zawiadomi Dłużnika o przelewie (art. 512 k.c.). Do czasu zawiadomienia spełnienie świadczenia do rąk Cedenta zwalnia Dłużnika. Zmiany wymagają formy pisemnej pod rygorem nieważności. W sprawach nieuregulowanych stosuje się k.c.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60"/>
              <w:jc w:val="center"/>
            </w:pPr>
            <w:r>
              <w:t xml:space="preserve">……………………………………</w:t>
            </w:r>
          </w:p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Cedent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60"/>
              <w:jc w:val="center"/>
            </w:pPr>
            <w:r>
              <w:t xml:space="preserve">……………………………………</w:t>
            </w:r>
          </w:p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Cesjonariusz</w:t>
            </w:r>
          </w:p>
        </w:tc>
      </w:tr>
    </w:tbl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To umowa przelewu — komplementarna do Waszego „Zawiadomienia o cesji”, które jest tylko powiadomieniem dłużnika.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Przejście hipoteki wymaga wpisu nowego wierzyciela do księgi wieczystej (art. 79 u.k.w.h.) — sam przelew nie wystarcza do skutku wobec hipoteki.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Przy sprzedaży długu osobie fizycznej zadbaj o podstawę przetwarzania danych dłużnika (RODO).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2026-06-10T18:34:30.250Z</dcterms:created>
  <dcterms:modified xsi:type="dcterms:W3CDTF">2026-06-10T18:34:30.250Z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