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Sąd Okręgowy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200" w:before="0" w:line="276"/>
        <w:jc w:val="right"/>
      </w:pPr>
      <w:r>
        <w:rPr>
          <w:b w:val="false"/>
          <w:bCs w:val="false"/>
          <w:i w:val="false"/>
          <w:iCs w:val="false"/>
        </w:rPr>
        <w:t xml:space="preserve">za pośrednictwem Sądu Rejonowego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Sygn. akt sprawy: </w:t>
      </w:r>
      <w:r>
        <w:rPr>
          <w:b/>
          <w:bCs/>
          <w:i w:val="false"/>
          <w:iCs w:val="false"/>
        </w:rPr>
        <w:t xml:space="preserve">[SYGNATURA]</w:t>
      </w:r>
    </w:p>
    <w:p>
      <w:pPr>
        <w:spacing w:after="40" w:line="264"/>
      </w:pPr>
      <w:r>
        <w:rPr>
          <w:b/>
          <w:bCs/>
        </w:rPr>
        <w:t xml:space="preserve">Skarżący (Wierzyciel):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NIP]</w:t>
      </w:r>
    </w:p>
    <w:p>
      <w:pPr>
        <w:spacing w:after="40" w:line="264"/>
      </w:pPr>
      <w:r>
        <w:rPr>
          <w:b/>
          <w:bCs/>
        </w:rPr>
        <w:t xml:space="preserve">Opłata stała: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(dowód w załączeniu)</w:t>
      </w:r>
    </w:p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SKARGA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na naruszenie prawa strony do rozpoznania sprawy bez nieuzasadnionej zwłoki (przewlekłość postępowania)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Na podstawie ustawy z dnia 17 czerwca 2004 r. o skardze na naruszenie prawa strony do rozpoznania sprawy w postępowaniu przygotowawczym prowadzonym lub nadzorowanym przez prokuratora i postępowaniu sądowym bez nieuzasadnionej zwłoki, wnoszę o: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stwierdzenie, że w sprawie o sygn. </w:t>
      </w:r>
      <w:r>
        <w:rPr>
          <w:b/>
          <w:bCs/>
          <w:i w:val="false"/>
          <w:iCs w:val="false"/>
        </w:rPr>
        <w:t xml:space="preserve">[SYGNATURA]</w:t>
      </w:r>
      <w:r>
        <w:rPr>
          <w:b w:val="false"/>
          <w:bCs w:val="false"/>
          <w:i w:val="false"/>
          <w:iCs w:val="false"/>
        </w:rPr>
        <w:t xml:space="preserve"> nastąpiła przewlekłość postępowania;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przyznanie Skarżącemu od Skarbu Państwa sumy pieniężnej w kwocie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(w granicach od 2 000 do 20 000 zł);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3.  zalecenie podjęcia przez sąd rozpoznający sprawę odpowiednich czynności w wyznaczonym terminie.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UZASADNIENIE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Wniosek </w:t>
      </w:r>
      <w:r>
        <w:rPr>
          <w:b/>
          <w:bCs/>
          <w:i w:val="false"/>
          <w:iCs w:val="false"/>
        </w:rPr>
        <w:t xml:space="preserve">[OPIS — np. o nadanie klauzuli wykonalności]</w:t>
      </w:r>
      <w:r>
        <w:rPr>
          <w:b w:val="false"/>
          <w:bCs w:val="false"/>
          <w:i w:val="false"/>
          <w:iCs w:val="false"/>
        </w:rPr>
        <w:t xml:space="preserve"> został złożony w dniu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. Do dnia wniesienia niniejszej skargi sprawa nie została rozpoznana, mimo upływu terminu wynikającego z </w:t>
      </w:r>
      <w:r>
        <w:rPr>
          <w:b/>
          <w:bCs/>
          <w:i w:val="false"/>
          <w:iCs w:val="false"/>
        </w:rPr>
        <w:t xml:space="preserve">[np. art. 781¹ § 1 k.p.c.]</w:t>
      </w:r>
      <w:r>
        <w:rPr>
          <w:b w:val="false"/>
          <w:bCs w:val="false"/>
          <w:i w:val="false"/>
          <w:iCs w:val="false"/>
        </w:rPr>
        <w:t xml:space="preserve"> oraz braku obiektywnych przeszkód po stronie sądu.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Łączny czas bezczynności </w:t>
      </w:r>
      <w:r>
        <w:rPr>
          <w:b/>
          <w:bCs/>
          <w:i w:val="false"/>
          <w:iCs w:val="false"/>
        </w:rPr>
        <w:t xml:space="preserve">[LICZBA]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[dni / miesięcy]</w:t>
      </w:r>
      <w:r>
        <w:rPr>
          <w:b w:val="false"/>
          <w:bCs w:val="false"/>
          <w:i w:val="false"/>
          <w:iCs w:val="false"/>
        </w:rPr>
        <w:t xml:space="preserve"> istotnie wykracza poza czas niezbędny do rozpoznania sprawy i narusza prawo Skarżącego do rozpoznania sprawy bez nieuzasadnionej zwłoki, narażając go na ryzyko utraty możliwości zaspokojenia.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Wnoszę jak na wstępie.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Skarżący / pełnomocnik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Skargę wnosi się do sądu przełożonego (okręgowego) ZA POŚREDNICTWEM sądu prowadzącego sprawę.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Opłata stała (aktualnie 100 zł — proszę zweryfikować); w razie uwzględnienia skargi opłata podlega zwrotowi.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Sąd rozpoznaje skargę w terminie 2 miesięcy. Uwzględnienie daje podstawę do dalszego dochodzenia odszkodowania za szkodę wywołaną przewlekłością.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2026-06-10T18:34:30.468Z</dcterms:created>
  <dcterms:modified xsi:type="dcterms:W3CDTF">2026-06-10T18:34:30.469Z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