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0" w:before="0" w:line="276"/>
        <w:jc w:val="right"/>
      </w:pPr>
      <w:r>
        <w:rPr>
          <w:b/>
          <w:bCs/>
          <w:i w:val="false"/>
          <w:iCs w:val="false"/>
        </w:rPr>
        <w:t xml:space="preserve">Komornik Sądowy przy Sądzie Rejonowym </w:t>
      </w:r>
      <w:r>
        <w:rPr>
          <w:b/>
          <w:bCs/>
          <w:i w:val="false"/>
          <w:iCs w:val="false"/>
        </w:rPr>
        <w:t xml:space="preserve">[W / DLA MIEJSCOWOŚCI]</w:t>
      </w:r>
    </w:p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[IMIĘ I NAZWISKO KOMORNIKA]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 KANCELARII]</w:t>
      </w:r>
    </w:p>
    <w:p>
      <w:pPr>
        <w:spacing w:after="40" w:line="264"/>
      </w:pPr>
      <w:r>
        <w:rPr>
          <w:b/>
          <w:bCs/>
        </w:rPr>
        <w:t xml:space="preserve">Wierzyciel: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NIP]</w:t>
      </w:r>
      <w:r>
        <w:rPr>
          <w:b w:val="false"/>
          <w:bCs w:val="false"/>
          <w:i w:val="false"/>
          <w:iCs w:val="false"/>
        </w:rPr>
        <w:t xml:space="preserve">, rachunek do wpłat: </w:t>
      </w:r>
      <w:r>
        <w:rPr>
          <w:b/>
          <w:bCs/>
          <w:i w:val="false"/>
          <w:iCs w:val="false"/>
        </w:rPr>
        <w:t xml:space="preserve">[NUMER RACHUNKU]</w:t>
      </w:r>
    </w:p>
    <w:p>
      <w:pPr>
        <w:spacing w:after="40" w:line="264"/>
      </w:pPr>
      <w:r>
        <w:rPr>
          <w:b/>
          <w:bCs/>
        </w:rPr>
        <w:t xml:space="preserve">Dłużnik: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[PESEL / NIP]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WNIOSEK O WSZCZĘCIE EGZEKUCJI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Na podstawie załączonego tytułu wykonawczego wnoszę o wszczęcie i prowadzenie egzekucji przeciwko Dłużnikowi w celu wyegzekwowania: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a)  należności głównej: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b)  odsetek za opóźnienie: </w:t>
      </w:r>
      <w:r>
        <w:rPr>
          <w:b/>
          <w:bCs/>
          <w:i w:val="false"/>
          <w:iCs w:val="false"/>
        </w:rPr>
        <w:t xml:space="preserve">[OKREŚLENIE]</w:t>
      </w:r>
      <w:r>
        <w:rPr>
          <w:b w:val="false"/>
          <w:bCs w:val="false"/>
          <w:i w:val="false"/>
          <w:iCs w:val="false"/>
        </w:rPr>
        <w:t xml:space="preserve"> od dnia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 do dnia zapłaty;</w:t>
      </w:r>
    </w:p>
    <w:p>
      <w:pPr>
        <w:spacing w:after="12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c)  kosztów postępowania klauzulowego oraz kosztów egzekucyjnych, w tym kosztów zastępstwa w egzekucji.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Sposoby egzekucji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Wnoszę o prowadzenie egzekucji ze wszystkich dopuszczalnych składników majątku Dłużnika, w szczególności: z rachunków bankowych, wierzytelności (w tym z tytułu umów i nadpłat podatkowych), wynagrodzenia i świadczeń, ruchomości oraz nieruchomości, w tym nieruchomości obciążonej hipoteką na rzecz Wierzyciela (KW nr </w:t>
      </w:r>
      <w:r>
        <w:rPr>
          <w:b/>
          <w:bCs/>
          <w:i w:val="false"/>
          <w:iCs w:val="false"/>
        </w:rPr>
        <w:t xml:space="preserve">[NR KW]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Wnioski dodatkowe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1.  o zlecenie Komornikowi poszukiwania majątku Dłużnika (art. 801¹ k.p.c.);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2.  o dokonanie zapytań do ZUS, US, CEPiK, KW i rejestrów w celu ustalenia składników majątku;</w:t>
      </w:r>
    </w:p>
    <w:p>
      <w:pPr>
        <w:spacing w:after="12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3.  o przekazywanie wyegzekwowanych kwot na rachunek Wierzyciela wskazany powyżej.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Wierzyciel / pełnomocnik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Załączniki: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1.  tytuł wykonawczy (akt notarialny 777 z klauzulą wykonalności / prawomocny nakaz / wyrok) — oryginał;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2.  pełnomocnictwo i dowód opłaty skarbowej (jeśli dotyczy).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Wierzyciel ma prawo wyboru komornika w obrębie apelacji (art. 10 u.k.s.) — poza sprawami z nieruchomości i niektórymi wyjątkami.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Wniosek o poszukiwanie majątku (art. 801¹ k.p.c.) bywa płatny — komornik wezwie do zaliczki.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Do egzekucji z nieruchomości właściwy jest komornik z rewiru jej położenia.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2026-06-10T18:34:30.373Z</dcterms:created>
  <dcterms:modified xsi:type="dcterms:W3CDTF">2026-06-10T18:34:30.373Z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