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PROMESA WYKREŚLENIA HIPOTEKI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Dotyczy Umowy Pożyczki z dnia </w:t>
      </w:r>
      <w:r>
        <w:rPr>
          <w:b/>
          <w:bCs/>
          <w:i w:val="false"/>
          <w:iCs w:val="false"/>
        </w:rPr>
        <w:t xml:space="preserve">[DATA UMOWY]</w:t>
      </w:r>
      <w:r>
        <w:rPr>
          <w:b w:val="false"/>
          <w:bCs w:val="false"/>
          <w:i w:val="false"/>
          <w:iCs w:val="false"/>
        </w:rPr>
        <w:t xml:space="preserve">, pomiędzy:</w:t>
      </w:r>
    </w:p>
    <w:p>
      <w:pPr>
        <w:spacing w:after="120" w:before="0" w:line="276"/>
        <w:jc w:val="both"/>
      </w:pPr>
      <w:r>
        <w:rPr>
          <w:b/>
          <w:bCs/>
          <w:i w:val="false"/>
          <w:iCs w:val="false"/>
        </w:rPr>
        <w:t xml:space="preserve">[NAZWA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 / REGON]</w:t>
      </w:r>
      <w:r>
        <w:rPr>
          <w:b w:val="false"/>
          <w:bCs w:val="false"/>
          <w:i w:val="false"/>
          <w:iCs w:val="false"/>
        </w:rPr>
        <w:t xml:space="preserve">, reprezentowanym przez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, zwanym dalej „Pożyczkodawcą”,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a </w:t>
      </w:r>
      <w:r>
        <w:rPr>
          <w:b/>
          <w:bCs/>
          <w:i w:val="false"/>
          <w:iCs w:val="false"/>
        </w:rPr>
        <w:t xml:space="preserve">[IMIĘ I NAZWISKO / FIRMA POŻYCZKOBIORCY]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[NIP / PESEL]</w:t>
      </w:r>
      <w:r>
        <w:rPr>
          <w:b w:val="false"/>
          <w:bCs w:val="false"/>
          <w:i w:val="false"/>
          <w:iCs w:val="false"/>
        </w:rPr>
        <w:t xml:space="preserve">, zwanym dalej „Pożyczkobiorcą”.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1 – Zobowiązanie Pożyczkodawcy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 związku z planowaną spłatą całości zadłużenia w wysokości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), Pożyczkodawca zobowiązuje się wydać dokument zawierający zgodę na wykreślenie hipoteki umownej ustanowionej na nieruchomości przy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księga wieczysta nr </w:t>
      </w:r>
      <w:r>
        <w:rPr>
          <w:b/>
          <w:bCs/>
          <w:i w:val="false"/>
          <w:iCs w:val="false"/>
        </w:rPr>
        <w:t xml:space="preserve">[NR KW]</w:t>
      </w:r>
      <w:r>
        <w:rPr>
          <w:b w:val="false"/>
          <w:bCs w:val="false"/>
          <w:i w:val="false"/>
          <w:iCs w:val="false"/>
        </w:rPr>
        <w:t xml:space="preserve">, w terminie 14 dni od uregulowania całości należności.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2 – Warunki finansowe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Całkowita kwota do spłaty (z ewentualną zniżką za wcześniejszą spłatę) wynosi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zł. Wpłaty należy dokonać na rachunek </w:t>
      </w:r>
      <w:r>
        <w:rPr>
          <w:b/>
          <w:bCs/>
          <w:i w:val="false"/>
          <w:iCs w:val="false"/>
        </w:rPr>
        <w:t xml:space="preserve">[NUMER RACHUNKU]</w:t>
      </w:r>
      <w:r>
        <w:rPr>
          <w:b w:val="false"/>
          <w:bCs w:val="false"/>
          <w:i w:val="false"/>
          <w:iCs w:val="false"/>
        </w:rPr>
        <w:t xml:space="preserve">, tytułem: „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 — całkowita spłata, wykreślenie hipoteki”.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§ 3 – Postanowienia końcowe</w:t>
      </w:r>
    </w:p>
    <w:p>
      <w:pPr>
        <w:spacing w:after="16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Pożyczkodawca dostarczy pisemną zgodę na wykreślenie hipoteki w terminie 14 dni od spełnienia warunków z § 1. Koszty wykreślenia hipoteki z księgi wieczystej obciążają Pożyczkobiorcę.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Pożyczkodawca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460"/>
              <w:jc w:val="center"/>
            </w:pPr>
            <w:r>
              <w:t xml:space="preserve">……………………………………</w:t>
            </w:r>
          </w:p>
          <w:p>
            <w:pPr>
              <w:jc w:val="center"/>
            </w:pPr>
            <w:r>
              <w:rPr>
                <w:b w:val="false"/>
                <w:bCs w:val="false"/>
                <w:i/>
                <w:iCs/>
                <w:sz w:val="18"/>
                <w:szCs w:val="18"/>
              </w:rPr>
              <w:t xml:space="preserve">Pożyczkobiorca</w:t>
            </w:r>
          </w:p>
        </w:tc>
      </w:tr>
    </w:tbl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Promesa to zobowiązanie do wydania zgody — sama nie wykreśla hipoteki. Po spłacie wystaw dokument „Zgoda na wykreślenie hipoteki” (dok. 22).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Zniżka za wcześniejszą spłatę to dobre narzędzie zamknięcia sprawy bez windykacji.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2026-06-10T18:56:39.516Z</dcterms:created>
  <dcterms:modified xsi:type="dcterms:W3CDTF">2026-06-10T18:56:39.516Z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