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b/>
          <w:bCs/>
          <w:sz w:val="28"/>
          <w:szCs w:val="28"/>
        </w:rPr>
        <w:t xml:space="preserve">ZAŁĄCZNIK NR 3 DO UMOWY POŻYCZKI</w:t>
      </w:r>
    </w:p>
    <w:p>
      <w:pPr>
        <w:spacing w:after="220"/>
        <w:jc w:val="center"/>
      </w:pPr>
      <w:r>
        <w:rPr>
          <w:i/>
          <w:iCs/>
          <w:sz w:val="20"/>
          <w:szCs w:val="20"/>
        </w:rPr>
        <w:t xml:space="preserve">Tabela opłat windykacyjnych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Opłaty naliczane są wyłącznie w wysokości odpowiadającej kosztom faktycznie poniesionym w związku z dochodzeniem należności i podlegają udokumentowaniu w rejestrze czynności windykacyjnych. Łączna suma opłat naliczonych przez zewnętrzną firmę windykacyjną nie przekroczy 30% Kwoty Brutto pożyczki (§ 4 ust. 2 Umowy).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60"/>
        <w:gridCol w:w="2300"/>
        <w:gridCol w:w="20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Lp.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Czynność windykacyjna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Etap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C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Opłata (zł)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Monit / wiadomość SMS / e-mail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polubowny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[KWOTA]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Wezwanie do zapłaty listem poleconym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polubowny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[KWOTA]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Kontakt telefoniczny (za próbę)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polubowny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[KWOTA]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Ostateczne przedsądowe wezwanie do zapłaty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przedsądowy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[KWOTA]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Obsługa prawna (przygotowanie pism / pozwu)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przedsądowy / sądowy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wg faktury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Koszty sądowe i egzekucyjne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sądowy / egzekucyjny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wg przepisów</w:t>
            </w:r>
          </w:p>
        </w:tc>
      </w:tr>
    </w:tbl>
    <w:p>
      <w:pPr>
        <w:spacing w:before="200"/>
      </w:pPr>
      <w:r>
        <w:rPr>
          <w:i/>
          <w:iCs/>
          <w:sz w:val="20"/>
          <w:szCs w:val="20"/>
        </w:rPr>
        <w:t xml:space="preserve">Suma opłat windykacyjnych nie może przekroczyć limitu z § 4 ust. 2 Umowy.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Tabela celowo wiąże opłaty z kosztami faktycznie poniesionymi — to zmniejsza ryzyko potraktowania ich jako kary umownej i miarkowania przez sąd (art. 484 § 2 k.c.).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Każdą naliczoną opłatę dokumentuj w „Rejestrze kosztów windykacyjnych” (dowód poniesienia).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Kwoty ryczałtowe ustaw realistycznie względem rzeczywistego kosztu czynności.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2026-06-10T18:34:30.437Z</dcterms:created>
  <dcterms:modified xsi:type="dcterms:W3CDTF">2026-06-10T18:34:30.437Z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