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ZAWIADOMIENIE O MOŻLIWOŚCI POPEŁNIENIA PRZESTĘPSTWA</w:t>
      </w:r>
    </w:p>
    <w:p>
      <w:pPr>
        <w:spacing w:after="40" w:line="264"/>
      </w:pPr>
      <w:r>
        <w:rPr>
          <w:b/>
          <w:bCs/>
        </w:rPr>
        <w:t xml:space="preserve">Zawiadamiający: </w:t>
      </w:r>
      <w:r>
        <w:rPr>
          <w:b/>
          <w:bCs/>
          <w:i w:val="false"/>
          <w:iCs w:val="false"/>
        </w:rPr>
        <w:t xml:space="preserve">[NAZWA / FIRMA / IMIĘ I NAZWISKO]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REGON / NIP]</w:t>
      </w:r>
      <w:r>
        <w:rPr>
          <w:b w:val="false"/>
          <w:bCs w:val="false"/>
          <w:i w:val="false"/>
          <w:iCs w:val="false"/>
        </w:rPr>
        <w:t xml:space="preserve">, reprezentowany przez </w:t>
      </w:r>
      <w:r>
        <w:rPr>
          <w:b/>
          <w:bCs/>
          <w:i w:val="false"/>
          <w:iCs w:val="false"/>
        </w:rPr>
        <w:t xml:space="preserve">[IMIĘ I NAZWISKO]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[PESEL]</w:t>
      </w:r>
    </w:p>
    <w:p>
      <w:pPr>
        <w:spacing w:after="40" w:line="264"/>
      </w:pPr>
      <w:r>
        <w:rPr>
          <w:b/>
          <w:bCs/>
        </w:rPr>
        <w:t xml:space="preserve">Podejrzany: </w:t>
      </w:r>
      <w:r>
        <w:rPr>
          <w:b/>
          <w:bCs/>
          <w:i w:val="false"/>
          <w:iCs w:val="false"/>
        </w:rPr>
        <w:t xml:space="preserve">[IMIĘ I NAZWISKO]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[PESEL]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Opis zdarzenia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Zawiadamiający zawarł w dniu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 z </w:t>
      </w:r>
      <w:r>
        <w:rPr>
          <w:b/>
          <w:bCs/>
          <w:i w:val="false"/>
          <w:iCs w:val="false"/>
        </w:rPr>
        <w:t xml:space="preserve">[IMIĘ I NAZWISKO POŻYCZKOBIORCY]</w:t>
      </w:r>
      <w:r>
        <w:rPr>
          <w:b w:val="false"/>
          <w:bCs w:val="false"/>
          <w:i w:val="false"/>
          <w:iCs w:val="false"/>
        </w:rPr>
        <w:t xml:space="preserve"> umowę pożyczki na kwotę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zł. Mimo wielokrotnych wezwań do zapłaty oraz prób kontaktu, Pożyczkobiorca nie dokonał spłaty żadnej z wymagalnych rat. Okoliczności </w:t>
      </w:r>
      <w:r>
        <w:rPr>
          <w:b/>
          <w:bCs/>
          <w:i w:val="false"/>
          <w:iCs w:val="false"/>
        </w:rPr>
        <w:t xml:space="preserve">[OPIS — np. podanie nieprawdziwych danych przy zawarciu umowy, brak jakiejkolwiek wpłaty od początku, ukrywanie się]</w:t>
      </w:r>
      <w:r>
        <w:rPr>
          <w:b w:val="false"/>
          <w:bCs w:val="false"/>
          <w:i w:val="false"/>
          <w:iCs w:val="false"/>
        </w:rPr>
        <w:t xml:space="preserve"> wskazują na działanie z zamiarem doprowadzenia Zawiadamiającego do niekorzystnego rozporządzenia mieniem.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Kwalifikacja prawna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Opisane działanie może wyczerpywać znamiona przestępstwa z art. 286 § 1 k.k. (doprowadzenie do niekorzystnego rozporządzenia mieniem przez wprowadzenie w błąd co do zamiaru lub możliwości spłaty), a w razie posłużenia się nierzetelnymi dokumentami lub oświadczeniami w celu uzyskania pożyczki — także z art. 297 § 1 k.k.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Wniosek</w:t>
      </w:r>
    </w:p>
    <w:p>
      <w:pPr>
        <w:spacing w:after="10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Wnoszę o wszczęcie postępowania przygotowawczego i pociągnięcie sprawcy do odpowiedzialności karnej.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Załączniki: kopia umowy pożyczki; wezwania do zapłaty z potwierdzeniami nadania; dokumentacja prób kontaktu; </w:t>
      </w:r>
      <w:r>
        <w:rPr>
          <w:b/>
          <w:bCs/>
          <w:i w:val="false"/>
          <w:iCs w:val="false"/>
        </w:rPr>
        <w:t xml:space="preserve">[ewentualnie dowody wprowadzenia w błąd]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 poważaniem,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w imieniu Zawiadamiającego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UWAGA: samo niespłacenie długu NIE jest oszustwem. Art. 286 wymaga zamiaru powziętego już w chwili zawierania umowy (że dłużnik z góry nie zamierzał lub nie mógł spłacić). Bez takich przesłanek zawiadomienie zwykle kończy się odmową wszczęcia.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Składanie zawiadomienia odruchowo, jako dźwigni nacisku, jest ryzykowne — przy braku podstaw może narazić na zarzut fałszywego zawiadomienia (art. 234 k.k.) lub groźby bezprawnej.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Używaj tego dokumentu wyłącznie przy realnych znamionach wyłudzenia (fałszywe dane/dokumenty, zero wpłat od początku, znikający dłużnik).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2026-06-10T18:56:39.568Z</dcterms:created>
  <dcterms:modified xsi:type="dcterms:W3CDTF">2026-06-10T18:56:39.568Z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