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USTANOWIENIE HIPOTEKI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oświadczenie właściciela i wniosek o wpis — projekt i instrukcja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Oświadczenie o ustanowieniu hipoteki (forma aktu notarialnego)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Właściciel nieruchomości ustanawia oświadczeniem hipotekę umowną na rzecz wierzyciela. Oświadczenie właściciela wymaga formy aktu notarialnego (art. 245 § 2 k.c.).</w:t>
      </w:r>
    </w:p>
    <w:p>
      <w:pPr>
        <w:pBdr>
          <w:left w:val="single" w:color="AAB4C0" w:sz="12" w:space="10"/>
        </w:pBdr>
        <w:spacing w:after="80" w:before="80" w:line="276"/>
        <w:ind w:left="360" w:right="200"/>
      </w:pPr>
      <w:r>
        <w:rPr>
          <w:b/>
          <w:bCs/>
          <w:i/>
          <w:iCs/>
        </w:rPr>
        <w:t xml:space="preserve">[Właściciel]</w:t>
      </w:r>
      <w:r>
        <w:rPr>
          <w:b w:val="false"/>
          <w:bCs w:val="false"/>
          <w:i/>
          <w:iCs/>
        </w:rPr>
        <w:t xml:space="preserve"> oświadcza, że na zabezpieczenie wierzytelności </w:t>
      </w:r>
      <w:r>
        <w:rPr>
          <w:b/>
          <w:bCs/>
          <w:i/>
          <w:iCs/>
        </w:rPr>
        <w:t xml:space="preserve">[Pożyczkodawca]</w:t>
      </w:r>
      <w:r>
        <w:rPr>
          <w:b w:val="false"/>
          <w:bCs w:val="false"/>
          <w:i/>
          <w:iCs/>
        </w:rPr>
        <w:t xml:space="preserve"> z Umowy Pożyczki z dnia </w:t>
      </w:r>
      <w:r>
        <w:rPr>
          <w:b/>
          <w:bCs/>
          <w:i/>
          <w:iCs/>
        </w:rPr>
        <w:t xml:space="preserve">[DATA UMOWY]</w:t>
      </w:r>
      <w:r>
        <w:rPr>
          <w:b w:val="false"/>
          <w:bCs w:val="false"/>
          <w:i/>
          <w:iCs/>
        </w:rPr>
        <w:t xml:space="preserve"> (kapitał, odsetki, prowizja oraz koszty) ustanawia na nieruchomości objętej księgą wieczystą nr </w:t>
      </w:r>
      <w:r>
        <w:rPr>
          <w:b/>
          <w:bCs/>
          <w:i/>
          <w:iCs/>
        </w:rPr>
        <w:t xml:space="preserve">[NR KW]</w:t>
      </w:r>
      <w:r>
        <w:rPr>
          <w:b w:val="false"/>
          <w:bCs w:val="false"/>
          <w:i/>
          <w:iCs/>
        </w:rPr>
        <w:t xml:space="preserve"> hipotekę umowną do sumy </w:t>
      </w:r>
      <w:r>
        <w:rPr>
          <w:b/>
          <w:bCs/>
          <w:i/>
          <w:iCs/>
        </w:rPr>
        <w:t xml:space="preserve">[KWOTA]</w:t>
      </w:r>
      <w:r>
        <w:rPr>
          <w:b w:val="false"/>
          <w:bCs w:val="false"/>
          <w:i/>
          <w:iCs/>
        </w:rPr>
        <w:t xml:space="preserve"> zł na rzecz </w:t>
      </w:r>
      <w:r>
        <w:rPr>
          <w:b/>
          <w:bCs/>
          <w:i/>
          <w:iCs/>
        </w:rPr>
        <w:t xml:space="preserve">[Pożyczkodawca]</w:t>
      </w:r>
      <w:r>
        <w:rPr>
          <w:b w:val="false"/>
          <w:bCs w:val="false"/>
          <w:i/>
          <w:iCs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Wniosek o wpis hipoteki do księgi wieczystej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Wpis hipoteki następuje na wniosek, składany na urzędowym formularzu KW-WPIS do wydziału wieczystoksięgowego sądu rejonowego właściwego dla nieruchomości. Hipoteka powstaje dopiero z chwilą wpisu (wpis ma charakter konstytutywny).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Opłata stała od wpisu hipoteki (aktualnie 200 zł — proszę zweryfikować w u.k.s.c.).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Suma hipoteki powinna obejmować należności uboczne (odsetki, koszty), bo hipoteka zabezpiecza tylko do wpisanej sumy.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Przy cesji wierzytelności hipotecznej zmianę wierzyciela trzeba ujawnić w KW (art. 79 u.k.w.h.) — patrz dok. 11.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Wpis hipoteki na nieruchomości mieszkalnej pożyczkobiorcy będącego de facto konsumentem to obszar wysokiego ryzyka prawnego — upewnij się co do rzeczywistego, gospodarczego charakteru pożyczki.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2026-06-10T19:05:03.657Z</dcterms:created>
  <dcterms:modified xsi:type="dcterms:W3CDTF">2026-06-10T19:05:03.657Z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